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2.xml" ContentType="application/vnd.openxmlformats-officedocument.wordprocessingml.foot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EE205" w14:textId="789E6E3B" w:rsidR="00466AA3" w:rsidRPr="005B54EE" w:rsidRDefault="006B4DCF">
      <w:pPr>
        <w:rPr>
          <w:rFonts w:cs="Arial"/>
          <w:caps/>
        </w:rPr>
      </w:pPr>
      <w:r w:rsidRPr="005B54EE">
        <w:rPr>
          <w:noProof/>
          <w:lang w:val="fr-FR"/>
        </w:rPr>
        <w:drawing>
          <wp:anchor distT="0" distB="0" distL="114300" distR="114300" simplePos="0" relativeHeight="251838976" behindDoc="0" locked="0" layoutInCell="1" allowOverlap="1" wp14:anchorId="5424E78E" wp14:editId="5079B49C">
            <wp:simplePos x="0" y="0"/>
            <wp:positionH relativeFrom="page">
              <wp:posOffset>418888</wp:posOffset>
            </wp:positionH>
            <wp:positionV relativeFrom="page">
              <wp:posOffset>350520</wp:posOffset>
            </wp:positionV>
            <wp:extent cx="1971040" cy="1428115"/>
            <wp:effectExtent l="0" t="0" r="0" b="63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11"/>
                    <a:stretch>
                      <a:fillRect/>
                    </a:stretch>
                  </pic:blipFill>
                  <pic:spPr bwMode="auto">
                    <a:xfrm>
                      <a:off x="0" y="0"/>
                      <a:ext cx="1971040" cy="1428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54EE">
        <w:rPr>
          <w:noProof/>
          <w:lang w:val="fr-FR"/>
        </w:rPr>
        <w:drawing>
          <wp:anchor distT="0" distB="0" distL="114300" distR="114300" simplePos="0" relativeHeight="251832832" behindDoc="0" locked="0" layoutInCell="1" allowOverlap="1" wp14:anchorId="2F6903F5" wp14:editId="70F7BF9F">
            <wp:simplePos x="0" y="0"/>
            <wp:positionH relativeFrom="page">
              <wp:posOffset>5156518</wp:posOffset>
            </wp:positionH>
            <wp:positionV relativeFrom="page">
              <wp:posOffset>-1891983</wp:posOffset>
            </wp:positionV>
            <wp:extent cx="1713600" cy="1040400"/>
            <wp:effectExtent l="0" t="0" r="1270" b="7620"/>
            <wp:wrapNone/>
            <wp:docPr id="13" name="Image 13" descr="C:\Users\coralie.fondeville\AppData\Local\Microsoft\Windows\INetCache\Content.Word\MIN_Charge_Ville_et_Logement_CMJN-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alie.fondeville\AppData\Local\Microsoft\Windows\INetCache\Content.Word\MIN_Charge_Ville_et_Logement_CMJN-42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3600" cy="104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1B78E" w14:textId="0EACA083" w:rsidR="00466AA3" w:rsidRPr="005B54EE" w:rsidRDefault="00466AA3">
      <w:pPr>
        <w:rPr>
          <w:rFonts w:cs="Arial"/>
          <w:caps/>
        </w:rPr>
      </w:pPr>
    </w:p>
    <w:tbl>
      <w:tblPr>
        <w:tblStyle w:val="TableGrid"/>
        <w:tblpPr w:leftFromText="142" w:rightFromText="142" w:vertAnchor="page" w:horzAnchor="margin" w:tblpY="3346"/>
        <w:tblW w:w="11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017"/>
      </w:tblGrid>
      <w:tr w:rsidR="00AC119B" w:rsidRPr="005B54EE" w14:paraId="22332619" w14:textId="77777777" w:rsidTr="00F5247D">
        <w:trPr>
          <w:trHeight w:val="12053"/>
        </w:trPr>
        <w:tc>
          <w:tcPr>
            <w:tcW w:w="11017" w:type="dxa"/>
            <w:shd w:val="clear" w:color="auto" w:fill="F2F2F2" w:themeFill="background1" w:themeFillShade="F2"/>
          </w:tcPr>
          <w:p w14:paraId="64AB7EFA" w14:textId="77777777" w:rsidR="00466AA3" w:rsidRPr="005B54EE" w:rsidRDefault="00F377C1" w:rsidP="00F5247D">
            <w:pPr>
              <w:rPr>
                <w:rFonts w:cs="Arial"/>
                <w:caps/>
                <w:color w:val="FFFFFF" w:themeColor="background1"/>
                <w14:textFill>
                  <w14:noFill/>
                </w14:textFill>
              </w:rPr>
            </w:pPr>
            <w:r w:rsidRPr="005B54EE">
              <w:rPr>
                <w:caps/>
                <w:noProof/>
                <w:color w:val="FFFFFF" w:themeColor="background1"/>
                <w:lang w:val="fr-FR"/>
                <w14:textFill>
                  <w14:noFill/>
                </w14:textFill>
              </w:rPr>
              <mc:AlternateContent>
                <mc:Choice Requires="wps">
                  <w:drawing>
                    <wp:anchor distT="45720" distB="45720" distL="114300" distR="114300" simplePos="0" relativeHeight="251801088" behindDoc="0" locked="0" layoutInCell="1" allowOverlap="1" wp14:anchorId="1E5E815D" wp14:editId="761BB646">
                      <wp:simplePos x="0" y="0"/>
                      <wp:positionH relativeFrom="column">
                        <wp:posOffset>700405</wp:posOffset>
                      </wp:positionH>
                      <wp:positionV relativeFrom="paragraph">
                        <wp:posOffset>2657475</wp:posOffset>
                      </wp:positionV>
                      <wp:extent cx="5556250" cy="3038475"/>
                      <wp:effectExtent l="0" t="0" r="6350" b="952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3038475"/>
                              </a:xfrm>
                              <a:prstGeom prst="rect">
                                <a:avLst/>
                              </a:prstGeom>
                              <a:noFill/>
                              <a:ln w="9525">
                                <a:noFill/>
                                <a:miter lim="800000"/>
                                <a:headEnd/>
                                <a:tailEnd/>
                              </a:ln>
                            </wps:spPr>
                            <wps:txbx>
                              <w:txbxContent>
                                <w:p w14:paraId="53D95E7A" w14:textId="02D6CD42" w:rsidR="00AF217C" w:rsidRPr="000C08B6" w:rsidRDefault="00AF217C" w:rsidP="006007BA">
                                  <w:pPr>
                                    <w:pStyle w:val="Titrerapport"/>
                                    <w:jc w:val="left"/>
                                    <w:rPr>
                                      <w:rFonts w:ascii="Marianne ExtraBold" w:hAnsi="Marianne ExtraBold"/>
                                      <w:b w:val="0"/>
                                    </w:rPr>
                                  </w:pPr>
                                  <w:r>
                                    <w:rPr>
                                      <w:rFonts w:ascii="Marianne ExtraBold" w:hAnsi="Marianne ExtraBold"/>
                                      <w:b w:val="0"/>
                                    </w:rPr>
                                    <w:t>France's 5th biennial report</w:t>
                                  </w:r>
                                </w:p>
                                <w:p w14:paraId="550A59D7" w14:textId="6C92F16F" w:rsidR="00AF217C" w:rsidRPr="000C08B6" w:rsidRDefault="00AF217C" w:rsidP="006007BA">
                                  <w:pPr>
                                    <w:pStyle w:val="Soustitrerapport"/>
                                    <w:jc w:val="left"/>
                                    <w:rPr>
                                      <w:rFonts w:ascii="Marianne Medium" w:hAnsi="Marianne Medium"/>
                                      <w:b w:val="0"/>
                                      <w:i w:val="0"/>
                                    </w:rPr>
                                  </w:pPr>
                                  <w:r>
                                    <w:rPr>
                                      <w:rFonts w:ascii="Marianne Medium" w:hAnsi="Marianne Medium"/>
                                      <w:b w:val="0"/>
                                      <w:i w:val="0"/>
                                    </w:rPr>
                                    <w:t>United Nations Framework Convention on Climate Change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E815D" id="_x0000_t202" coordsize="21600,21600" o:spt="202" path="m,l,21600r21600,l21600,xe">
                      <v:stroke joinstyle="miter"/>
                      <v:path gradientshapeok="t" o:connecttype="rect"/>
                    </v:shapetype>
                    <v:shape id="Zone de texte 2" o:spid="_x0000_s1026" type="#_x0000_t202" style="position:absolute;left:0;text-align:left;margin-left:55.15pt;margin-top:209.25pt;width:437.5pt;height:239.25pt;z-index:25180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" filled="f" stroked="f">
                      <v:textbox inset="0,0,0,0">
                        <w:txbxContent>
                          <w:p w14:paraId="53D95E7A" w14:textId="02D6CD42" w:rsidR="00AF217C" w:rsidRPr="000C08B6" w:rsidRDefault="00AF217C" w:rsidP="006007BA">
                            <w:pPr>
                              <w:pStyle w:val="Titrerapport"/>
                              <w:jc w:val="left"/>
                              <w:rPr>
                                <w:rFonts w:ascii="Marianne ExtraBold" w:hAnsi="Marianne ExtraBold"/>
                                <w:b w:val="0"/>
                              </w:rPr>
                            </w:pPr>
                            <w:r>
                              <w:rPr>
                                <w:rFonts w:ascii="Marianne ExtraBold" w:hAnsi="Marianne ExtraBold"/>
                                <w:b w:val="0"/>
                              </w:rPr>
                              <w:t>France's 5th biennial report</w:t>
                            </w:r>
                          </w:p>
                          <w:p w14:paraId="550A59D7" w14:textId="6C92F16F" w:rsidR="00AF217C" w:rsidRPr="000C08B6" w:rsidRDefault="00AF217C" w:rsidP="006007BA">
                            <w:pPr>
                              <w:pStyle w:val="Soustitrerapport"/>
                              <w:jc w:val="left"/>
                              <w:rPr>
                                <w:rFonts w:ascii="Marianne Medium" w:hAnsi="Marianne Medium"/>
                                <w:b w:val="0"/>
                                <w:i w:val="0"/>
                              </w:rPr>
                            </w:pPr>
                            <w:r>
                              <w:rPr>
                                <w:rFonts w:ascii="Marianne Medium" w:hAnsi="Marianne Medium"/>
                                <w:b w:val="0"/>
                                <w:i w:val="0"/>
                              </w:rPr>
                              <w:t>United Nations Framework Convention on Climate Change</w:t>
                            </w:r>
                          </w:p>
                        </w:txbxContent>
                      </v:textbox>
                      <w10:wrap type="square"/>
                    </v:shape>
                  </w:pict>
                </mc:Fallback>
              </mc:AlternateContent>
            </w:r>
            <w:r w:rsidRPr="005B54EE">
              <w:rPr>
                <w:noProof/>
                <w:lang w:val="fr-FR"/>
              </w:rPr>
              <mc:AlternateContent>
                <mc:Choice Requires="wps">
                  <w:drawing>
                    <wp:anchor distT="0" distB="0" distL="114300" distR="114300" simplePos="0" relativeHeight="251809280" behindDoc="0" locked="0" layoutInCell="1" allowOverlap="1" wp14:anchorId="46324752" wp14:editId="11E6E6FD">
                      <wp:simplePos x="0" y="0"/>
                      <wp:positionH relativeFrom="column">
                        <wp:posOffset>2969027</wp:posOffset>
                      </wp:positionH>
                      <wp:positionV relativeFrom="paragraph">
                        <wp:posOffset>5087900</wp:posOffset>
                      </wp:positionV>
                      <wp:extent cx="876911" cy="6910070"/>
                      <wp:effectExtent l="5715" t="0" r="5715" b="5715"/>
                      <wp:wrapNone/>
                      <wp:docPr id="389" name="Rectangle 389"/>
                      <wp:cNvGraphicFramePr/>
                      <a:graphic xmlns:a="http://schemas.openxmlformats.org/drawingml/2006/main">
                        <a:graphicData uri="http://schemas.microsoft.com/office/word/2010/wordprocessingShape">
                          <wps:wsp>
                            <wps:cNvSpPr/>
                            <wps:spPr>
                              <a:xfrm rot="5400000">
                                <a:off x="0" y="0"/>
                                <a:ext cx="876911" cy="69100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7938" id="Rectangle 389" o:spid="_x0000_s1026" style="position:absolute;margin-left:233.8pt;margin-top:400.6pt;width:69.05pt;height:544.1pt;rotation:90;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" fillcolor="white [3212]" stroked="f" strokeweight="2pt"/>
                  </w:pict>
                </mc:Fallback>
              </mc:AlternateContent>
            </w:r>
          </w:p>
        </w:tc>
      </w:tr>
    </w:tbl>
    <w:p w14:paraId="1F49486D" w14:textId="68A258FB" w:rsidR="005B6CB5" w:rsidRPr="005B54EE" w:rsidRDefault="005B6CB5">
      <w:pPr>
        <w:rPr>
          <w:rFonts w:eastAsiaTheme="majorEastAsia" w:cstheme="majorBidi"/>
          <w:spacing w:val="-10"/>
          <w:kern w:val="28"/>
          <w:sz w:val="52"/>
          <w:szCs w:val="56"/>
        </w:rPr>
      </w:pPr>
      <w:r w:rsidRPr="005B54EE">
        <w:br w:type="page"/>
      </w:r>
    </w:p>
    <w:p w14:paraId="596C520A" w14:textId="0383C463" w:rsidR="00246278" w:rsidRPr="005B54EE" w:rsidRDefault="00246278" w:rsidP="00250DCB">
      <w:pPr>
        <w:pStyle w:val="Prambule"/>
        <w:ind w:left="0"/>
        <w:sectPr w:rsidR="00246278" w:rsidRPr="005B54EE" w:rsidSect="00777BD5">
          <w:footerReference w:type="default" r:id="rId13"/>
          <w:headerReference w:type="first" r:id="rId14"/>
          <w:pgSz w:w="11906" w:h="16838" w:code="9"/>
          <w:pgMar w:top="907" w:right="907" w:bottom="1361" w:left="907" w:header="284" w:footer="284" w:gutter="0"/>
          <w:cols w:space="708"/>
          <w:titlePg/>
          <w:docGrid w:linePitch="360"/>
        </w:sectPr>
      </w:pPr>
    </w:p>
    <w:sdt>
      <w:sdtPr>
        <w:rPr>
          <w:rFonts w:ascii="Marianne" w:eastAsia="Times New Roman" w:hAnsi="Marianne" w:cs="Times New Roman"/>
          <w:color w:val="auto"/>
          <w:sz w:val="21"/>
          <w:szCs w:val="24"/>
        </w:rPr>
        <w:id w:val="239524238"/>
        <w:docPartObj>
          <w:docPartGallery w:val="Table of Contents"/>
          <w:docPartUnique/>
        </w:docPartObj>
      </w:sdtPr>
      <w:sdtEndPr>
        <w:rPr>
          <w:b/>
          <w:bCs/>
          <w:sz w:val="22"/>
        </w:rPr>
      </w:sdtEndPr>
      <w:sdtContent>
        <w:p w14:paraId="17650CD6" w14:textId="77777777" w:rsidR="000F7B26" w:rsidRPr="005B54EE" w:rsidRDefault="000F7B26">
          <w:pPr>
            <w:pStyle w:val="TOCHeading"/>
            <w:rPr>
              <w:rFonts w:ascii="Marianne" w:eastAsia="Times New Roman" w:hAnsi="Marianne" w:cs="Times New Roman"/>
              <w:color w:val="auto"/>
              <w:sz w:val="21"/>
              <w:szCs w:val="24"/>
            </w:rPr>
          </w:pPr>
        </w:p>
        <w:p w14:paraId="0EB1B186" w14:textId="77777777" w:rsidR="000F7B26" w:rsidRPr="005B54EE" w:rsidRDefault="000F7B26">
          <w:pPr>
            <w:spacing w:line="240" w:lineRule="atLeast"/>
            <w:jc w:val="left"/>
            <w:rPr>
              <w:sz w:val="21"/>
            </w:rPr>
          </w:pPr>
          <w:r w:rsidRPr="005B54EE">
            <w:br w:type="page"/>
          </w:r>
        </w:p>
        <w:p w14:paraId="39075F62" w14:textId="1AAA34A1" w:rsidR="003D55E6" w:rsidRPr="005B54EE" w:rsidRDefault="003D55E6">
          <w:pPr>
            <w:pStyle w:val="TOCHeading"/>
          </w:pPr>
          <w:r w:rsidRPr="005B54EE">
            <w:lastRenderedPageBreak/>
            <w:t>Table of contents</w:t>
          </w:r>
        </w:p>
        <w:p w14:paraId="2F5029C3" w14:textId="60D2D62E" w:rsidR="00887BC2" w:rsidRDefault="003D55E6">
          <w:pPr>
            <w:pStyle w:val="TOC1"/>
            <w:rPr>
              <w:rFonts w:eastAsiaTheme="minorEastAsia" w:cstheme="minorBidi"/>
              <w:b w:val="0"/>
              <w:bCs w:val="0"/>
              <w:caps w:val="0"/>
              <w:noProof/>
              <w:szCs w:val="22"/>
              <w:lang w:val="fr-FR"/>
            </w:rPr>
          </w:pPr>
          <w:r w:rsidRPr="005B54EE">
            <w:fldChar w:fldCharType="begin"/>
          </w:r>
          <w:r w:rsidRPr="005B54EE">
            <w:instrText xml:space="preserve"> TOC \o "1-3" \h \z \u </w:instrText>
          </w:r>
          <w:r w:rsidRPr="005B54EE">
            <w:fldChar w:fldCharType="separate"/>
          </w:r>
          <w:hyperlink w:anchor="_Toc138344650" w:history="1">
            <w:r w:rsidR="00887BC2" w:rsidRPr="00AD3825">
              <w:rPr>
                <w:rStyle w:val="Hyperlink"/>
                <w:rFonts w:eastAsiaTheme="majorEastAsia"/>
                <w:noProof/>
              </w:rPr>
              <w:t>Chapter I - The greenhouse gas emissions inventory</w:t>
            </w:r>
            <w:r w:rsidR="00887BC2">
              <w:rPr>
                <w:noProof/>
                <w:webHidden/>
              </w:rPr>
              <w:tab/>
            </w:r>
            <w:r w:rsidR="00887BC2">
              <w:rPr>
                <w:noProof/>
                <w:webHidden/>
              </w:rPr>
              <w:fldChar w:fldCharType="begin"/>
            </w:r>
            <w:r w:rsidR="00887BC2">
              <w:rPr>
                <w:noProof/>
                <w:webHidden/>
              </w:rPr>
              <w:instrText xml:space="preserve"> PAGEREF _Toc138344650 \h </w:instrText>
            </w:r>
            <w:r w:rsidR="00887BC2">
              <w:rPr>
                <w:noProof/>
                <w:webHidden/>
              </w:rPr>
            </w:r>
            <w:r w:rsidR="00887BC2">
              <w:rPr>
                <w:noProof/>
                <w:webHidden/>
              </w:rPr>
              <w:fldChar w:fldCharType="separate"/>
            </w:r>
            <w:r w:rsidR="00887BC2">
              <w:rPr>
                <w:noProof/>
                <w:webHidden/>
              </w:rPr>
              <w:t>9</w:t>
            </w:r>
            <w:r w:rsidR="00887BC2">
              <w:rPr>
                <w:noProof/>
                <w:webHidden/>
              </w:rPr>
              <w:fldChar w:fldCharType="end"/>
            </w:r>
          </w:hyperlink>
        </w:p>
        <w:p w14:paraId="315EF86E" w14:textId="336090AD"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651" w:history="1">
            <w:r w:rsidR="00887BC2" w:rsidRPr="00AD3825">
              <w:rPr>
                <w:rStyle w:val="Hyperlink"/>
                <w:rFonts w:eastAsiaTheme="majorEastAsia"/>
                <w:noProof/>
              </w:rPr>
              <w:t>A.</w:t>
            </w:r>
            <w:r w:rsidR="00887BC2">
              <w:rPr>
                <w:rFonts w:eastAsiaTheme="minorEastAsia" w:cstheme="minorBidi"/>
                <w:smallCaps w:val="0"/>
                <w:noProof/>
                <w:szCs w:val="22"/>
                <w:lang w:val="fr-FR"/>
              </w:rPr>
              <w:tab/>
            </w:r>
            <w:r w:rsidR="00887BC2" w:rsidRPr="00AD3825">
              <w:rPr>
                <w:rStyle w:val="Hyperlink"/>
                <w:rFonts w:eastAsiaTheme="majorEastAsia"/>
                <w:noProof/>
              </w:rPr>
              <w:t>Developments since 1990</w:t>
            </w:r>
            <w:r w:rsidR="00887BC2">
              <w:rPr>
                <w:noProof/>
                <w:webHidden/>
              </w:rPr>
              <w:tab/>
            </w:r>
            <w:r w:rsidR="00887BC2">
              <w:rPr>
                <w:noProof/>
                <w:webHidden/>
              </w:rPr>
              <w:fldChar w:fldCharType="begin"/>
            </w:r>
            <w:r w:rsidR="00887BC2">
              <w:rPr>
                <w:noProof/>
                <w:webHidden/>
              </w:rPr>
              <w:instrText xml:space="preserve"> PAGEREF _Toc138344651 \h </w:instrText>
            </w:r>
            <w:r w:rsidR="00887BC2">
              <w:rPr>
                <w:noProof/>
                <w:webHidden/>
              </w:rPr>
            </w:r>
            <w:r w:rsidR="00887BC2">
              <w:rPr>
                <w:noProof/>
                <w:webHidden/>
              </w:rPr>
              <w:fldChar w:fldCharType="separate"/>
            </w:r>
            <w:r w:rsidR="00887BC2">
              <w:rPr>
                <w:noProof/>
                <w:webHidden/>
              </w:rPr>
              <w:t>9</w:t>
            </w:r>
            <w:r w:rsidR="00887BC2">
              <w:rPr>
                <w:noProof/>
                <w:webHidden/>
              </w:rPr>
              <w:fldChar w:fldCharType="end"/>
            </w:r>
          </w:hyperlink>
        </w:p>
        <w:p w14:paraId="236D5E97" w14:textId="505B4E0D"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52" w:history="1">
            <w:r w:rsidR="00887BC2" w:rsidRPr="00AD3825">
              <w:rPr>
                <w:rStyle w:val="Hyperlink"/>
                <w:rFonts w:ascii="Marianne" w:eastAsiaTheme="majorEastAsia" w:hAnsi="Marianne"/>
                <w:noProof/>
              </w:rPr>
              <w:t>A.1.</w:t>
            </w:r>
            <w:r w:rsidR="00887BC2">
              <w:rPr>
                <w:rFonts w:eastAsiaTheme="minorEastAsia" w:cstheme="minorBidi"/>
                <w:i w:val="0"/>
                <w:iCs w:val="0"/>
                <w:noProof/>
                <w:szCs w:val="22"/>
                <w:lang w:val="fr-FR"/>
              </w:rPr>
              <w:tab/>
            </w:r>
            <w:r w:rsidR="00887BC2" w:rsidRPr="00AD3825">
              <w:rPr>
                <w:rStyle w:val="Hyperlink"/>
                <w:rFonts w:eastAsiaTheme="majorEastAsia"/>
                <w:noProof/>
              </w:rPr>
              <w:t>Emissions within the Convention area from 1990 to 2020</w:t>
            </w:r>
            <w:r w:rsidR="00887BC2">
              <w:rPr>
                <w:noProof/>
                <w:webHidden/>
              </w:rPr>
              <w:tab/>
            </w:r>
            <w:r w:rsidR="00887BC2">
              <w:rPr>
                <w:noProof/>
                <w:webHidden/>
              </w:rPr>
              <w:fldChar w:fldCharType="begin"/>
            </w:r>
            <w:r w:rsidR="00887BC2">
              <w:rPr>
                <w:noProof/>
                <w:webHidden/>
              </w:rPr>
              <w:instrText xml:space="preserve"> PAGEREF _Toc138344652 \h </w:instrText>
            </w:r>
            <w:r w:rsidR="00887BC2">
              <w:rPr>
                <w:noProof/>
                <w:webHidden/>
              </w:rPr>
            </w:r>
            <w:r w:rsidR="00887BC2">
              <w:rPr>
                <w:noProof/>
                <w:webHidden/>
              </w:rPr>
              <w:fldChar w:fldCharType="separate"/>
            </w:r>
            <w:r w:rsidR="00887BC2">
              <w:rPr>
                <w:noProof/>
                <w:webHidden/>
              </w:rPr>
              <w:t>9</w:t>
            </w:r>
            <w:r w:rsidR="00887BC2">
              <w:rPr>
                <w:noProof/>
                <w:webHidden/>
              </w:rPr>
              <w:fldChar w:fldCharType="end"/>
            </w:r>
          </w:hyperlink>
        </w:p>
        <w:p w14:paraId="35D29D66" w14:textId="51409AA8"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53" w:history="1">
            <w:r w:rsidR="00887BC2" w:rsidRPr="00AD3825">
              <w:rPr>
                <w:rStyle w:val="Hyperlink"/>
                <w:rFonts w:ascii="Marianne" w:eastAsiaTheme="majorEastAsia" w:hAnsi="Marianne"/>
                <w:noProof/>
              </w:rPr>
              <w:t>A.2.</w:t>
            </w:r>
            <w:r w:rsidR="00887BC2">
              <w:rPr>
                <w:rFonts w:eastAsiaTheme="minorEastAsia" w:cstheme="minorBidi"/>
                <w:i w:val="0"/>
                <w:iCs w:val="0"/>
                <w:noProof/>
                <w:szCs w:val="22"/>
                <w:lang w:val="fr-FR"/>
              </w:rPr>
              <w:tab/>
            </w:r>
            <w:r w:rsidR="00887BC2" w:rsidRPr="00AD3825">
              <w:rPr>
                <w:rStyle w:val="Hyperlink"/>
                <w:rFonts w:eastAsiaTheme="majorEastAsia"/>
                <w:noProof/>
              </w:rPr>
              <w:t>Emissions within the ‘Kyoto’ area from 1990 to 2020</w:t>
            </w:r>
            <w:r w:rsidR="00887BC2">
              <w:rPr>
                <w:noProof/>
                <w:webHidden/>
              </w:rPr>
              <w:tab/>
            </w:r>
            <w:r w:rsidR="00887BC2">
              <w:rPr>
                <w:noProof/>
                <w:webHidden/>
              </w:rPr>
              <w:fldChar w:fldCharType="begin"/>
            </w:r>
            <w:r w:rsidR="00887BC2">
              <w:rPr>
                <w:noProof/>
                <w:webHidden/>
              </w:rPr>
              <w:instrText xml:space="preserve"> PAGEREF _Toc138344653 \h </w:instrText>
            </w:r>
            <w:r w:rsidR="00887BC2">
              <w:rPr>
                <w:noProof/>
                <w:webHidden/>
              </w:rPr>
            </w:r>
            <w:r w:rsidR="00887BC2">
              <w:rPr>
                <w:noProof/>
                <w:webHidden/>
              </w:rPr>
              <w:fldChar w:fldCharType="separate"/>
            </w:r>
            <w:r w:rsidR="00887BC2">
              <w:rPr>
                <w:noProof/>
                <w:webHidden/>
              </w:rPr>
              <w:t>10</w:t>
            </w:r>
            <w:r w:rsidR="00887BC2">
              <w:rPr>
                <w:noProof/>
                <w:webHidden/>
              </w:rPr>
              <w:fldChar w:fldCharType="end"/>
            </w:r>
          </w:hyperlink>
        </w:p>
        <w:p w14:paraId="6BED2406" w14:textId="16DAA38B"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54" w:history="1">
            <w:r w:rsidR="00887BC2" w:rsidRPr="00AD3825">
              <w:rPr>
                <w:rStyle w:val="Hyperlink"/>
                <w:rFonts w:eastAsiaTheme="majorEastAsia"/>
                <w:noProof/>
              </w:rPr>
              <w:t>B.</w:t>
            </w:r>
            <w:r w:rsidR="00887BC2">
              <w:rPr>
                <w:rFonts w:eastAsiaTheme="minorEastAsia" w:cstheme="minorBidi"/>
                <w:smallCaps w:val="0"/>
                <w:noProof/>
                <w:szCs w:val="22"/>
                <w:lang w:val="fr-FR"/>
              </w:rPr>
              <w:tab/>
            </w:r>
            <w:r w:rsidR="00887BC2" w:rsidRPr="00AD3825">
              <w:rPr>
                <w:rStyle w:val="Hyperlink"/>
                <w:rFonts w:eastAsiaTheme="majorEastAsia"/>
                <w:noProof/>
              </w:rPr>
              <w:t>Trends by type of gas since 1990 within the Kyoto area</w:t>
            </w:r>
            <w:r w:rsidR="00887BC2">
              <w:rPr>
                <w:noProof/>
                <w:webHidden/>
              </w:rPr>
              <w:tab/>
            </w:r>
            <w:r w:rsidR="00887BC2">
              <w:rPr>
                <w:noProof/>
                <w:webHidden/>
              </w:rPr>
              <w:fldChar w:fldCharType="begin"/>
            </w:r>
            <w:r w:rsidR="00887BC2">
              <w:rPr>
                <w:noProof/>
                <w:webHidden/>
              </w:rPr>
              <w:instrText xml:space="preserve"> PAGEREF _Toc138344654 \h </w:instrText>
            </w:r>
            <w:r w:rsidR="00887BC2">
              <w:rPr>
                <w:noProof/>
                <w:webHidden/>
              </w:rPr>
            </w:r>
            <w:r w:rsidR="00887BC2">
              <w:rPr>
                <w:noProof/>
                <w:webHidden/>
              </w:rPr>
              <w:fldChar w:fldCharType="separate"/>
            </w:r>
            <w:r w:rsidR="00887BC2">
              <w:rPr>
                <w:noProof/>
                <w:webHidden/>
              </w:rPr>
              <w:t>11</w:t>
            </w:r>
            <w:r w:rsidR="00887BC2">
              <w:rPr>
                <w:noProof/>
                <w:webHidden/>
              </w:rPr>
              <w:fldChar w:fldCharType="end"/>
            </w:r>
          </w:hyperlink>
        </w:p>
        <w:p w14:paraId="038BEF72" w14:textId="2E024A2E"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55" w:history="1">
            <w:r w:rsidR="00887BC2" w:rsidRPr="00AD3825">
              <w:rPr>
                <w:rStyle w:val="Hyperlink"/>
                <w:rFonts w:ascii="Marianne" w:eastAsiaTheme="majorEastAsia" w:hAnsi="Marianne"/>
                <w:noProof/>
              </w:rPr>
              <w:t>B.1.</w:t>
            </w:r>
            <w:r w:rsidR="00887BC2">
              <w:rPr>
                <w:rFonts w:eastAsiaTheme="minorEastAsia" w:cstheme="minorBidi"/>
                <w:i w:val="0"/>
                <w:iCs w:val="0"/>
                <w:noProof/>
                <w:szCs w:val="22"/>
                <w:lang w:val="fr-FR"/>
              </w:rPr>
              <w:tab/>
            </w:r>
            <w:r w:rsidR="00887BC2" w:rsidRPr="00AD3825">
              <w:rPr>
                <w:rStyle w:val="Hyperlink"/>
                <w:rFonts w:eastAsiaTheme="majorEastAsia"/>
                <w:noProof/>
              </w:rPr>
              <w:t>CO</w:t>
            </w:r>
            <w:r w:rsidR="00887BC2" w:rsidRPr="00AD3825">
              <w:rPr>
                <w:rStyle w:val="Hyperlink"/>
                <w:rFonts w:eastAsiaTheme="majorEastAsia"/>
                <w:noProof/>
                <w:vertAlign w:val="subscript"/>
              </w:rPr>
              <w:t>2</w:t>
            </w:r>
            <w:r w:rsidR="00887BC2" w:rsidRPr="00AD3825">
              <w:rPr>
                <w:rStyle w:val="Hyperlink"/>
                <w:rFonts w:eastAsiaTheme="majorEastAsia"/>
                <w:noProof/>
              </w:rPr>
              <w:t xml:space="preserve"> Emissions</w:t>
            </w:r>
            <w:r w:rsidR="00887BC2">
              <w:rPr>
                <w:noProof/>
                <w:webHidden/>
              </w:rPr>
              <w:tab/>
            </w:r>
            <w:r w:rsidR="00887BC2">
              <w:rPr>
                <w:noProof/>
                <w:webHidden/>
              </w:rPr>
              <w:fldChar w:fldCharType="begin"/>
            </w:r>
            <w:r w:rsidR="00887BC2">
              <w:rPr>
                <w:noProof/>
                <w:webHidden/>
              </w:rPr>
              <w:instrText xml:space="preserve"> PAGEREF _Toc138344655 \h </w:instrText>
            </w:r>
            <w:r w:rsidR="00887BC2">
              <w:rPr>
                <w:noProof/>
                <w:webHidden/>
              </w:rPr>
            </w:r>
            <w:r w:rsidR="00887BC2">
              <w:rPr>
                <w:noProof/>
                <w:webHidden/>
              </w:rPr>
              <w:fldChar w:fldCharType="separate"/>
            </w:r>
            <w:r w:rsidR="00887BC2">
              <w:rPr>
                <w:noProof/>
                <w:webHidden/>
              </w:rPr>
              <w:t>13</w:t>
            </w:r>
            <w:r w:rsidR="00887BC2">
              <w:rPr>
                <w:noProof/>
                <w:webHidden/>
              </w:rPr>
              <w:fldChar w:fldCharType="end"/>
            </w:r>
          </w:hyperlink>
        </w:p>
        <w:p w14:paraId="2A6DA63B" w14:textId="266448B1"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56" w:history="1">
            <w:r w:rsidR="00887BC2" w:rsidRPr="00AD3825">
              <w:rPr>
                <w:rStyle w:val="Hyperlink"/>
                <w:rFonts w:ascii="Marianne" w:eastAsiaTheme="majorEastAsia" w:hAnsi="Marianne"/>
                <w:noProof/>
              </w:rPr>
              <w:t>B.2.</w:t>
            </w:r>
            <w:r w:rsidR="00887BC2">
              <w:rPr>
                <w:rFonts w:eastAsiaTheme="minorEastAsia" w:cstheme="minorBidi"/>
                <w:i w:val="0"/>
                <w:iCs w:val="0"/>
                <w:noProof/>
                <w:szCs w:val="22"/>
                <w:lang w:val="fr-FR"/>
              </w:rPr>
              <w:tab/>
            </w:r>
            <w:r w:rsidR="00887BC2" w:rsidRPr="00AD3825">
              <w:rPr>
                <w:rStyle w:val="Hyperlink"/>
                <w:rFonts w:eastAsiaTheme="majorEastAsia"/>
                <w:noProof/>
              </w:rPr>
              <w:t>Methane (CH</w:t>
            </w:r>
            <w:r w:rsidR="00887BC2" w:rsidRPr="00AD3825">
              <w:rPr>
                <w:rStyle w:val="Hyperlink"/>
                <w:rFonts w:eastAsiaTheme="majorEastAsia"/>
                <w:noProof/>
                <w:vertAlign w:val="subscript"/>
              </w:rPr>
              <w:t>4</w:t>
            </w:r>
            <w:r w:rsidR="00887BC2" w:rsidRPr="00AD3825">
              <w:rPr>
                <w:rStyle w:val="Hyperlink"/>
                <w:rFonts w:eastAsiaTheme="majorEastAsia"/>
                <w:noProof/>
              </w:rPr>
              <w:t>) emissions</w:t>
            </w:r>
            <w:r w:rsidR="00887BC2">
              <w:rPr>
                <w:noProof/>
                <w:webHidden/>
              </w:rPr>
              <w:tab/>
            </w:r>
            <w:r w:rsidR="00887BC2">
              <w:rPr>
                <w:noProof/>
                <w:webHidden/>
              </w:rPr>
              <w:fldChar w:fldCharType="begin"/>
            </w:r>
            <w:r w:rsidR="00887BC2">
              <w:rPr>
                <w:noProof/>
                <w:webHidden/>
              </w:rPr>
              <w:instrText xml:space="preserve"> PAGEREF _Toc138344656 \h </w:instrText>
            </w:r>
            <w:r w:rsidR="00887BC2">
              <w:rPr>
                <w:noProof/>
                <w:webHidden/>
              </w:rPr>
            </w:r>
            <w:r w:rsidR="00887BC2">
              <w:rPr>
                <w:noProof/>
                <w:webHidden/>
              </w:rPr>
              <w:fldChar w:fldCharType="separate"/>
            </w:r>
            <w:r w:rsidR="00887BC2">
              <w:rPr>
                <w:noProof/>
                <w:webHidden/>
              </w:rPr>
              <w:t>14</w:t>
            </w:r>
            <w:r w:rsidR="00887BC2">
              <w:rPr>
                <w:noProof/>
                <w:webHidden/>
              </w:rPr>
              <w:fldChar w:fldCharType="end"/>
            </w:r>
          </w:hyperlink>
        </w:p>
        <w:p w14:paraId="4B8EF9A7" w14:textId="3D4004AF"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57" w:history="1">
            <w:r w:rsidR="00887BC2" w:rsidRPr="00AD3825">
              <w:rPr>
                <w:rStyle w:val="Hyperlink"/>
                <w:rFonts w:ascii="Marianne" w:eastAsiaTheme="majorEastAsia" w:hAnsi="Marianne"/>
                <w:noProof/>
              </w:rPr>
              <w:t>B.3.</w:t>
            </w:r>
            <w:r w:rsidR="00887BC2">
              <w:rPr>
                <w:rFonts w:eastAsiaTheme="minorEastAsia" w:cstheme="minorBidi"/>
                <w:i w:val="0"/>
                <w:iCs w:val="0"/>
                <w:noProof/>
                <w:szCs w:val="22"/>
                <w:lang w:val="fr-FR"/>
              </w:rPr>
              <w:tab/>
            </w:r>
            <w:r w:rsidR="00887BC2" w:rsidRPr="00AD3825">
              <w:rPr>
                <w:rStyle w:val="Hyperlink"/>
                <w:rFonts w:eastAsiaTheme="majorEastAsia"/>
                <w:noProof/>
              </w:rPr>
              <w:t>Breakdown of nitrous oxide (N</w:t>
            </w:r>
            <w:r w:rsidR="00887BC2" w:rsidRPr="00AD3825">
              <w:rPr>
                <w:rStyle w:val="Hyperlink"/>
                <w:rFonts w:eastAsiaTheme="majorEastAsia"/>
                <w:noProof/>
                <w:vertAlign w:val="subscript"/>
              </w:rPr>
              <w:t>2</w:t>
            </w:r>
            <w:r w:rsidR="00887BC2" w:rsidRPr="00AD3825">
              <w:rPr>
                <w:rStyle w:val="Hyperlink"/>
                <w:rFonts w:eastAsiaTheme="majorEastAsia"/>
                <w:noProof/>
              </w:rPr>
              <w:t>O) emissions by sector</w:t>
            </w:r>
            <w:r w:rsidR="00887BC2">
              <w:rPr>
                <w:noProof/>
                <w:webHidden/>
              </w:rPr>
              <w:tab/>
            </w:r>
            <w:r w:rsidR="00887BC2">
              <w:rPr>
                <w:noProof/>
                <w:webHidden/>
              </w:rPr>
              <w:fldChar w:fldCharType="begin"/>
            </w:r>
            <w:r w:rsidR="00887BC2">
              <w:rPr>
                <w:noProof/>
                <w:webHidden/>
              </w:rPr>
              <w:instrText xml:space="preserve"> PAGEREF _Toc138344657 \h </w:instrText>
            </w:r>
            <w:r w:rsidR="00887BC2">
              <w:rPr>
                <w:noProof/>
                <w:webHidden/>
              </w:rPr>
            </w:r>
            <w:r w:rsidR="00887BC2">
              <w:rPr>
                <w:noProof/>
                <w:webHidden/>
              </w:rPr>
              <w:fldChar w:fldCharType="separate"/>
            </w:r>
            <w:r w:rsidR="00887BC2">
              <w:rPr>
                <w:noProof/>
                <w:webHidden/>
              </w:rPr>
              <w:t>15</w:t>
            </w:r>
            <w:r w:rsidR="00887BC2">
              <w:rPr>
                <w:noProof/>
                <w:webHidden/>
              </w:rPr>
              <w:fldChar w:fldCharType="end"/>
            </w:r>
          </w:hyperlink>
        </w:p>
        <w:p w14:paraId="470C5BCD" w14:textId="0EECFF62"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58" w:history="1">
            <w:r w:rsidR="00887BC2" w:rsidRPr="00AD3825">
              <w:rPr>
                <w:rStyle w:val="Hyperlink"/>
                <w:rFonts w:ascii="Marianne" w:eastAsiaTheme="majorEastAsia" w:hAnsi="Marianne"/>
                <w:noProof/>
              </w:rPr>
              <w:t>B.4.</w:t>
            </w:r>
            <w:r w:rsidR="00887BC2">
              <w:rPr>
                <w:rFonts w:eastAsiaTheme="minorEastAsia" w:cstheme="minorBidi"/>
                <w:i w:val="0"/>
                <w:iCs w:val="0"/>
                <w:noProof/>
                <w:szCs w:val="22"/>
                <w:lang w:val="fr-FR"/>
              </w:rPr>
              <w:tab/>
            </w:r>
            <w:r w:rsidR="00887BC2" w:rsidRPr="00AD3825">
              <w:rPr>
                <w:rStyle w:val="Hyperlink"/>
                <w:rFonts w:eastAsiaTheme="majorEastAsia"/>
                <w:noProof/>
              </w:rPr>
              <w:t>Breakdown of emissions by sector: fluorinated gases (PFCs, HFCs, SF</w:t>
            </w:r>
            <w:r w:rsidR="00887BC2" w:rsidRPr="00AD3825">
              <w:rPr>
                <w:rStyle w:val="Hyperlink"/>
                <w:rFonts w:eastAsiaTheme="majorEastAsia"/>
                <w:noProof/>
                <w:vertAlign w:val="subscript"/>
              </w:rPr>
              <w:t>6</w:t>
            </w:r>
            <w:r w:rsidR="00887BC2" w:rsidRPr="00AD3825">
              <w:rPr>
                <w:rStyle w:val="Hyperlink"/>
                <w:rFonts w:eastAsiaTheme="majorEastAsia"/>
                <w:noProof/>
              </w:rPr>
              <w:t xml:space="preserve"> and NF</w:t>
            </w:r>
            <w:r w:rsidR="00887BC2" w:rsidRPr="00AD3825">
              <w:rPr>
                <w:rStyle w:val="Hyperlink"/>
                <w:rFonts w:eastAsiaTheme="majorEastAsia"/>
                <w:noProof/>
                <w:vertAlign w:val="subscript"/>
              </w:rPr>
              <w:t>3</w:t>
            </w:r>
            <w:r w:rsidR="00887BC2" w:rsidRPr="00AD3825">
              <w:rPr>
                <w:rStyle w:val="Hyperlink"/>
                <w:rFonts w:eastAsiaTheme="majorEastAsia"/>
                <w:noProof/>
              </w:rPr>
              <w:t>)</w:t>
            </w:r>
            <w:r w:rsidR="00887BC2">
              <w:rPr>
                <w:noProof/>
                <w:webHidden/>
              </w:rPr>
              <w:tab/>
            </w:r>
            <w:r w:rsidR="00887BC2">
              <w:rPr>
                <w:noProof/>
                <w:webHidden/>
              </w:rPr>
              <w:fldChar w:fldCharType="begin"/>
            </w:r>
            <w:r w:rsidR="00887BC2">
              <w:rPr>
                <w:noProof/>
                <w:webHidden/>
              </w:rPr>
              <w:instrText xml:space="preserve"> PAGEREF _Toc138344658 \h </w:instrText>
            </w:r>
            <w:r w:rsidR="00887BC2">
              <w:rPr>
                <w:noProof/>
                <w:webHidden/>
              </w:rPr>
            </w:r>
            <w:r w:rsidR="00887BC2">
              <w:rPr>
                <w:noProof/>
                <w:webHidden/>
              </w:rPr>
              <w:fldChar w:fldCharType="separate"/>
            </w:r>
            <w:r w:rsidR="00887BC2">
              <w:rPr>
                <w:noProof/>
                <w:webHidden/>
              </w:rPr>
              <w:t>15</w:t>
            </w:r>
            <w:r w:rsidR="00887BC2">
              <w:rPr>
                <w:noProof/>
                <w:webHidden/>
              </w:rPr>
              <w:fldChar w:fldCharType="end"/>
            </w:r>
          </w:hyperlink>
        </w:p>
        <w:p w14:paraId="402AA309" w14:textId="57AEBAFE"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59" w:history="1">
            <w:r w:rsidR="00887BC2" w:rsidRPr="00AD3825">
              <w:rPr>
                <w:rStyle w:val="Hyperlink"/>
                <w:rFonts w:eastAsiaTheme="majorEastAsia"/>
                <w:noProof/>
              </w:rPr>
              <w:t>C.</w:t>
            </w:r>
            <w:r w:rsidR="00887BC2">
              <w:rPr>
                <w:rFonts w:eastAsiaTheme="minorEastAsia" w:cstheme="minorBidi"/>
                <w:smallCaps w:val="0"/>
                <w:noProof/>
                <w:szCs w:val="22"/>
                <w:lang w:val="fr-FR"/>
              </w:rPr>
              <w:tab/>
            </w:r>
            <w:r w:rsidR="00887BC2" w:rsidRPr="00AD3825">
              <w:rPr>
                <w:rStyle w:val="Hyperlink"/>
                <w:rFonts w:eastAsiaTheme="majorEastAsia"/>
                <w:noProof/>
              </w:rPr>
              <w:t>The national inventory system</w:t>
            </w:r>
            <w:r w:rsidR="00887BC2">
              <w:rPr>
                <w:noProof/>
                <w:webHidden/>
              </w:rPr>
              <w:tab/>
            </w:r>
            <w:r w:rsidR="00887BC2">
              <w:rPr>
                <w:noProof/>
                <w:webHidden/>
              </w:rPr>
              <w:fldChar w:fldCharType="begin"/>
            </w:r>
            <w:r w:rsidR="00887BC2">
              <w:rPr>
                <w:noProof/>
                <w:webHidden/>
              </w:rPr>
              <w:instrText xml:space="preserve"> PAGEREF _Toc138344659 \h </w:instrText>
            </w:r>
            <w:r w:rsidR="00887BC2">
              <w:rPr>
                <w:noProof/>
                <w:webHidden/>
              </w:rPr>
            </w:r>
            <w:r w:rsidR="00887BC2">
              <w:rPr>
                <w:noProof/>
                <w:webHidden/>
              </w:rPr>
              <w:fldChar w:fldCharType="separate"/>
            </w:r>
            <w:r w:rsidR="00887BC2">
              <w:rPr>
                <w:noProof/>
                <w:webHidden/>
              </w:rPr>
              <w:t>16</w:t>
            </w:r>
            <w:r w:rsidR="00887BC2">
              <w:rPr>
                <w:noProof/>
                <w:webHidden/>
              </w:rPr>
              <w:fldChar w:fldCharType="end"/>
            </w:r>
          </w:hyperlink>
        </w:p>
        <w:p w14:paraId="3EBD68C3" w14:textId="6CC724FD" w:rsidR="00887BC2" w:rsidRDefault="00C73940">
          <w:pPr>
            <w:pStyle w:val="TOC1"/>
            <w:rPr>
              <w:rFonts w:eastAsiaTheme="minorEastAsia" w:cstheme="minorBidi"/>
              <w:b w:val="0"/>
              <w:bCs w:val="0"/>
              <w:caps w:val="0"/>
              <w:noProof/>
              <w:szCs w:val="22"/>
              <w:lang w:val="fr-FR"/>
            </w:rPr>
          </w:pPr>
          <w:hyperlink w:anchor="_Toc138344660" w:history="1">
            <w:r w:rsidR="00887BC2" w:rsidRPr="00AD3825">
              <w:rPr>
                <w:rStyle w:val="Hyperlink"/>
                <w:rFonts w:eastAsiaTheme="majorEastAsia"/>
                <w:noProof/>
              </w:rPr>
              <w:t>Chapter II - The quantified emission reduction targets</w:t>
            </w:r>
            <w:r w:rsidR="00887BC2">
              <w:rPr>
                <w:noProof/>
                <w:webHidden/>
              </w:rPr>
              <w:tab/>
            </w:r>
            <w:r w:rsidR="00887BC2">
              <w:rPr>
                <w:noProof/>
                <w:webHidden/>
              </w:rPr>
              <w:fldChar w:fldCharType="begin"/>
            </w:r>
            <w:r w:rsidR="00887BC2">
              <w:rPr>
                <w:noProof/>
                <w:webHidden/>
              </w:rPr>
              <w:instrText xml:space="preserve"> PAGEREF _Toc138344660 \h </w:instrText>
            </w:r>
            <w:r w:rsidR="00887BC2">
              <w:rPr>
                <w:noProof/>
                <w:webHidden/>
              </w:rPr>
            </w:r>
            <w:r w:rsidR="00887BC2">
              <w:rPr>
                <w:noProof/>
                <w:webHidden/>
              </w:rPr>
              <w:fldChar w:fldCharType="separate"/>
            </w:r>
            <w:r w:rsidR="00887BC2">
              <w:rPr>
                <w:noProof/>
                <w:webHidden/>
              </w:rPr>
              <w:t>17</w:t>
            </w:r>
            <w:r w:rsidR="00887BC2">
              <w:rPr>
                <w:noProof/>
                <w:webHidden/>
              </w:rPr>
              <w:fldChar w:fldCharType="end"/>
            </w:r>
          </w:hyperlink>
        </w:p>
        <w:p w14:paraId="0368C82D" w14:textId="0D136CEA"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661" w:history="1">
            <w:r w:rsidR="00887BC2" w:rsidRPr="00AD3825">
              <w:rPr>
                <w:rStyle w:val="Hyperlink"/>
                <w:rFonts w:eastAsiaTheme="majorEastAsia"/>
                <w:noProof/>
              </w:rPr>
              <w:t>A.</w:t>
            </w:r>
            <w:r w:rsidR="00887BC2">
              <w:rPr>
                <w:rFonts w:eastAsiaTheme="minorEastAsia" w:cstheme="minorBidi"/>
                <w:smallCaps w:val="0"/>
                <w:noProof/>
                <w:szCs w:val="22"/>
                <w:lang w:val="fr-FR"/>
              </w:rPr>
              <w:tab/>
            </w:r>
            <w:r w:rsidR="00887BC2" w:rsidRPr="00AD3825">
              <w:rPr>
                <w:rStyle w:val="Hyperlink"/>
                <w:rFonts w:eastAsiaTheme="majorEastAsia"/>
                <w:noProof/>
              </w:rPr>
              <w:t>Overview of the target, gases and sectors included</w:t>
            </w:r>
            <w:r w:rsidR="00887BC2">
              <w:rPr>
                <w:noProof/>
                <w:webHidden/>
              </w:rPr>
              <w:tab/>
            </w:r>
            <w:r w:rsidR="00887BC2">
              <w:rPr>
                <w:noProof/>
                <w:webHidden/>
              </w:rPr>
              <w:fldChar w:fldCharType="begin"/>
            </w:r>
            <w:r w:rsidR="00887BC2">
              <w:rPr>
                <w:noProof/>
                <w:webHidden/>
              </w:rPr>
              <w:instrText xml:space="preserve"> PAGEREF _Toc138344661 \h </w:instrText>
            </w:r>
            <w:r w:rsidR="00887BC2">
              <w:rPr>
                <w:noProof/>
                <w:webHidden/>
              </w:rPr>
            </w:r>
            <w:r w:rsidR="00887BC2">
              <w:rPr>
                <w:noProof/>
                <w:webHidden/>
              </w:rPr>
              <w:fldChar w:fldCharType="separate"/>
            </w:r>
            <w:r w:rsidR="00887BC2">
              <w:rPr>
                <w:noProof/>
                <w:webHidden/>
              </w:rPr>
              <w:t>17</w:t>
            </w:r>
            <w:r w:rsidR="00887BC2">
              <w:rPr>
                <w:noProof/>
                <w:webHidden/>
              </w:rPr>
              <w:fldChar w:fldCharType="end"/>
            </w:r>
          </w:hyperlink>
        </w:p>
        <w:p w14:paraId="65D416D3" w14:textId="0C644E29"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62" w:history="1">
            <w:r w:rsidR="00887BC2" w:rsidRPr="00AD3825">
              <w:rPr>
                <w:rStyle w:val="Hyperlink"/>
                <w:rFonts w:ascii="Marianne" w:eastAsiaTheme="majorEastAsia" w:hAnsi="Marianne"/>
                <w:noProof/>
              </w:rPr>
              <w:t>A.1.</w:t>
            </w:r>
            <w:r w:rsidR="00887BC2">
              <w:rPr>
                <w:rFonts w:eastAsiaTheme="minorEastAsia" w:cstheme="minorBidi"/>
                <w:i w:val="0"/>
                <w:iCs w:val="0"/>
                <w:noProof/>
                <w:szCs w:val="22"/>
                <w:lang w:val="fr-FR"/>
              </w:rPr>
              <w:tab/>
            </w:r>
            <w:r w:rsidR="00887BC2" w:rsidRPr="00AD3825">
              <w:rPr>
                <w:rStyle w:val="Hyperlink"/>
                <w:rFonts w:eastAsiaTheme="majorEastAsia"/>
                <w:noProof/>
              </w:rPr>
              <w:t>At European level</w:t>
            </w:r>
            <w:r w:rsidR="00887BC2">
              <w:rPr>
                <w:noProof/>
                <w:webHidden/>
              </w:rPr>
              <w:tab/>
            </w:r>
            <w:r w:rsidR="00887BC2">
              <w:rPr>
                <w:noProof/>
                <w:webHidden/>
              </w:rPr>
              <w:fldChar w:fldCharType="begin"/>
            </w:r>
            <w:r w:rsidR="00887BC2">
              <w:rPr>
                <w:noProof/>
                <w:webHidden/>
              </w:rPr>
              <w:instrText xml:space="preserve"> PAGEREF _Toc138344662 \h </w:instrText>
            </w:r>
            <w:r w:rsidR="00887BC2">
              <w:rPr>
                <w:noProof/>
                <w:webHidden/>
              </w:rPr>
            </w:r>
            <w:r w:rsidR="00887BC2">
              <w:rPr>
                <w:noProof/>
                <w:webHidden/>
              </w:rPr>
              <w:fldChar w:fldCharType="separate"/>
            </w:r>
            <w:r w:rsidR="00887BC2">
              <w:rPr>
                <w:noProof/>
                <w:webHidden/>
              </w:rPr>
              <w:t>17</w:t>
            </w:r>
            <w:r w:rsidR="00887BC2">
              <w:rPr>
                <w:noProof/>
                <w:webHidden/>
              </w:rPr>
              <w:fldChar w:fldCharType="end"/>
            </w:r>
          </w:hyperlink>
        </w:p>
        <w:p w14:paraId="147C8A80" w14:textId="65193618"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63" w:history="1">
            <w:r w:rsidR="00887BC2" w:rsidRPr="00AD3825">
              <w:rPr>
                <w:rStyle w:val="Hyperlink"/>
                <w:rFonts w:ascii="Marianne" w:eastAsiaTheme="majorEastAsia" w:hAnsi="Marianne"/>
                <w:noProof/>
              </w:rPr>
              <w:t>A.2.</w:t>
            </w:r>
            <w:r w:rsidR="00887BC2">
              <w:rPr>
                <w:rFonts w:eastAsiaTheme="minorEastAsia" w:cstheme="minorBidi"/>
                <w:i w:val="0"/>
                <w:iCs w:val="0"/>
                <w:noProof/>
                <w:szCs w:val="22"/>
                <w:lang w:val="fr-FR"/>
              </w:rPr>
              <w:tab/>
            </w:r>
            <w:r w:rsidR="00887BC2" w:rsidRPr="00AD3825">
              <w:rPr>
                <w:rStyle w:val="Hyperlink"/>
                <w:rFonts w:eastAsiaTheme="majorEastAsia"/>
                <w:noProof/>
              </w:rPr>
              <w:t>At national level</w:t>
            </w:r>
            <w:r w:rsidR="00887BC2">
              <w:rPr>
                <w:noProof/>
                <w:webHidden/>
              </w:rPr>
              <w:tab/>
            </w:r>
            <w:r w:rsidR="00887BC2">
              <w:rPr>
                <w:noProof/>
                <w:webHidden/>
              </w:rPr>
              <w:fldChar w:fldCharType="begin"/>
            </w:r>
            <w:r w:rsidR="00887BC2">
              <w:rPr>
                <w:noProof/>
                <w:webHidden/>
              </w:rPr>
              <w:instrText xml:space="preserve"> PAGEREF _Toc138344663 \h </w:instrText>
            </w:r>
            <w:r w:rsidR="00887BC2">
              <w:rPr>
                <w:noProof/>
                <w:webHidden/>
              </w:rPr>
            </w:r>
            <w:r w:rsidR="00887BC2">
              <w:rPr>
                <w:noProof/>
                <w:webHidden/>
              </w:rPr>
              <w:fldChar w:fldCharType="separate"/>
            </w:r>
            <w:r w:rsidR="00887BC2">
              <w:rPr>
                <w:noProof/>
                <w:webHidden/>
              </w:rPr>
              <w:t>19</w:t>
            </w:r>
            <w:r w:rsidR="00887BC2">
              <w:rPr>
                <w:noProof/>
                <w:webHidden/>
              </w:rPr>
              <w:fldChar w:fldCharType="end"/>
            </w:r>
          </w:hyperlink>
        </w:p>
        <w:p w14:paraId="08DA0EEB" w14:textId="24AD14E4"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64" w:history="1">
            <w:r w:rsidR="00887BC2" w:rsidRPr="00AD3825">
              <w:rPr>
                <w:rStyle w:val="Hyperlink"/>
                <w:rFonts w:ascii="Marianne" w:eastAsiaTheme="majorEastAsia" w:hAnsi="Marianne"/>
                <w:noProof/>
              </w:rPr>
              <w:t>A.3.</w:t>
            </w:r>
            <w:r w:rsidR="00887BC2">
              <w:rPr>
                <w:rFonts w:eastAsiaTheme="minorEastAsia" w:cstheme="minorBidi"/>
                <w:i w:val="0"/>
                <w:iCs w:val="0"/>
                <w:noProof/>
                <w:szCs w:val="22"/>
                <w:lang w:val="fr-FR"/>
              </w:rPr>
              <w:tab/>
            </w:r>
            <w:r w:rsidR="00887BC2" w:rsidRPr="00AD3825">
              <w:rPr>
                <w:rStyle w:val="Hyperlink"/>
                <w:rFonts w:eastAsiaTheme="majorEastAsia"/>
                <w:noProof/>
              </w:rPr>
              <w:t>Update on France's 2020 targets</w:t>
            </w:r>
            <w:r w:rsidR="00887BC2">
              <w:rPr>
                <w:noProof/>
                <w:webHidden/>
              </w:rPr>
              <w:tab/>
            </w:r>
            <w:r w:rsidR="00887BC2">
              <w:rPr>
                <w:noProof/>
                <w:webHidden/>
              </w:rPr>
              <w:fldChar w:fldCharType="begin"/>
            </w:r>
            <w:r w:rsidR="00887BC2">
              <w:rPr>
                <w:noProof/>
                <w:webHidden/>
              </w:rPr>
              <w:instrText xml:space="preserve"> PAGEREF _Toc138344664 \h </w:instrText>
            </w:r>
            <w:r w:rsidR="00887BC2">
              <w:rPr>
                <w:noProof/>
                <w:webHidden/>
              </w:rPr>
            </w:r>
            <w:r w:rsidR="00887BC2">
              <w:rPr>
                <w:noProof/>
                <w:webHidden/>
              </w:rPr>
              <w:fldChar w:fldCharType="separate"/>
            </w:r>
            <w:r w:rsidR="00887BC2">
              <w:rPr>
                <w:noProof/>
                <w:webHidden/>
              </w:rPr>
              <w:t>21</w:t>
            </w:r>
            <w:r w:rsidR="00887BC2">
              <w:rPr>
                <w:noProof/>
                <w:webHidden/>
              </w:rPr>
              <w:fldChar w:fldCharType="end"/>
            </w:r>
          </w:hyperlink>
        </w:p>
        <w:p w14:paraId="307B0C9D" w14:textId="07E6AEEA"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65" w:history="1">
            <w:r w:rsidR="00887BC2" w:rsidRPr="00AD3825">
              <w:rPr>
                <w:rStyle w:val="Hyperlink"/>
                <w:rFonts w:eastAsiaTheme="majorEastAsia"/>
                <w:noProof/>
              </w:rPr>
              <w:t>B.</w:t>
            </w:r>
            <w:r w:rsidR="00887BC2">
              <w:rPr>
                <w:rFonts w:eastAsiaTheme="minorEastAsia" w:cstheme="minorBidi"/>
                <w:smallCaps w:val="0"/>
                <w:noProof/>
                <w:szCs w:val="22"/>
                <w:lang w:val="fr-FR"/>
              </w:rPr>
              <w:tab/>
            </w:r>
            <w:r w:rsidR="00887BC2" w:rsidRPr="00AD3825">
              <w:rPr>
                <w:rStyle w:val="Hyperlink"/>
                <w:rFonts w:eastAsiaTheme="majorEastAsia"/>
                <w:noProof/>
              </w:rPr>
              <w:t>Use of market mechanisms</w:t>
            </w:r>
            <w:r w:rsidR="00887BC2">
              <w:rPr>
                <w:noProof/>
                <w:webHidden/>
              </w:rPr>
              <w:tab/>
            </w:r>
            <w:r w:rsidR="00887BC2">
              <w:rPr>
                <w:noProof/>
                <w:webHidden/>
              </w:rPr>
              <w:fldChar w:fldCharType="begin"/>
            </w:r>
            <w:r w:rsidR="00887BC2">
              <w:rPr>
                <w:noProof/>
                <w:webHidden/>
              </w:rPr>
              <w:instrText xml:space="preserve"> PAGEREF _Toc138344665 \h </w:instrText>
            </w:r>
            <w:r w:rsidR="00887BC2">
              <w:rPr>
                <w:noProof/>
                <w:webHidden/>
              </w:rPr>
            </w:r>
            <w:r w:rsidR="00887BC2">
              <w:rPr>
                <w:noProof/>
                <w:webHidden/>
              </w:rPr>
              <w:fldChar w:fldCharType="separate"/>
            </w:r>
            <w:r w:rsidR="00887BC2">
              <w:rPr>
                <w:noProof/>
                <w:webHidden/>
              </w:rPr>
              <w:t>27</w:t>
            </w:r>
            <w:r w:rsidR="00887BC2">
              <w:rPr>
                <w:noProof/>
                <w:webHidden/>
              </w:rPr>
              <w:fldChar w:fldCharType="end"/>
            </w:r>
          </w:hyperlink>
        </w:p>
        <w:p w14:paraId="7B9FA232" w14:textId="75FBDF89" w:rsidR="00887BC2" w:rsidRDefault="00C73940">
          <w:pPr>
            <w:pStyle w:val="TOC1"/>
            <w:rPr>
              <w:rFonts w:eastAsiaTheme="minorEastAsia" w:cstheme="minorBidi"/>
              <w:b w:val="0"/>
              <w:bCs w:val="0"/>
              <w:caps w:val="0"/>
              <w:noProof/>
              <w:szCs w:val="22"/>
              <w:lang w:val="fr-FR"/>
            </w:rPr>
          </w:pPr>
          <w:hyperlink w:anchor="_Toc138344666" w:history="1">
            <w:r w:rsidR="00887BC2" w:rsidRPr="00AD3825">
              <w:rPr>
                <w:rStyle w:val="Hyperlink"/>
                <w:rFonts w:eastAsiaTheme="majorEastAsia"/>
                <w:noProof/>
              </w:rPr>
              <w:t>Chapter III - Progress towards quantified targets and relevant information - mitigation actions</w:t>
            </w:r>
            <w:r w:rsidR="00887BC2">
              <w:rPr>
                <w:noProof/>
                <w:webHidden/>
              </w:rPr>
              <w:tab/>
            </w:r>
            <w:r w:rsidR="00887BC2">
              <w:rPr>
                <w:noProof/>
                <w:webHidden/>
              </w:rPr>
              <w:fldChar w:fldCharType="begin"/>
            </w:r>
            <w:r w:rsidR="00887BC2">
              <w:rPr>
                <w:noProof/>
                <w:webHidden/>
              </w:rPr>
              <w:instrText xml:space="preserve"> PAGEREF _Toc138344666 \h </w:instrText>
            </w:r>
            <w:r w:rsidR="00887BC2">
              <w:rPr>
                <w:noProof/>
                <w:webHidden/>
              </w:rPr>
            </w:r>
            <w:r w:rsidR="00887BC2">
              <w:rPr>
                <w:noProof/>
                <w:webHidden/>
              </w:rPr>
              <w:fldChar w:fldCharType="separate"/>
            </w:r>
            <w:r w:rsidR="00887BC2">
              <w:rPr>
                <w:noProof/>
                <w:webHidden/>
              </w:rPr>
              <w:t>30</w:t>
            </w:r>
            <w:r w:rsidR="00887BC2">
              <w:rPr>
                <w:noProof/>
                <w:webHidden/>
              </w:rPr>
              <w:fldChar w:fldCharType="end"/>
            </w:r>
          </w:hyperlink>
        </w:p>
        <w:p w14:paraId="361E5D16" w14:textId="4954B92A"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667" w:history="1">
            <w:r w:rsidR="00887BC2" w:rsidRPr="00AD3825">
              <w:rPr>
                <w:rStyle w:val="Hyperlink"/>
                <w:rFonts w:eastAsiaTheme="majorEastAsia"/>
                <w:noProof/>
              </w:rPr>
              <w:t>A.</w:t>
            </w:r>
            <w:r w:rsidR="00887BC2">
              <w:rPr>
                <w:rFonts w:eastAsiaTheme="minorEastAsia" w:cstheme="minorBidi"/>
                <w:smallCaps w:val="0"/>
                <w:noProof/>
                <w:szCs w:val="22"/>
                <w:lang w:val="fr-FR"/>
              </w:rPr>
              <w:tab/>
            </w:r>
            <w:r w:rsidR="00887BC2" w:rsidRPr="00AD3825">
              <w:rPr>
                <w:rStyle w:val="Hyperlink"/>
                <w:rFonts w:eastAsiaTheme="majorEastAsia"/>
                <w:noProof/>
              </w:rPr>
              <w:t>Introduction</w:t>
            </w:r>
            <w:r w:rsidR="00887BC2">
              <w:rPr>
                <w:noProof/>
                <w:webHidden/>
              </w:rPr>
              <w:tab/>
            </w:r>
            <w:r w:rsidR="00887BC2">
              <w:rPr>
                <w:noProof/>
                <w:webHidden/>
              </w:rPr>
              <w:fldChar w:fldCharType="begin"/>
            </w:r>
            <w:r w:rsidR="00887BC2">
              <w:rPr>
                <w:noProof/>
                <w:webHidden/>
              </w:rPr>
              <w:instrText xml:space="preserve"> PAGEREF _Toc138344667 \h </w:instrText>
            </w:r>
            <w:r w:rsidR="00887BC2">
              <w:rPr>
                <w:noProof/>
                <w:webHidden/>
              </w:rPr>
            </w:r>
            <w:r w:rsidR="00887BC2">
              <w:rPr>
                <w:noProof/>
                <w:webHidden/>
              </w:rPr>
              <w:fldChar w:fldCharType="separate"/>
            </w:r>
            <w:r w:rsidR="00887BC2">
              <w:rPr>
                <w:noProof/>
                <w:webHidden/>
              </w:rPr>
              <w:t>30</w:t>
            </w:r>
            <w:r w:rsidR="00887BC2">
              <w:rPr>
                <w:noProof/>
                <w:webHidden/>
              </w:rPr>
              <w:fldChar w:fldCharType="end"/>
            </w:r>
          </w:hyperlink>
        </w:p>
        <w:p w14:paraId="45E5F7D3" w14:textId="1FCBAFD0"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68" w:history="1">
            <w:r w:rsidR="00887BC2" w:rsidRPr="00AD3825">
              <w:rPr>
                <w:rStyle w:val="Hyperlink"/>
                <w:rFonts w:eastAsiaTheme="majorEastAsia"/>
                <w:noProof/>
              </w:rPr>
              <w:t>B.</w:t>
            </w:r>
            <w:r w:rsidR="00887BC2">
              <w:rPr>
                <w:rFonts w:eastAsiaTheme="minorEastAsia" w:cstheme="minorBidi"/>
                <w:smallCaps w:val="0"/>
                <w:noProof/>
                <w:szCs w:val="22"/>
                <w:lang w:val="fr-FR"/>
              </w:rPr>
              <w:tab/>
            </w:r>
            <w:r w:rsidR="00887BC2" w:rsidRPr="00AD3825">
              <w:rPr>
                <w:rStyle w:val="Hyperlink"/>
                <w:rFonts w:eastAsiaTheme="majorEastAsia"/>
                <w:noProof/>
              </w:rPr>
              <w:t>Design of policies and measures and institutional developments to achieve climate targets</w:t>
            </w:r>
            <w:r w:rsidR="00887BC2">
              <w:rPr>
                <w:noProof/>
                <w:webHidden/>
              </w:rPr>
              <w:tab/>
            </w:r>
            <w:r w:rsidR="00887BC2">
              <w:rPr>
                <w:noProof/>
                <w:webHidden/>
              </w:rPr>
              <w:fldChar w:fldCharType="begin"/>
            </w:r>
            <w:r w:rsidR="00887BC2">
              <w:rPr>
                <w:noProof/>
                <w:webHidden/>
              </w:rPr>
              <w:instrText xml:space="preserve"> PAGEREF _Toc138344668 \h </w:instrText>
            </w:r>
            <w:r w:rsidR="00887BC2">
              <w:rPr>
                <w:noProof/>
                <w:webHidden/>
              </w:rPr>
            </w:r>
            <w:r w:rsidR="00887BC2">
              <w:rPr>
                <w:noProof/>
                <w:webHidden/>
              </w:rPr>
              <w:fldChar w:fldCharType="separate"/>
            </w:r>
            <w:r w:rsidR="00887BC2">
              <w:rPr>
                <w:noProof/>
                <w:webHidden/>
              </w:rPr>
              <w:t>30</w:t>
            </w:r>
            <w:r w:rsidR="00887BC2">
              <w:rPr>
                <w:noProof/>
                <w:webHidden/>
              </w:rPr>
              <w:fldChar w:fldCharType="end"/>
            </w:r>
          </w:hyperlink>
        </w:p>
        <w:p w14:paraId="22612389" w14:textId="60DAD451"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69" w:history="1">
            <w:r w:rsidR="00887BC2" w:rsidRPr="00AD3825">
              <w:rPr>
                <w:rStyle w:val="Hyperlink"/>
                <w:rFonts w:ascii="Marianne" w:eastAsiaTheme="majorEastAsia" w:hAnsi="Marianne"/>
                <w:noProof/>
              </w:rPr>
              <w:t>B.1.</w:t>
            </w:r>
            <w:r w:rsidR="00887BC2">
              <w:rPr>
                <w:rFonts w:eastAsiaTheme="minorEastAsia" w:cstheme="minorBidi"/>
                <w:i w:val="0"/>
                <w:iCs w:val="0"/>
                <w:noProof/>
                <w:szCs w:val="22"/>
                <w:lang w:val="fr-FR"/>
              </w:rPr>
              <w:tab/>
            </w:r>
            <w:r w:rsidR="00887BC2" w:rsidRPr="00AD3825">
              <w:rPr>
                <w:rStyle w:val="Hyperlink"/>
                <w:rFonts w:eastAsiaTheme="majorEastAsia"/>
                <w:noProof/>
              </w:rPr>
              <w:t>Institutional foundations</w:t>
            </w:r>
            <w:r w:rsidR="00887BC2">
              <w:rPr>
                <w:noProof/>
                <w:webHidden/>
              </w:rPr>
              <w:tab/>
            </w:r>
            <w:r w:rsidR="00887BC2">
              <w:rPr>
                <w:noProof/>
                <w:webHidden/>
              </w:rPr>
              <w:fldChar w:fldCharType="begin"/>
            </w:r>
            <w:r w:rsidR="00887BC2">
              <w:rPr>
                <w:noProof/>
                <w:webHidden/>
              </w:rPr>
              <w:instrText xml:space="preserve"> PAGEREF _Toc138344669 \h </w:instrText>
            </w:r>
            <w:r w:rsidR="00887BC2">
              <w:rPr>
                <w:noProof/>
                <w:webHidden/>
              </w:rPr>
            </w:r>
            <w:r w:rsidR="00887BC2">
              <w:rPr>
                <w:noProof/>
                <w:webHidden/>
              </w:rPr>
              <w:fldChar w:fldCharType="separate"/>
            </w:r>
            <w:r w:rsidR="00887BC2">
              <w:rPr>
                <w:noProof/>
                <w:webHidden/>
              </w:rPr>
              <w:t>30</w:t>
            </w:r>
            <w:r w:rsidR="00887BC2">
              <w:rPr>
                <w:noProof/>
                <w:webHidden/>
              </w:rPr>
              <w:fldChar w:fldCharType="end"/>
            </w:r>
          </w:hyperlink>
        </w:p>
        <w:p w14:paraId="039CF5FF" w14:textId="128062BA"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70" w:history="1">
            <w:r w:rsidR="00887BC2" w:rsidRPr="00AD3825">
              <w:rPr>
                <w:rStyle w:val="Hyperlink"/>
                <w:rFonts w:ascii="Marianne" w:eastAsiaTheme="majorEastAsia" w:hAnsi="Marianne"/>
                <w:noProof/>
              </w:rPr>
              <w:t>B.2.</w:t>
            </w:r>
            <w:r w:rsidR="00887BC2">
              <w:rPr>
                <w:rFonts w:eastAsiaTheme="minorEastAsia" w:cstheme="minorBidi"/>
                <w:i w:val="0"/>
                <w:iCs w:val="0"/>
                <w:noProof/>
                <w:szCs w:val="22"/>
                <w:lang w:val="fr-FR"/>
              </w:rPr>
              <w:tab/>
            </w:r>
            <w:r w:rsidR="00887BC2" w:rsidRPr="00AD3825">
              <w:rPr>
                <w:rStyle w:val="Hyperlink"/>
                <w:rFonts w:eastAsiaTheme="majorEastAsia"/>
                <w:noProof/>
              </w:rPr>
              <w:t>The foundations of the climate policy</w:t>
            </w:r>
            <w:r w:rsidR="00887BC2">
              <w:rPr>
                <w:noProof/>
                <w:webHidden/>
              </w:rPr>
              <w:tab/>
            </w:r>
            <w:r w:rsidR="00887BC2">
              <w:rPr>
                <w:noProof/>
                <w:webHidden/>
              </w:rPr>
              <w:fldChar w:fldCharType="begin"/>
            </w:r>
            <w:r w:rsidR="00887BC2">
              <w:rPr>
                <w:noProof/>
                <w:webHidden/>
              </w:rPr>
              <w:instrText xml:space="preserve"> PAGEREF _Toc138344670 \h </w:instrText>
            </w:r>
            <w:r w:rsidR="00887BC2">
              <w:rPr>
                <w:noProof/>
                <w:webHidden/>
              </w:rPr>
            </w:r>
            <w:r w:rsidR="00887BC2">
              <w:rPr>
                <w:noProof/>
                <w:webHidden/>
              </w:rPr>
              <w:fldChar w:fldCharType="separate"/>
            </w:r>
            <w:r w:rsidR="00887BC2">
              <w:rPr>
                <w:noProof/>
                <w:webHidden/>
              </w:rPr>
              <w:t>32</w:t>
            </w:r>
            <w:r w:rsidR="00887BC2">
              <w:rPr>
                <w:noProof/>
                <w:webHidden/>
              </w:rPr>
              <w:fldChar w:fldCharType="end"/>
            </w:r>
          </w:hyperlink>
        </w:p>
        <w:p w14:paraId="3795E618" w14:textId="4E438BAD"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71" w:history="1">
            <w:r w:rsidR="00887BC2" w:rsidRPr="00AD3825">
              <w:rPr>
                <w:rStyle w:val="Hyperlink"/>
                <w:rFonts w:ascii="Marianne" w:eastAsiaTheme="majorEastAsia" w:hAnsi="Marianne"/>
                <w:noProof/>
              </w:rPr>
              <w:t>B.3.</w:t>
            </w:r>
            <w:r w:rsidR="00887BC2">
              <w:rPr>
                <w:rFonts w:eastAsiaTheme="minorEastAsia" w:cstheme="minorBidi"/>
                <w:i w:val="0"/>
                <w:iCs w:val="0"/>
                <w:noProof/>
                <w:szCs w:val="22"/>
                <w:lang w:val="fr-FR"/>
              </w:rPr>
              <w:tab/>
            </w:r>
            <w:r w:rsidR="00887BC2" w:rsidRPr="00AD3825">
              <w:rPr>
                <w:rStyle w:val="Hyperlink"/>
                <w:rFonts w:eastAsiaTheme="majorEastAsia"/>
                <w:noProof/>
              </w:rPr>
              <w:t>Monitoring and evaluation of climate policy</w:t>
            </w:r>
            <w:r w:rsidR="00887BC2">
              <w:rPr>
                <w:noProof/>
                <w:webHidden/>
              </w:rPr>
              <w:tab/>
            </w:r>
            <w:r w:rsidR="00887BC2">
              <w:rPr>
                <w:noProof/>
                <w:webHidden/>
              </w:rPr>
              <w:fldChar w:fldCharType="begin"/>
            </w:r>
            <w:r w:rsidR="00887BC2">
              <w:rPr>
                <w:noProof/>
                <w:webHidden/>
              </w:rPr>
              <w:instrText xml:space="preserve"> PAGEREF _Toc138344671 \h </w:instrText>
            </w:r>
            <w:r w:rsidR="00887BC2">
              <w:rPr>
                <w:noProof/>
                <w:webHidden/>
              </w:rPr>
            </w:r>
            <w:r w:rsidR="00887BC2">
              <w:rPr>
                <w:noProof/>
                <w:webHidden/>
              </w:rPr>
              <w:fldChar w:fldCharType="separate"/>
            </w:r>
            <w:r w:rsidR="00887BC2">
              <w:rPr>
                <w:noProof/>
                <w:webHidden/>
              </w:rPr>
              <w:t>33</w:t>
            </w:r>
            <w:r w:rsidR="00887BC2">
              <w:rPr>
                <w:noProof/>
                <w:webHidden/>
              </w:rPr>
              <w:fldChar w:fldCharType="end"/>
            </w:r>
          </w:hyperlink>
        </w:p>
        <w:p w14:paraId="0CA8F1E0" w14:textId="4D9E239E"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72" w:history="1">
            <w:r w:rsidR="00887BC2" w:rsidRPr="00AD3825">
              <w:rPr>
                <w:rStyle w:val="Hyperlink"/>
                <w:rFonts w:ascii="Marianne" w:eastAsiaTheme="majorEastAsia" w:hAnsi="Marianne"/>
                <w:noProof/>
              </w:rPr>
              <w:t>B.4.</w:t>
            </w:r>
            <w:r w:rsidR="00887BC2">
              <w:rPr>
                <w:rFonts w:eastAsiaTheme="minorEastAsia" w:cstheme="minorBidi"/>
                <w:i w:val="0"/>
                <w:iCs w:val="0"/>
                <w:noProof/>
                <w:szCs w:val="22"/>
                <w:lang w:val="fr-FR"/>
              </w:rPr>
              <w:tab/>
            </w:r>
            <w:r w:rsidR="00887BC2" w:rsidRPr="00AD3825">
              <w:rPr>
                <w:rStyle w:val="Hyperlink"/>
                <w:rFonts w:eastAsiaTheme="majorEastAsia"/>
                <w:noProof/>
              </w:rPr>
              <w:t>Implementing European policies</w:t>
            </w:r>
            <w:r w:rsidR="00887BC2">
              <w:rPr>
                <w:noProof/>
                <w:webHidden/>
              </w:rPr>
              <w:tab/>
            </w:r>
            <w:r w:rsidR="00887BC2">
              <w:rPr>
                <w:noProof/>
                <w:webHidden/>
              </w:rPr>
              <w:fldChar w:fldCharType="begin"/>
            </w:r>
            <w:r w:rsidR="00887BC2">
              <w:rPr>
                <w:noProof/>
                <w:webHidden/>
              </w:rPr>
              <w:instrText xml:space="preserve"> PAGEREF _Toc138344672 \h </w:instrText>
            </w:r>
            <w:r w:rsidR="00887BC2">
              <w:rPr>
                <w:noProof/>
                <w:webHidden/>
              </w:rPr>
            </w:r>
            <w:r w:rsidR="00887BC2">
              <w:rPr>
                <w:noProof/>
                <w:webHidden/>
              </w:rPr>
              <w:fldChar w:fldCharType="separate"/>
            </w:r>
            <w:r w:rsidR="00887BC2">
              <w:rPr>
                <w:noProof/>
                <w:webHidden/>
              </w:rPr>
              <w:t>34</w:t>
            </w:r>
            <w:r w:rsidR="00887BC2">
              <w:rPr>
                <w:noProof/>
                <w:webHidden/>
              </w:rPr>
              <w:fldChar w:fldCharType="end"/>
            </w:r>
          </w:hyperlink>
        </w:p>
        <w:p w14:paraId="4853D8F8" w14:textId="49D7DF94"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73" w:history="1">
            <w:r w:rsidR="00887BC2" w:rsidRPr="00AD3825">
              <w:rPr>
                <w:rStyle w:val="Hyperlink"/>
                <w:rFonts w:eastAsiaTheme="majorEastAsia"/>
                <w:noProof/>
              </w:rPr>
              <w:t>C.</w:t>
            </w:r>
            <w:r w:rsidR="00887BC2">
              <w:rPr>
                <w:rFonts w:eastAsiaTheme="minorEastAsia" w:cstheme="minorBidi"/>
                <w:smallCaps w:val="0"/>
                <w:noProof/>
                <w:szCs w:val="22"/>
                <w:lang w:val="fr-FR"/>
              </w:rPr>
              <w:tab/>
            </w:r>
            <w:r w:rsidR="00887BC2" w:rsidRPr="00AD3825">
              <w:rPr>
                <w:rStyle w:val="Hyperlink"/>
                <w:rFonts w:eastAsiaTheme="majorEastAsia"/>
                <w:noProof/>
              </w:rPr>
              <w:t>Policies and measures and their impacts</w:t>
            </w:r>
            <w:r w:rsidR="00887BC2">
              <w:rPr>
                <w:noProof/>
                <w:webHidden/>
              </w:rPr>
              <w:tab/>
            </w:r>
            <w:r w:rsidR="00887BC2">
              <w:rPr>
                <w:noProof/>
                <w:webHidden/>
              </w:rPr>
              <w:fldChar w:fldCharType="begin"/>
            </w:r>
            <w:r w:rsidR="00887BC2">
              <w:rPr>
                <w:noProof/>
                <w:webHidden/>
              </w:rPr>
              <w:instrText xml:space="preserve"> PAGEREF _Toc138344673 \h </w:instrText>
            </w:r>
            <w:r w:rsidR="00887BC2">
              <w:rPr>
                <w:noProof/>
                <w:webHidden/>
              </w:rPr>
            </w:r>
            <w:r w:rsidR="00887BC2">
              <w:rPr>
                <w:noProof/>
                <w:webHidden/>
              </w:rPr>
              <w:fldChar w:fldCharType="separate"/>
            </w:r>
            <w:r w:rsidR="00887BC2">
              <w:rPr>
                <w:noProof/>
                <w:webHidden/>
              </w:rPr>
              <w:t>36</w:t>
            </w:r>
            <w:r w:rsidR="00887BC2">
              <w:rPr>
                <w:noProof/>
                <w:webHidden/>
              </w:rPr>
              <w:fldChar w:fldCharType="end"/>
            </w:r>
          </w:hyperlink>
        </w:p>
        <w:p w14:paraId="53B77D95" w14:textId="6BBAF27B"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74" w:history="1">
            <w:r w:rsidR="00887BC2" w:rsidRPr="00AD3825">
              <w:rPr>
                <w:rStyle w:val="Hyperlink"/>
                <w:rFonts w:ascii="Marianne" w:eastAsiaTheme="majorEastAsia" w:hAnsi="Marianne"/>
                <w:noProof/>
              </w:rPr>
              <w:t>C.1.</w:t>
            </w:r>
            <w:r w:rsidR="00887BC2">
              <w:rPr>
                <w:rFonts w:eastAsiaTheme="minorEastAsia" w:cstheme="minorBidi"/>
                <w:i w:val="0"/>
                <w:iCs w:val="0"/>
                <w:noProof/>
                <w:szCs w:val="22"/>
                <w:lang w:val="fr-FR"/>
              </w:rPr>
              <w:tab/>
            </w:r>
            <w:r w:rsidR="00887BC2" w:rsidRPr="00AD3825">
              <w:rPr>
                <w:rStyle w:val="Hyperlink"/>
                <w:rFonts w:eastAsiaTheme="majorEastAsia"/>
                <w:noProof/>
              </w:rPr>
              <w:t>Transport</w:t>
            </w:r>
            <w:r w:rsidR="00887BC2">
              <w:rPr>
                <w:noProof/>
                <w:webHidden/>
              </w:rPr>
              <w:tab/>
            </w:r>
            <w:r w:rsidR="00887BC2">
              <w:rPr>
                <w:noProof/>
                <w:webHidden/>
              </w:rPr>
              <w:fldChar w:fldCharType="begin"/>
            </w:r>
            <w:r w:rsidR="00887BC2">
              <w:rPr>
                <w:noProof/>
                <w:webHidden/>
              </w:rPr>
              <w:instrText xml:space="preserve"> PAGEREF _Toc138344674 \h </w:instrText>
            </w:r>
            <w:r w:rsidR="00887BC2">
              <w:rPr>
                <w:noProof/>
                <w:webHidden/>
              </w:rPr>
            </w:r>
            <w:r w:rsidR="00887BC2">
              <w:rPr>
                <w:noProof/>
                <w:webHidden/>
              </w:rPr>
              <w:fldChar w:fldCharType="separate"/>
            </w:r>
            <w:r w:rsidR="00887BC2">
              <w:rPr>
                <w:noProof/>
                <w:webHidden/>
              </w:rPr>
              <w:t>38</w:t>
            </w:r>
            <w:r w:rsidR="00887BC2">
              <w:rPr>
                <w:noProof/>
                <w:webHidden/>
              </w:rPr>
              <w:fldChar w:fldCharType="end"/>
            </w:r>
          </w:hyperlink>
        </w:p>
        <w:p w14:paraId="41598EA7" w14:textId="2CE89C35"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75" w:history="1">
            <w:r w:rsidR="00887BC2" w:rsidRPr="00AD3825">
              <w:rPr>
                <w:rStyle w:val="Hyperlink"/>
                <w:rFonts w:ascii="Marianne" w:eastAsiaTheme="majorEastAsia" w:hAnsi="Marianne"/>
                <w:noProof/>
              </w:rPr>
              <w:t>C.2.</w:t>
            </w:r>
            <w:r w:rsidR="00887BC2">
              <w:rPr>
                <w:rFonts w:eastAsiaTheme="minorEastAsia" w:cstheme="minorBidi"/>
                <w:i w:val="0"/>
                <w:iCs w:val="0"/>
                <w:noProof/>
                <w:szCs w:val="22"/>
                <w:lang w:val="fr-FR"/>
              </w:rPr>
              <w:tab/>
            </w:r>
            <w:r w:rsidR="00887BC2" w:rsidRPr="00AD3825">
              <w:rPr>
                <w:rStyle w:val="Hyperlink"/>
                <w:rFonts w:eastAsiaTheme="majorEastAsia"/>
                <w:noProof/>
              </w:rPr>
              <w:t>Residential/tertiary</w:t>
            </w:r>
            <w:r w:rsidR="00887BC2">
              <w:rPr>
                <w:noProof/>
                <w:webHidden/>
              </w:rPr>
              <w:tab/>
            </w:r>
            <w:r w:rsidR="00887BC2">
              <w:rPr>
                <w:noProof/>
                <w:webHidden/>
              </w:rPr>
              <w:fldChar w:fldCharType="begin"/>
            </w:r>
            <w:r w:rsidR="00887BC2">
              <w:rPr>
                <w:noProof/>
                <w:webHidden/>
              </w:rPr>
              <w:instrText xml:space="preserve"> PAGEREF _Toc138344675 \h </w:instrText>
            </w:r>
            <w:r w:rsidR="00887BC2">
              <w:rPr>
                <w:noProof/>
                <w:webHidden/>
              </w:rPr>
            </w:r>
            <w:r w:rsidR="00887BC2">
              <w:rPr>
                <w:noProof/>
                <w:webHidden/>
              </w:rPr>
              <w:fldChar w:fldCharType="separate"/>
            </w:r>
            <w:r w:rsidR="00887BC2">
              <w:rPr>
                <w:noProof/>
                <w:webHidden/>
              </w:rPr>
              <w:t>48</w:t>
            </w:r>
            <w:r w:rsidR="00887BC2">
              <w:rPr>
                <w:noProof/>
                <w:webHidden/>
              </w:rPr>
              <w:fldChar w:fldCharType="end"/>
            </w:r>
          </w:hyperlink>
        </w:p>
        <w:p w14:paraId="23C2681F" w14:textId="73B827C9"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76" w:history="1">
            <w:r w:rsidR="00887BC2" w:rsidRPr="00AD3825">
              <w:rPr>
                <w:rStyle w:val="Hyperlink"/>
                <w:rFonts w:ascii="Marianne" w:eastAsiaTheme="majorEastAsia" w:hAnsi="Marianne"/>
                <w:noProof/>
              </w:rPr>
              <w:t>C.3.</w:t>
            </w:r>
            <w:r w:rsidR="00887BC2">
              <w:rPr>
                <w:rFonts w:eastAsiaTheme="minorEastAsia" w:cstheme="minorBidi"/>
                <w:i w:val="0"/>
                <w:iCs w:val="0"/>
                <w:noProof/>
                <w:szCs w:val="22"/>
                <w:lang w:val="fr-FR"/>
              </w:rPr>
              <w:tab/>
            </w:r>
            <w:r w:rsidR="00887BC2" w:rsidRPr="00AD3825">
              <w:rPr>
                <w:rStyle w:val="Hyperlink"/>
                <w:rFonts w:eastAsiaTheme="majorEastAsia"/>
                <w:noProof/>
              </w:rPr>
              <w:t>Manufacturing industry</w:t>
            </w:r>
            <w:r w:rsidR="00887BC2">
              <w:rPr>
                <w:noProof/>
                <w:webHidden/>
              </w:rPr>
              <w:tab/>
            </w:r>
            <w:r w:rsidR="00887BC2">
              <w:rPr>
                <w:noProof/>
                <w:webHidden/>
              </w:rPr>
              <w:fldChar w:fldCharType="begin"/>
            </w:r>
            <w:r w:rsidR="00887BC2">
              <w:rPr>
                <w:noProof/>
                <w:webHidden/>
              </w:rPr>
              <w:instrText xml:space="preserve"> PAGEREF _Toc138344676 \h </w:instrText>
            </w:r>
            <w:r w:rsidR="00887BC2">
              <w:rPr>
                <w:noProof/>
                <w:webHidden/>
              </w:rPr>
            </w:r>
            <w:r w:rsidR="00887BC2">
              <w:rPr>
                <w:noProof/>
                <w:webHidden/>
              </w:rPr>
              <w:fldChar w:fldCharType="separate"/>
            </w:r>
            <w:r w:rsidR="00887BC2">
              <w:rPr>
                <w:noProof/>
                <w:webHidden/>
              </w:rPr>
              <w:t>55</w:t>
            </w:r>
            <w:r w:rsidR="00887BC2">
              <w:rPr>
                <w:noProof/>
                <w:webHidden/>
              </w:rPr>
              <w:fldChar w:fldCharType="end"/>
            </w:r>
          </w:hyperlink>
        </w:p>
        <w:p w14:paraId="742143BA" w14:textId="61B59245"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77" w:history="1">
            <w:r w:rsidR="00887BC2" w:rsidRPr="00AD3825">
              <w:rPr>
                <w:rStyle w:val="Hyperlink"/>
                <w:rFonts w:ascii="Marianne" w:eastAsiaTheme="majorEastAsia" w:hAnsi="Marianne"/>
                <w:noProof/>
              </w:rPr>
              <w:t>C.4.</w:t>
            </w:r>
            <w:r w:rsidR="00887BC2">
              <w:rPr>
                <w:rFonts w:eastAsiaTheme="minorEastAsia" w:cstheme="minorBidi"/>
                <w:i w:val="0"/>
                <w:iCs w:val="0"/>
                <w:noProof/>
                <w:szCs w:val="22"/>
                <w:lang w:val="fr-FR"/>
              </w:rPr>
              <w:tab/>
            </w:r>
            <w:r w:rsidR="00887BC2" w:rsidRPr="00AD3825">
              <w:rPr>
                <w:rStyle w:val="Hyperlink"/>
                <w:rFonts w:eastAsiaTheme="majorEastAsia"/>
                <w:noProof/>
              </w:rPr>
              <w:t>Energy industry</w:t>
            </w:r>
            <w:r w:rsidR="00887BC2">
              <w:rPr>
                <w:noProof/>
                <w:webHidden/>
              </w:rPr>
              <w:tab/>
            </w:r>
            <w:r w:rsidR="00887BC2">
              <w:rPr>
                <w:noProof/>
                <w:webHidden/>
              </w:rPr>
              <w:fldChar w:fldCharType="begin"/>
            </w:r>
            <w:r w:rsidR="00887BC2">
              <w:rPr>
                <w:noProof/>
                <w:webHidden/>
              </w:rPr>
              <w:instrText xml:space="preserve"> PAGEREF _Toc138344677 \h </w:instrText>
            </w:r>
            <w:r w:rsidR="00887BC2">
              <w:rPr>
                <w:noProof/>
                <w:webHidden/>
              </w:rPr>
            </w:r>
            <w:r w:rsidR="00887BC2">
              <w:rPr>
                <w:noProof/>
                <w:webHidden/>
              </w:rPr>
              <w:fldChar w:fldCharType="separate"/>
            </w:r>
            <w:r w:rsidR="00887BC2">
              <w:rPr>
                <w:noProof/>
                <w:webHidden/>
              </w:rPr>
              <w:t>58</w:t>
            </w:r>
            <w:r w:rsidR="00887BC2">
              <w:rPr>
                <w:noProof/>
                <w:webHidden/>
              </w:rPr>
              <w:fldChar w:fldCharType="end"/>
            </w:r>
          </w:hyperlink>
        </w:p>
        <w:p w14:paraId="3B3027F0" w14:textId="394A0724"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78" w:history="1">
            <w:r w:rsidR="00887BC2" w:rsidRPr="00AD3825">
              <w:rPr>
                <w:rStyle w:val="Hyperlink"/>
                <w:rFonts w:ascii="Marianne" w:eastAsiaTheme="majorEastAsia" w:hAnsi="Marianne"/>
                <w:noProof/>
              </w:rPr>
              <w:t>C.5.</w:t>
            </w:r>
            <w:r w:rsidR="00887BC2">
              <w:rPr>
                <w:rFonts w:eastAsiaTheme="minorEastAsia" w:cstheme="minorBidi"/>
                <w:i w:val="0"/>
                <w:iCs w:val="0"/>
                <w:noProof/>
                <w:szCs w:val="22"/>
                <w:lang w:val="fr-FR"/>
              </w:rPr>
              <w:tab/>
            </w:r>
            <w:r w:rsidR="00887BC2" w:rsidRPr="00AD3825">
              <w:rPr>
                <w:rStyle w:val="Hyperlink"/>
                <w:rFonts w:eastAsiaTheme="majorEastAsia"/>
                <w:noProof/>
              </w:rPr>
              <w:t>Agriculture and forestry</w:t>
            </w:r>
            <w:r w:rsidR="00887BC2">
              <w:rPr>
                <w:noProof/>
                <w:webHidden/>
              </w:rPr>
              <w:tab/>
            </w:r>
            <w:r w:rsidR="00887BC2">
              <w:rPr>
                <w:noProof/>
                <w:webHidden/>
              </w:rPr>
              <w:fldChar w:fldCharType="begin"/>
            </w:r>
            <w:r w:rsidR="00887BC2">
              <w:rPr>
                <w:noProof/>
                <w:webHidden/>
              </w:rPr>
              <w:instrText xml:space="preserve"> PAGEREF _Toc138344678 \h </w:instrText>
            </w:r>
            <w:r w:rsidR="00887BC2">
              <w:rPr>
                <w:noProof/>
                <w:webHidden/>
              </w:rPr>
            </w:r>
            <w:r w:rsidR="00887BC2">
              <w:rPr>
                <w:noProof/>
                <w:webHidden/>
              </w:rPr>
              <w:fldChar w:fldCharType="separate"/>
            </w:r>
            <w:r w:rsidR="00887BC2">
              <w:rPr>
                <w:noProof/>
                <w:webHidden/>
              </w:rPr>
              <w:t>64</w:t>
            </w:r>
            <w:r w:rsidR="00887BC2">
              <w:rPr>
                <w:noProof/>
                <w:webHidden/>
              </w:rPr>
              <w:fldChar w:fldCharType="end"/>
            </w:r>
          </w:hyperlink>
        </w:p>
        <w:p w14:paraId="4178F549" w14:textId="72535E1F"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79" w:history="1">
            <w:r w:rsidR="00887BC2" w:rsidRPr="00AD3825">
              <w:rPr>
                <w:rStyle w:val="Hyperlink"/>
                <w:rFonts w:ascii="Marianne" w:eastAsiaTheme="majorEastAsia" w:hAnsi="Marianne"/>
                <w:noProof/>
              </w:rPr>
              <w:t>C.6.</w:t>
            </w:r>
            <w:r w:rsidR="00887BC2">
              <w:rPr>
                <w:rFonts w:eastAsiaTheme="minorEastAsia" w:cstheme="minorBidi"/>
                <w:i w:val="0"/>
                <w:iCs w:val="0"/>
                <w:noProof/>
                <w:szCs w:val="22"/>
                <w:lang w:val="fr-FR"/>
              </w:rPr>
              <w:tab/>
            </w:r>
            <w:r w:rsidR="00887BC2" w:rsidRPr="00AD3825">
              <w:rPr>
                <w:rStyle w:val="Hyperlink"/>
                <w:rFonts w:eastAsiaTheme="majorEastAsia"/>
                <w:noProof/>
              </w:rPr>
              <w:t>LULUCF</w:t>
            </w:r>
            <w:r w:rsidR="00887BC2">
              <w:rPr>
                <w:noProof/>
                <w:webHidden/>
              </w:rPr>
              <w:tab/>
            </w:r>
            <w:r w:rsidR="00887BC2">
              <w:rPr>
                <w:noProof/>
                <w:webHidden/>
              </w:rPr>
              <w:fldChar w:fldCharType="begin"/>
            </w:r>
            <w:r w:rsidR="00887BC2">
              <w:rPr>
                <w:noProof/>
                <w:webHidden/>
              </w:rPr>
              <w:instrText xml:space="preserve"> PAGEREF _Toc138344679 \h </w:instrText>
            </w:r>
            <w:r w:rsidR="00887BC2">
              <w:rPr>
                <w:noProof/>
                <w:webHidden/>
              </w:rPr>
            </w:r>
            <w:r w:rsidR="00887BC2">
              <w:rPr>
                <w:noProof/>
                <w:webHidden/>
              </w:rPr>
              <w:fldChar w:fldCharType="separate"/>
            </w:r>
            <w:r w:rsidR="00887BC2">
              <w:rPr>
                <w:noProof/>
                <w:webHidden/>
              </w:rPr>
              <w:t>64</w:t>
            </w:r>
            <w:r w:rsidR="00887BC2">
              <w:rPr>
                <w:noProof/>
                <w:webHidden/>
              </w:rPr>
              <w:fldChar w:fldCharType="end"/>
            </w:r>
          </w:hyperlink>
        </w:p>
        <w:p w14:paraId="5866B5DA" w14:textId="4DF2DB4C"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80" w:history="1">
            <w:r w:rsidR="00887BC2" w:rsidRPr="00AD3825">
              <w:rPr>
                <w:rStyle w:val="Hyperlink"/>
                <w:rFonts w:ascii="Marianne" w:eastAsiaTheme="majorEastAsia" w:hAnsi="Marianne"/>
                <w:noProof/>
              </w:rPr>
              <w:t>C.7.</w:t>
            </w:r>
            <w:r w:rsidR="00887BC2">
              <w:rPr>
                <w:rFonts w:eastAsiaTheme="minorEastAsia" w:cstheme="minorBidi"/>
                <w:i w:val="0"/>
                <w:iCs w:val="0"/>
                <w:noProof/>
                <w:szCs w:val="22"/>
                <w:lang w:val="fr-FR"/>
              </w:rPr>
              <w:tab/>
            </w:r>
            <w:r w:rsidR="00887BC2" w:rsidRPr="00AD3825">
              <w:rPr>
                <w:rStyle w:val="Hyperlink"/>
                <w:rFonts w:eastAsiaTheme="majorEastAsia"/>
                <w:noProof/>
              </w:rPr>
              <w:t>Waste treatment</w:t>
            </w:r>
            <w:r w:rsidR="00887BC2">
              <w:rPr>
                <w:noProof/>
                <w:webHidden/>
              </w:rPr>
              <w:tab/>
            </w:r>
            <w:r w:rsidR="00887BC2">
              <w:rPr>
                <w:noProof/>
                <w:webHidden/>
              </w:rPr>
              <w:fldChar w:fldCharType="begin"/>
            </w:r>
            <w:r w:rsidR="00887BC2">
              <w:rPr>
                <w:noProof/>
                <w:webHidden/>
              </w:rPr>
              <w:instrText xml:space="preserve"> PAGEREF _Toc138344680 \h </w:instrText>
            </w:r>
            <w:r w:rsidR="00887BC2">
              <w:rPr>
                <w:noProof/>
                <w:webHidden/>
              </w:rPr>
            </w:r>
            <w:r w:rsidR="00887BC2">
              <w:rPr>
                <w:noProof/>
                <w:webHidden/>
              </w:rPr>
              <w:fldChar w:fldCharType="separate"/>
            </w:r>
            <w:r w:rsidR="00887BC2">
              <w:rPr>
                <w:noProof/>
                <w:webHidden/>
              </w:rPr>
              <w:t>70</w:t>
            </w:r>
            <w:r w:rsidR="00887BC2">
              <w:rPr>
                <w:noProof/>
                <w:webHidden/>
              </w:rPr>
              <w:fldChar w:fldCharType="end"/>
            </w:r>
          </w:hyperlink>
        </w:p>
        <w:p w14:paraId="775B5F35" w14:textId="439E116B"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81" w:history="1">
            <w:r w:rsidR="00887BC2" w:rsidRPr="00AD3825">
              <w:rPr>
                <w:rStyle w:val="Hyperlink"/>
                <w:rFonts w:ascii="Marianne" w:eastAsiaTheme="majorEastAsia" w:hAnsi="Marianne"/>
                <w:noProof/>
              </w:rPr>
              <w:t>C.8.</w:t>
            </w:r>
            <w:r w:rsidR="00887BC2">
              <w:rPr>
                <w:rFonts w:eastAsiaTheme="minorEastAsia" w:cstheme="minorBidi"/>
                <w:i w:val="0"/>
                <w:iCs w:val="0"/>
                <w:noProof/>
                <w:szCs w:val="22"/>
                <w:lang w:val="fr-FR"/>
              </w:rPr>
              <w:tab/>
            </w:r>
            <w:r w:rsidR="00887BC2" w:rsidRPr="00AD3825">
              <w:rPr>
                <w:rStyle w:val="Hyperlink"/>
                <w:rFonts w:eastAsiaTheme="majorEastAsia"/>
                <w:noProof/>
              </w:rPr>
              <w:t>Cross-sector policies and measures</w:t>
            </w:r>
            <w:r w:rsidR="00887BC2">
              <w:rPr>
                <w:noProof/>
                <w:webHidden/>
              </w:rPr>
              <w:tab/>
            </w:r>
            <w:r w:rsidR="00887BC2">
              <w:rPr>
                <w:noProof/>
                <w:webHidden/>
              </w:rPr>
              <w:fldChar w:fldCharType="begin"/>
            </w:r>
            <w:r w:rsidR="00887BC2">
              <w:rPr>
                <w:noProof/>
                <w:webHidden/>
              </w:rPr>
              <w:instrText xml:space="preserve"> PAGEREF _Toc138344681 \h </w:instrText>
            </w:r>
            <w:r w:rsidR="00887BC2">
              <w:rPr>
                <w:noProof/>
                <w:webHidden/>
              </w:rPr>
            </w:r>
            <w:r w:rsidR="00887BC2">
              <w:rPr>
                <w:noProof/>
                <w:webHidden/>
              </w:rPr>
              <w:fldChar w:fldCharType="separate"/>
            </w:r>
            <w:r w:rsidR="00887BC2">
              <w:rPr>
                <w:noProof/>
                <w:webHidden/>
              </w:rPr>
              <w:t>73</w:t>
            </w:r>
            <w:r w:rsidR="00887BC2">
              <w:rPr>
                <w:noProof/>
                <w:webHidden/>
              </w:rPr>
              <w:fldChar w:fldCharType="end"/>
            </w:r>
          </w:hyperlink>
        </w:p>
        <w:p w14:paraId="07606D7E" w14:textId="620F36A7"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82" w:history="1">
            <w:r w:rsidR="00887BC2" w:rsidRPr="00AD3825">
              <w:rPr>
                <w:rStyle w:val="Hyperlink"/>
                <w:rFonts w:ascii="Marianne" w:eastAsiaTheme="majorEastAsia" w:hAnsi="Marianne"/>
                <w:noProof/>
              </w:rPr>
              <w:t>C.9.</w:t>
            </w:r>
            <w:r w:rsidR="00887BC2">
              <w:rPr>
                <w:rFonts w:eastAsiaTheme="minorEastAsia" w:cstheme="minorBidi"/>
                <w:i w:val="0"/>
                <w:iCs w:val="0"/>
                <w:noProof/>
                <w:szCs w:val="22"/>
                <w:lang w:val="fr-FR"/>
              </w:rPr>
              <w:tab/>
            </w:r>
            <w:r w:rsidR="00887BC2" w:rsidRPr="00AD3825">
              <w:rPr>
                <w:rStyle w:val="Hyperlink"/>
                <w:rFonts w:eastAsiaTheme="majorEastAsia"/>
                <w:noProof/>
              </w:rPr>
              <w:t>Table of policies and measures</w:t>
            </w:r>
            <w:r w:rsidR="00887BC2">
              <w:rPr>
                <w:noProof/>
                <w:webHidden/>
              </w:rPr>
              <w:tab/>
            </w:r>
            <w:r w:rsidR="00887BC2">
              <w:rPr>
                <w:noProof/>
                <w:webHidden/>
              </w:rPr>
              <w:fldChar w:fldCharType="begin"/>
            </w:r>
            <w:r w:rsidR="00887BC2">
              <w:rPr>
                <w:noProof/>
                <w:webHidden/>
              </w:rPr>
              <w:instrText xml:space="preserve"> PAGEREF _Toc138344682 \h </w:instrText>
            </w:r>
            <w:r w:rsidR="00887BC2">
              <w:rPr>
                <w:noProof/>
                <w:webHidden/>
              </w:rPr>
            </w:r>
            <w:r w:rsidR="00887BC2">
              <w:rPr>
                <w:noProof/>
                <w:webHidden/>
              </w:rPr>
              <w:fldChar w:fldCharType="separate"/>
            </w:r>
            <w:r w:rsidR="00887BC2">
              <w:rPr>
                <w:noProof/>
                <w:webHidden/>
              </w:rPr>
              <w:t>75</w:t>
            </w:r>
            <w:r w:rsidR="00887BC2">
              <w:rPr>
                <w:noProof/>
                <w:webHidden/>
              </w:rPr>
              <w:fldChar w:fldCharType="end"/>
            </w:r>
          </w:hyperlink>
        </w:p>
        <w:p w14:paraId="19552A5B" w14:textId="5893D212"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683" w:history="1">
            <w:r w:rsidR="00887BC2" w:rsidRPr="00AD3825">
              <w:rPr>
                <w:rStyle w:val="Hyperlink"/>
                <w:rFonts w:eastAsiaTheme="majorEastAsia"/>
                <w:noProof/>
              </w:rPr>
              <w:t>D.</w:t>
            </w:r>
            <w:r w:rsidR="00887BC2">
              <w:rPr>
                <w:rFonts w:eastAsiaTheme="minorEastAsia" w:cstheme="minorBidi"/>
                <w:smallCaps w:val="0"/>
                <w:noProof/>
                <w:szCs w:val="22"/>
                <w:lang w:val="fr-FR"/>
              </w:rPr>
              <w:tab/>
            </w:r>
            <w:r w:rsidR="00887BC2" w:rsidRPr="00AD3825">
              <w:rPr>
                <w:rStyle w:val="Hyperlink"/>
                <w:rFonts w:eastAsiaTheme="majorEastAsia"/>
                <w:noProof/>
              </w:rPr>
              <w:t>Long-term effect of undertaken policies and measures</w:t>
            </w:r>
            <w:r w:rsidR="00887BC2">
              <w:rPr>
                <w:noProof/>
                <w:webHidden/>
              </w:rPr>
              <w:tab/>
            </w:r>
            <w:r w:rsidR="00887BC2">
              <w:rPr>
                <w:noProof/>
                <w:webHidden/>
              </w:rPr>
              <w:fldChar w:fldCharType="begin"/>
            </w:r>
            <w:r w:rsidR="00887BC2">
              <w:rPr>
                <w:noProof/>
                <w:webHidden/>
              </w:rPr>
              <w:instrText xml:space="preserve"> PAGEREF _Toc138344683 \h </w:instrText>
            </w:r>
            <w:r w:rsidR="00887BC2">
              <w:rPr>
                <w:noProof/>
                <w:webHidden/>
              </w:rPr>
            </w:r>
            <w:r w:rsidR="00887BC2">
              <w:rPr>
                <w:noProof/>
                <w:webHidden/>
              </w:rPr>
              <w:fldChar w:fldCharType="separate"/>
            </w:r>
            <w:r w:rsidR="00887BC2">
              <w:rPr>
                <w:noProof/>
                <w:webHidden/>
              </w:rPr>
              <w:t>75</w:t>
            </w:r>
            <w:r w:rsidR="00887BC2">
              <w:rPr>
                <w:noProof/>
                <w:webHidden/>
              </w:rPr>
              <w:fldChar w:fldCharType="end"/>
            </w:r>
          </w:hyperlink>
        </w:p>
        <w:p w14:paraId="7346A5A5" w14:textId="1DE7234B"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84" w:history="1">
            <w:r w:rsidR="00887BC2" w:rsidRPr="00AD3825">
              <w:rPr>
                <w:rStyle w:val="Hyperlink"/>
                <w:rFonts w:ascii="Marianne" w:eastAsiaTheme="majorEastAsia" w:hAnsi="Marianne"/>
                <w:noProof/>
              </w:rPr>
              <w:t>D.1.</w:t>
            </w:r>
            <w:r w:rsidR="00887BC2">
              <w:rPr>
                <w:rFonts w:eastAsiaTheme="minorEastAsia" w:cstheme="minorBidi"/>
                <w:i w:val="0"/>
                <w:iCs w:val="0"/>
                <w:noProof/>
                <w:szCs w:val="22"/>
                <w:lang w:val="fr-FR"/>
              </w:rPr>
              <w:tab/>
            </w:r>
            <w:r w:rsidR="00887BC2" w:rsidRPr="00AD3825">
              <w:rPr>
                <w:rStyle w:val="Hyperlink"/>
                <w:rFonts w:eastAsiaTheme="majorEastAsia"/>
                <w:noProof/>
              </w:rPr>
              <w:t>Effect on the reduction of emissions</w:t>
            </w:r>
            <w:r w:rsidR="00887BC2">
              <w:rPr>
                <w:noProof/>
                <w:webHidden/>
              </w:rPr>
              <w:tab/>
            </w:r>
            <w:r w:rsidR="00887BC2">
              <w:rPr>
                <w:noProof/>
                <w:webHidden/>
              </w:rPr>
              <w:fldChar w:fldCharType="begin"/>
            </w:r>
            <w:r w:rsidR="00887BC2">
              <w:rPr>
                <w:noProof/>
                <w:webHidden/>
              </w:rPr>
              <w:instrText xml:space="preserve"> PAGEREF _Toc138344684 \h </w:instrText>
            </w:r>
            <w:r w:rsidR="00887BC2">
              <w:rPr>
                <w:noProof/>
                <w:webHidden/>
              </w:rPr>
            </w:r>
            <w:r w:rsidR="00887BC2">
              <w:rPr>
                <w:noProof/>
                <w:webHidden/>
              </w:rPr>
              <w:fldChar w:fldCharType="separate"/>
            </w:r>
            <w:r w:rsidR="00887BC2">
              <w:rPr>
                <w:noProof/>
                <w:webHidden/>
              </w:rPr>
              <w:t>75</w:t>
            </w:r>
            <w:r w:rsidR="00887BC2">
              <w:rPr>
                <w:noProof/>
                <w:webHidden/>
              </w:rPr>
              <w:fldChar w:fldCharType="end"/>
            </w:r>
          </w:hyperlink>
        </w:p>
        <w:p w14:paraId="784D9ACE" w14:textId="746B6272"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85" w:history="1">
            <w:r w:rsidR="00887BC2" w:rsidRPr="00AD3825">
              <w:rPr>
                <w:rStyle w:val="Hyperlink"/>
                <w:rFonts w:ascii="Marianne" w:eastAsiaTheme="majorEastAsia" w:hAnsi="Marianne"/>
                <w:noProof/>
              </w:rPr>
              <w:t>D.2.</w:t>
            </w:r>
            <w:r w:rsidR="00887BC2">
              <w:rPr>
                <w:rFonts w:eastAsiaTheme="minorEastAsia" w:cstheme="minorBidi"/>
                <w:i w:val="0"/>
                <w:iCs w:val="0"/>
                <w:noProof/>
                <w:szCs w:val="22"/>
                <w:lang w:val="fr-FR"/>
              </w:rPr>
              <w:tab/>
            </w:r>
            <w:r w:rsidR="00887BC2" w:rsidRPr="00AD3825">
              <w:rPr>
                <w:rStyle w:val="Hyperlink"/>
                <w:rFonts w:eastAsiaTheme="majorEastAsia"/>
                <w:noProof/>
              </w:rPr>
              <w:t>Economic and social impacts</w:t>
            </w:r>
            <w:r w:rsidR="00887BC2">
              <w:rPr>
                <w:noProof/>
                <w:webHidden/>
              </w:rPr>
              <w:tab/>
            </w:r>
            <w:r w:rsidR="00887BC2">
              <w:rPr>
                <w:noProof/>
                <w:webHidden/>
              </w:rPr>
              <w:fldChar w:fldCharType="begin"/>
            </w:r>
            <w:r w:rsidR="00887BC2">
              <w:rPr>
                <w:noProof/>
                <w:webHidden/>
              </w:rPr>
              <w:instrText xml:space="preserve"> PAGEREF _Toc138344685 \h </w:instrText>
            </w:r>
            <w:r w:rsidR="00887BC2">
              <w:rPr>
                <w:noProof/>
                <w:webHidden/>
              </w:rPr>
            </w:r>
            <w:r w:rsidR="00887BC2">
              <w:rPr>
                <w:noProof/>
                <w:webHidden/>
              </w:rPr>
              <w:fldChar w:fldCharType="separate"/>
            </w:r>
            <w:r w:rsidR="00887BC2">
              <w:rPr>
                <w:noProof/>
                <w:webHidden/>
              </w:rPr>
              <w:t>76</w:t>
            </w:r>
            <w:r w:rsidR="00887BC2">
              <w:rPr>
                <w:noProof/>
                <w:webHidden/>
              </w:rPr>
              <w:fldChar w:fldCharType="end"/>
            </w:r>
          </w:hyperlink>
        </w:p>
        <w:p w14:paraId="5438D861" w14:textId="247A7878"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86" w:history="1">
            <w:r w:rsidR="00887BC2" w:rsidRPr="00AD3825">
              <w:rPr>
                <w:rStyle w:val="Hyperlink"/>
                <w:rFonts w:ascii="Marianne" w:eastAsiaTheme="majorEastAsia" w:hAnsi="Marianne"/>
                <w:noProof/>
              </w:rPr>
              <w:t>D.3.</w:t>
            </w:r>
            <w:r w:rsidR="00887BC2">
              <w:rPr>
                <w:rFonts w:eastAsiaTheme="minorEastAsia" w:cstheme="minorBidi"/>
                <w:i w:val="0"/>
                <w:iCs w:val="0"/>
                <w:noProof/>
                <w:szCs w:val="22"/>
                <w:lang w:val="fr-FR"/>
              </w:rPr>
              <w:tab/>
            </w:r>
            <w:r w:rsidR="00887BC2" w:rsidRPr="00AD3825">
              <w:rPr>
                <w:rStyle w:val="Hyperlink"/>
                <w:rFonts w:eastAsiaTheme="majorEastAsia"/>
                <w:noProof/>
              </w:rPr>
              <w:t>Minimising adverse effects on developing countries</w:t>
            </w:r>
            <w:r w:rsidR="00887BC2">
              <w:rPr>
                <w:noProof/>
                <w:webHidden/>
              </w:rPr>
              <w:tab/>
            </w:r>
            <w:r w:rsidR="00887BC2">
              <w:rPr>
                <w:noProof/>
                <w:webHidden/>
              </w:rPr>
              <w:fldChar w:fldCharType="begin"/>
            </w:r>
            <w:r w:rsidR="00887BC2">
              <w:rPr>
                <w:noProof/>
                <w:webHidden/>
              </w:rPr>
              <w:instrText xml:space="preserve"> PAGEREF _Toc138344686 \h </w:instrText>
            </w:r>
            <w:r w:rsidR="00887BC2">
              <w:rPr>
                <w:noProof/>
                <w:webHidden/>
              </w:rPr>
            </w:r>
            <w:r w:rsidR="00887BC2">
              <w:rPr>
                <w:noProof/>
                <w:webHidden/>
              </w:rPr>
              <w:fldChar w:fldCharType="separate"/>
            </w:r>
            <w:r w:rsidR="00887BC2">
              <w:rPr>
                <w:noProof/>
                <w:webHidden/>
              </w:rPr>
              <w:t>76</w:t>
            </w:r>
            <w:r w:rsidR="00887BC2">
              <w:rPr>
                <w:noProof/>
                <w:webHidden/>
              </w:rPr>
              <w:fldChar w:fldCharType="end"/>
            </w:r>
          </w:hyperlink>
        </w:p>
        <w:p w14:paraId="23D1F1B5" w14:textId="630F34EA" w:rsidR="00887BC2" w:rsidRDefault="00C73940">
          <w:pPr>
            <w:pStyle w:val="TOC1"/>
            <w:rPr>
              <w:rFonts w:eastAsiaTheme="minorEastAsia" w:cstheme="minorBidi"/>
              <w:b w:val="0"/>
              <w:bCs w:val="0"/>
              <w:caps w:val="0"/>
              <w:noProof/>
              <w:szCs w:val="22"/>
              <w:lang w:val="fr-FR"/>
            </w:rPr>
          </w:pPr>
          <w:hyperlink w:anchor="_Toc138344687" w:history="1">
            <w:r w:rsidR="00887BC2" w:rsidRPr="00AD3825">
              <w:rPr>
                <w:rStyle w:val="Hyperlink"/>
                <w:rFonts w:eastAsiaTheme="majorEastAsia"/>
                <w:noProof/>
              </w:rPr>
              <w:t>Chapter IV - Greenhouse gas emission projections</w:t>
            </w:r>
            <w:r w:rsidR="00887BC2">
              <w:rPr>
                <w:noProof/>
                <w:webHidden/>
              </w:rPr>
              <w:tab/>
            </w:r>
            <w:r w:rsidR="00887BC2">
              <w:rPr>
                <w:noProof/>
                <w:webHidden/>
              </w:rPr>
              <w:fldChar w:fldCharType="begin"/>
            </w:r>
            <w:r w:rsidR="00887BC2">
              <w:rPr>
                <w:noProof/>
                <w:webHidden/>
              </w:rPr>
              <w:instrText xml:space="preserve"> PAGEREF _Toc138344687 \h </w:instrText>
            </w:r>
            <w:r w:rsidR="00887BC2">
              <w:rPr>
                <w:noProof/>
                <w:webHidden/>
              </w:rPr>
            </w:r>
            <w:r w:rsidR="00887BC2">
              <w:rPr>
                <w:noProof/>
                <w:webHidden/>
              </w:rPr>
              <w:fldChar w:fldCharType="separate"/>
            </w:r>
            <w:r w:rsidR="00887BC2">
              <w:rPr>
                <w:noProof/>
                <w:webHidden/>
              </w:rPr>
              <w:t>78</w:t>
            </w:r>
            <w:r w:rsidR="00887BC2">
              <w:rPr>
                <w:noProof/>
                <w:webHidden/>
              </w:rPr>
              <w:fldChar w:fldCharType="end"/>
            </w:r>
          </w:hyperlink>
        </w:p>
        <w:p w14:paraId="483278E2" w14:textId="66A75DEE"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688" w:history="1">
            <w:r w:rsidR="00887BC2" w:rsidRPr="00AD3825">
              <w:rPr>
                <w:rStyle w:val="Hyperlink"/>
                <w:rFonts w:eastAsiaTheme="majorEastAsia"/>
                <w:noProof/>
              </w:rPr>
              <w:t>A.</w:t>
            </w:r>
            <w:r w:rsidR="00887BC2">
              <w:rPr>
                <w:rFonts w:eastAsiaTheme="minorEastAsia" w:cstheme="minorBidi"/>
                <w:smallCaps w:val="0"/>
                <w:noProof/>
                <w:szCs w:val="22"/>
                <w:lang w:val="fr-FR"/>
              </w:rPr>
              <w:tab/>
            </w:r>
            <w:r w:rsidR="00887BC2" w:rsidRPr="00AD3825">
              <w:rPr>
                <w:rStyle w:val="Hyperlink"/>
                <w:rFonts w:eastAsiaTheme="majorEastAsia"/>
                <w:noProof/>
              </w:rPr>
              <w:t>Definition of scenarios</w:t>
            </w:r>
            <w:r w:rsidR="00887BC2">
              <w:rPr>
                <w:noProof/>
                <w:webHidden/>
              </w:rPr>
              <w:tab/>
            </w:r>
            <w:r w:rsidR="00887BC2">
              <w:rPr>
                <w:noProof/>
                <w:webHidden/>
              </w:rPr>
              <w:fldChar w:fldCharType="begin"/>
            </w:r>
            <w:r w:rsidR="00887BC2">
              <w:rPr>
                <w:noProof/>
                <w:webHidden/>
              </w:rPr>
              <w:instrText xml:space="preserve"> PAGEREF _Toc138344688 \h </w:instrText>
            </w:r>
            <w:r w:rsidR="00887BC2">
              <w:rPr>
                <w:noProof/>
                <w:webHidden/>
              </w:rPr>
            </w:r>
            <w:r w:rsidR="00887BC2">
              <w:rPr>
                <w:noProof/>
                <w:webHidden/>
              </w:rPr>
              <w:fldChar w:fldCharType="separate"/>
            </w:r>
            <w:r w:rsidR="00887BC2">
              <w:rPr>
                <w:noProof/>
                <w:webHidden/>
              </w:rPr>
              <w:t>78</w:t>
            </w:r>
            <w:r w:rsidR="00887BC2">
              <w:rPr>
                <w:noProof/>
                <w:webHidden/>
              </w:rPr>
              <w:fldChar w:fldCharType="end"/>
            </w:r>
          </w:hyperlink>
        </w:p>
        <w:p w14:paraId="53543E8E" w14:textId="797EDCB2"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89" w:history="1">
            <w:r w:rsidR="00887BC2">
              <w:rPr>
                <w:rFonts w:eastAsiaTheme="minorEastAsia" w:cstheme="minorBidi"/>
                <w:smallCaps w:val="0"/>
                <w:noProof/>
                <w:szCs w:val="22"/>
                <w:lang w:val="fr-FR"/>
              </w:rPr>
              <w:tab/>
            </w:r>
            <w:r w:rsidR="00887BC2" w:rsidRPr="00AD3825">
              <w:rPr>
                <w:rStyle w:val="Hyperlink"/>
                <w:rFonts w:eastAsiaTheme="majorEastAsia"/>
                <w:noProof/>
              </w:rPr>
              <w:t>Key policies and measures included in the scenarios</w:t>
            </w:r>
            <w:r w:rsidR="00887BC2">
              <w:rPr>
                <w:noProof/>
                <w:webHidden/>
              </w:rPr>
              <w:tab/>
            </w:r>
            <w:r w:rsidR="00887BC2">
              <w:rPr>
                <w:noProof/>
                <w:webHidden/>
              </w:rPr>
              <w:fldChar w:fldCharType="begin"/>
            </w:r>
            <w:r w:rsidR="00887BC2">
              <w:rPr>
                <w:noProof/>
                <w:webHidden/>
              </w:rPr>
              <w:instrText xml:space="preserve"> PAGEREF _Toc138344689 \h </w:instrText>
            </w:r>
            <w:r w:rsidR="00887BC2">
              <w:rPr>
                <w:noProof/>
                <w:webHidden/>
              </w:rPr>
            </w:r>
            <w:r w:rsidR="00887BC2">
              <w:rPr>
                <w:noProof/>
                <w:webHidden/>
              </w:rPr>
              <w:fldChar w:fldCharType="separate"/>
            </w:r>
            <w:r w:rsidR="00887BC2">
              <w:rPr>
                <w:noProof/>
                <w:webHidden/>
              </w:rPr>
              <w:t>79</w:t>
            </w:r>
            <w:r w:rsidR="00887BC2">
              <w:rPr>
                <w:noProof/>
                <w:webHidden/>
              </w:rPr>
              <w:fldChar w:fldCharType="end"/>
            </w:r>
          </w:hyperlink>
        </w:p>
        <w:p w14:paraId="61F0C039" w14:textId="6F172B93" w:rsidR="00887BC2" w:rsidRDefault="00C73940">
          <w:pPr>
            <w:pStyle w:val="TOC2"/>
            <w:tabs>
              <w:tab w:val="right" w:leader="dot" w:pos="9854"/>
            </w:tabs>
            <w:rPr>
              <w:rFonts w:eastAsiaTheme="minorEastAsia" w:cstheme="minorBidi"/>
              <w:smallCaps w:val="0"/>
              <w:noProof/>
              <w:szCs w:val="22"/>
              <w:lang w:val="fr-FR"/>
            </w:rPr>
          </w:pPr>
          <w:hyperlink w:anchor="_Toc138344692" w:history="1">
            <w:r w:rsidR="00887BC2" w:rsidRPr="00AD3825">
              <w:rPr>
                <w:rStyle w:val="Hyperlink"/>
                <w:rFonts w:eastAsiaTheme="majorEastAsia"/>
                <w:noProof/>
              </w:rPr>
              <w:t>B.</w:t>
            </w:r>
            <w:r w:rsidR="00887BC2">
              <w:rPr>
                <w:noProof/>
                <w:webHidden/>
              </w:rPr>
              <w:tab/>
            </w:r>
            <w:r w:rsidR="00887BC2">
              <w:rPr>
                <w:noProof/>
                <w:webHidden/>
              </w:rPr>
              <w:fldChar w:fldCharType="begin"/>
            </w:r>
            <w:r w:rsidR="00887BC2">
              <w:rPr>
                <w:noProof/>
                <w:webHidden/>
              </w:rPr>
              <w:instrText xml:space="preserve"> PAGEREF _Toc138344692 \h </w:instrText>
            </w:r>
            <w:r w:rsidR="00887BC2">
              <w:rPr>
                <w:noProof/>
                <w:webHidden/>
              </w:rPr>
            </w:r>
            <w:r w:rsidR="00887BC2">
              <w:rPr>
                <w:noProof/>
                <w:webHidden/>
              </w:rPr>
              <w:fldChar w:fldCharType="separate"/>
            </w:r>
            <w:r w:rsidR="00887BC2">
              <w:rPr>
                <w:noProof/>
                <w:webHidden/>
              </w:rPr>
              <w:t>79</w:t>
            </w:r>
            <w:r w:rsidR="00887BC2">
              <w:rPr>
                <w:noProof/>
                <w:webHidden/>
              </w:rPr>
              <w:fldChar w:fldCharType="end"/>
            </w:r>
          </w:hyperlink>
        </w:p>
        <w:p w14:paraId="6C0B4776" w14:textId="66DF7CD8"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93" w:history="1">
            <w:r w:rsidR="00887BC2" w:rsidRPr="00AD3825">
              <w:rPr>
                <w:rStyle w:val="Hyperlink"/>
                <w:rFonts w:ascii="Marianne" w:eastAsiaTheme="majorEastAsia" w:hAnsi="Marianne"/>
                <w:noProof/>
              </w:rPr>
              <w:t>B.2.</w:t>
            </w:r>
            <w:r w:rsidR="00887BC2">
              <w:rPr>
                <w:rFonts w:eastAsiaTheme="minorEastAsia" w:cstheme="minorBidi"/>
                <w:i w:val="0"/>
                <w:iCs w:val="0"/>
                <w:noProof/>
                <w:szCs w:val="22"/>
                <w:lang w:val="fr-FR"/>
              </w:rPr>
              <w:tab/>
            </w:r>
            <w:r w:rsidR="00887BC2" w:rsidRPr="00AD3825">
              <w:rPr>
                <w:rStyle w:val="Hyperlink"/>
                <w:rFonts w:eastAsiaTheme="majorEastAsia"/>
                <w:noProof/>
              </w:rPr>
              <w:t>Sensitivity analysis</w:t>
            </w:r>
            <w:r w:rsidR="00887BC2">
              <w:rPr>
                <w:noProof/>
                <w:webHidden/>
              </w:rPr>
              <w:tab/>
            </w:r>
            <w:r w:rsidR="00887BC2">
              <w:rPr>
                <w:noProof/>
                <w:webHidden/>
              </w:rPr>
              <w:fldChar w:fldCharType="begin"/>
            </w:r>
            <w:r w:rsidR="00887BC2">
              <w:rPr>
                <w:noProof/>
                <w:webHidden/>
              </w:rPr>
              <w:instrText xml:space="preserve"> PAGEREF _Toc138344693 \h </w:instrText>
            </w:r>
            <w:r w:rsidR="00887BC2">
              <w:rPr>
                <w:noProof/>
                <w:webHidden/>
              </w:rPr>
            </w:r>
            <w:r w:rsidR="00887BC2">
              <w:rPr>
                <w:noProof/>
                <w:webHidden/>
              </w:rPr>
              <w:fldChar w:fldCharType="separate"/>
            </w:r>
            <w:r w:rsidR="00887BC2">
              <w:rPr>
                <w:noProof/>
                <w:webHidden/>
              </w:rPr>
              <w:t>85</w:t>
            </w:r>
            <w:r w:rsidR="00887BC2">
              <w:rPr>
                <w:noProof/>
                <w:webHidden/>
              </w:rPr>
              <w:fldChar w:fldCharType="end"/>
            </w:r>
          </w:hyperlink>
        </w:p>
        <w:p w14:paraId="07C16445" w14:textId="6CE7FDDC"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94" w:history="1">
            <w:r w:rsidR="00887BC2" w:rsidRPr="00AD3825">
              <w:rPr>
                <w:rStyle w:val="Hyperlink"/>
                <w:rFonts w:eastAsiaTheme="majorEastAsia"/>
                <w:noProof/>
              </w:rPr>
              <w:t>C.</w:t>
            </w:r>
            <w:r w:rsidR="00887BC2">
              <w:rPr>
                <w:rFonts w:eastAsiaTheme="minorEastAsia" w:cstheme="minorBidi"/>
                <w:smallCaps w:val="0"/>
                <w:noProof/>
                <w:szCs w:val="22"/>
                <w:lang w:val="fr-FR"/>
              </w:rPr>
              <w:tab/>
            </w:r>
            <w:r w:rsidR="00887BC2" w:rsidRPr="00AD3825">
              <w:rPr>
                <w:rStyle w:val="Hyperlink"/>
                <w:rFonts w:eastAsiaTheme="majorEastAsia"/>
                <w:noProof/>
              </w:rPr>
              <w:t>Presentation of the overall results</w:t>
            </w:r>
            <w:r w:rsidR="00887BC2">
              <w:rPr>
                <w:noProof/>
                <w:webHidden/>
              </w:rPr>
              <w:tab/>
            </w:r>
            <w:r w:rsidR="00887BC2">
              <w:rPr>
                <w:noProof/>
                <w:webHidden/>
              </w:rPr>
              <w:fldChar w:fldCharType="begin"/>
            </w:r>
            <w:r w:rsidR="00887BC2">
              <w:rPr>
                <w:noProof/>
                <w:webHidden/>
              </w:rPr>
              <w:instrText xml:space="preserve"> PAGEREF _Toc138344694 \h </w:instrText>
            </w:r>
            <w:r w:rsidR="00887BC2">
              <w:rPr>
                <w:noProof/>
                <w:webHidden/>
              </w:rPr>
            </w:r>
            <w:r w:rsidR="00887BC2">
              <w:rPr>
                <w:noProof/>
                <w:webHidden/>
              </w:rPr>
              <w:fldChar w:fldCharType="separate"/>
            </w:r>
            <w:r w:rsidR="00887BC2">
              <w:rPr>
                <w:noProof/>
                <w:webHidden/>
              </w:rPr>
              <w:t>85</w:t>
            </w:r>
            <w:r w:rsidR="00887BC2">
              <w:rPr>
                <w:noProof/>
                <w:webHidden/>
              </w:rPr>
              <w:fldChar w:fldCharType="end"/>
            </w:r>
          </w:hyperlink>
        </w:p>
        <w:p w14:paraId="21305BD9" w14:textId="00BD66B2"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695" w:history="1">
            <w:r w:rsidR="00887BC2" w:rsidRPr="00AD3825">
              <w:rPr>
                <w:rStyle w:val="Hyperlink"/>
                <w:rFonts w:eastAsiaTheme="majorEastAsia"/>
                <w:noProof/>
              </w:rPr>
              <w:t>D.</w:t>
            </w:r>
            <w:r w:rsidR="00887BC2">
              <w:rPr>
                <w:rFonts w:eastAsiaTheme="minorEastAsia" w:cstheme="minorBidi"/>
                <w:smallCaps w:val="0"/>
                <w:noProof/>
                <w:szCs w:val="22"/>
                <w:lang w:val="fr-FR"/>
              </w:rPr>
              <w:tab/>
            </w:r>
            <w:r w:rsidR="00887BC2" w:rsidRPr="00AD3825">
              <w:rPr>
                <w:rStyle w:val="Hyperlink"/>
                <w:rFonts w:eastAsiaTheme="majorEastAsia"/>
                <w:noProof/>
              </w:rPr>
              <w:t>Detail by sector and by gas</w:t>
            </w:r>
            <w:r w:rsidR="00887BC2">
              <w:rPr>
                <w:noProof/>
                <w:webHidden/>
              </w:rPr>
              <w:tab/>
            </w:r>
            <w:r w:rsidR="00887BC2">
              <w:rPr>
                <w:noProof/>
                <w:webHidden/>
              </w:rPr>
              <w:fldChar w:fldCharType="begin"/>
            </w:r>
            <w:r w:rsidR="00887BC2">
              <w:rPr>
                <w:noProof/>
                <w:webHidden/>
              </w:rPr>
              <w:instrText xml:space="preserve"> PAGEREF _Toc138344695 \h </w:instrText>
            </w:r>
            <w:r w:rsidR="00887BC2">
              <w:rPr>
                <w:noProof/>
                <w:webHidden/>
              </w:rPr>
            </w:r>
            <w:r w:rsidR="00887BC2">
              <w:rPr>
                <w:noProof/>
                <w:webHidden/>
              </w:rPr>
              <w:fldChar w:fldCharType="separate"/>
            </w:r>
            <w:r w:rsidR="00887BC2">
              <w:rPr>
                <w:noProof/>
                <w:webHidden/>
              </w:rPr>
              <w:t>89</w:t>
            </w:r>
            <w:r w:rsidR="00887BC2">
              <w:rPr>
                <w:noProof/>
                <w:webHidden/>
              </w:rPr>
              <w:fldChar w:fldCharType="end"/>
            </w:r>
          </w:hyperlink>
        </w:p>
        <w:p w14:paraId="574050D3" w14:textId="7F5E94E1"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696" w:history="1">
            <w:r w:rsidR="00887BC2" w:rsidRPr="00AD3825">
              <w:rPr>
                <w:rStyle w:val="Hyperlink"/>
                <w:rFonts w:ascii="Marianne" w:eastAsiaTheme="majorEastAsia" w:hAnsi="Marianne"/>
                <w:noProof/>
              </w:rPr>
              <w:t>D.1.</w:t>
            </w:r>
            <w:r w:rsidR="00887BC2">
              <w:rPr>
                <w:rFonts w:eastAsiaTheme="minorEastAsia" w:cstheme="minorBidi"/>
                <w:i w:val="0"/>
                <w:iCs w:val="0"/>
                <w:noProof/>
                <w:szCs w:val="22"/>
                <w:lang w:val="fr-FR"/>
              </w:rPr>
              <w:tab/>
            </w:r>
            <w:r w:rsidR="00887BC2" w:rsidRPr="00AD3825">
              <w:rPr>
                <w:rStyle w:val="Hyperlink"/>
                <w:rFonts w:eastAsiaTheme="majorEastAsia"/>
                <w:noProof/>
              </w:rPr>
              <w:t>Trends by sector of activity</w:t>
            </w:r>
            <w:r w:rsidR="00887BC2">
              <w:rPr>
                <w:noProof/>
                <w:webHidden/>
              </w:rPr>
              <w:tab/>
            </w:r>
            <w:r w:rsidR="00887BC2">
              <w:rPr>
                <w:noProof/>
                <w:webHidden/>
              </w:rPr>
              <w:fldChar w:fldCharType="begin"/>
            </w:r>
            <w:r w:rsidR="00887BC2">
              <w:rPr>
                <w:noProof/>
                <w:webHidden/>
              </w:rPr>
              <w:instrText xml:space="preserve"> PAGEREF _Toc138344696 \h </w:instrText>
            </w:r>
            <w:r w:rsidR="00887BC2">
              <w:rPr>
                <w:noProof/>
                <w:webHidden/>
              </w:rPr>
            </w:r>
            <w:r w:rsidR="00887BC2">
              <w:rPr>
                <w:noProof/>
                <w:webHidden/>
              </w:rPr>
              <w:fldChar w:fldCharType="separate"/>
            </w:r>
            <w:r w:rsidR="00887BC2">
              <w:rPr>
                <w:noProof/>
                <w:webHidden/>
              </w:rPr>
              <w:t>89</w:t>
            </w:r>
            <w:r w:rsidR="00887BC2">
              <w:rPr>
                <w:noProof/>
                <w:webHidden/>
              </w:rPr>
              <w:fldChar w:fldCharType="end"/>
            </w:r>
          </w:hyperlink>
        </w:p>
        <w:p w14:paraId="596982F2" w14:textId="455F411A"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697" w:history="1">
            <w:r w:rsidR="00887BC2" w:rsidRPr="00AD3825">
              <w:rPr>
                <w:rStyle w:val="Hyperlink"/>
                <w:rFonts w:ascii="Marianne" w:eastAsiaTheme="majorEastAsia" w:hAnsi="Marianne"/>
                <w:noProof/>
              </w:rPr>
              <w:t>B.3.</w:t>
            </w:r>
            <w:r w:rsidR="00887BC2">
              <w:rPr>
                <w:rFonts w:eastAsiaTheme="minorEastAsia" w:cstheme="minorBidi"/>
                <w:i w:val="0"/>
                <w:iCs w:val="0"/>
                <w:noProof/>
                <w:szCs w:val="22"/>
                <w:lang w:val="fr-FR"/>
              </w:rPr>
              <w:tab/>
            </w:r>
            <w:r w:rsidR="00887BC2" w:rsidRPr="00AD3825">
              <w:rPr>
                <w:rStyle w:val="Hyperlink"/>
                <w:rFonts w:eastAsiaTheme="majorEastAsia"/>
                <w:noProof/>
              </w:rPr>
              <w:t>Trends by gas</w:t>
            </w:r>
            <w:r w:rsidR="00887BC2">
              <w:rPr>
                <w:noProof/>
                <w:webHidden/>
              </w:rPr>
              <w:tab/>
            </w:r>
            <w:r w:rsidR="00887BC2">
              <w:rPr>
                <w:noProof/>
                <w:webHidden/>
              </w:rPr>
              <w:fldChar w:fldCharType="begin"/>
            </w:r>
            <w:r w:rsidR="00887BC2">
              <w:rPr>
                <w:noProof/>
                <w:webHidden/>
              </w:rPr>
              <w:instrText xml:space="preserve"> PAGEREF _Toc138344697 \h </w:instrText>
            </w:r>
            <w:r w:rsidR="00887BC2">
              <w:rPr>
                <w:noProof/>
                <w:webHidden/>
              </w:rPr>
            </w:r>
            <w:r w:rsidR="00887BC2">
              <w:rPr>
                <w:noProof/>
                <w:webHidden/>
              </w:rPr>
              <w:fldChar w:fldCharType="separate"/>
            </w:r>
            <w:r w:rsidR="00887BC2">
              <w:rPr>
                <w:noProof/>
                <w:webHidden/>
              </w:rPr>
              <w:t>94</w:t>
            </w:r>
            <w:r w:rsidR="00887BC2">
              <w:rPr>
                <w:noProof/>
                <w:webHidden/>
              </w:rPr>
              <w:fldChar w:fldCharType="end"/>
            </w:r>
          </w:hyperlink>
        </w:p>
        <w:p w14:paraId="3FD16504" w14:textId="69F76AA8"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699" w:history="1">
            <w:r w:rsidR="00887BC2" w:rsidRPr="00AD3825">
              <w:rPr>
                <w:rStyle w:val="Hyperlink"/>
                <w:rFonts w:eastAsiaTheme="majorEastAsia"/>
                <w:noProof/>
              </w:rPr>
              <w:t>E.</w:t>
            </w:r>
            <w:r w:rsidR="00887BC2">
              <w:rPr>
                <w:rFonts w:eastAsiaTheme="minorEastAsia" w:cstheme="minorBidi"/>
                <w:smallCaps w:val="0"/>
                <w:noProof/>
                <w:szCs w:val="22"/>
                <w:lang w:val="fr-FR"/>
              </w:rPr>
              <w:tab/>
            </w:r>
            <w:r w:rsidR="00887BC2" w:rsidRPr="00AD3825">
              <w:rPr>
                <w:rStyle w:val="Hyperlink"/>
                <w:rFonts w:eastAsiaTheme="majorEastAsia"/>
                <w:noProof/>
              </w:rPr>
              <w:t>Meeting France’s targets</w:t>
            </w:r>
            <w:r w:rsidR="00887BC2">
              <w:rPr>
                <w:noProof/>
                <w:webHidden/>
              </w:rPr>
              <w:tab/>
            </w:r>
            <w:r w:rsidR="00887BC2">
              <w:rPr>
                <w:noProof/>
                <w:webHidden/>
              </w:rPr>
              <w:fldChar w:fldCharType="begin"/>
            </w:r>
            <w:r w:rsidR="00887BC2">
              <w:rPr>
                <w:noProof/>
                <w:webHidden/>
              </w:rPr>
              <w:instrText xml:space="preserve"> PAGEREF _Toc138344699 \h </w:instrText>
            </w:r>
            <w:r w:rsidR="00887BC2">
              <w:rPr>
                <w:noProof/>
                <w:webHidden/>
              </w:rPr>
            </w:r>
            <w:r w:rsidR="00887BC2">
              <w:rPr>
                <w:noProof/>
                <w:webHidden/>
              </w:rPr>
              <w:fldChar w:fldCharType="separate"/>
            </w:r>
            <w:r w:rsidR="00887BC2">
              <w:rPr>
                <w:noProof/>
                <w:webHidden/>
              </w:rPr>
              <w:t>104</w:t>
            </w:r>
            <w:r w:rsidR="00887BC2">
              <w:rPr>
                <w:noProof/>
                <w:webHidden/>
              </w:rPr>
              <w:fldChar w:fldCharType="end"/>
            </w:r>
          </w:hyperlink>
        </w:p>
        <w:p w14:paraId="5F1D21E5" w14:textId="1D1A50AC"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700" w:history="1">
            <w:r w:rsidR="00887BC2" w:rsidRPr="00AD3825">
              <w:rPr>
                <w:rStyle w:val="Hyperlink"/>
                <w:rFonts w:eastAsiaTheme="majorEastAsia"/>
                <w:noProof/>
              </w:rPr>
              <w:t>F.</w:t>
            </w:r>
            <w:r w:rsidR="00887BC2">
              <w:rPr>
                <w:rFonts w:eastAsiaTheme="minorEastAsia" w:cstheme="minorBidi"/>
                <w:smallCaps w:val="0"/>
                <w:noProof/>
                <w:szCs w:val="22"/>
                <w:lang w:val="fr-FR"/>
              </w:rPr>
              <w:tab/>
            </w:r>
            <w:r w:rsidR="00887BC2" w:rsidRPr="00AD3825">
              <w:rPr>
                <w:rStyle w:val="Hyperlink"/>
                <w:rFonts w:eastAsiaTheme="majorEastAsia"/>
                <w:noProof/>
              </w:rPr>
              <w:t>The evolution of models and methodologies</w:t>
            </w:r>
            <w:r w:rsidR="00887BC2">
              <w:rPr>
                <w:noProof/>
                <w:webHidden/>
              </w:rPr>
              <w:tab/>
            </w:r>
            <w:r w:rsidR="00887BC2">
              <w:rPr>
                <w:noProof/>
                <w:webHidden/>
              </w:rPr>
              <w:fldChar w:fldCharType="begin"/>
            </w:r>
            <w:r w:rsidR="00887BC2">
              <w:rPr>
                <w:noProof/>
                <w:webHidden/>
              </w:rPr>
              <w:instrText xml:space="preserve"> PAGEREF _Toc138344700 \h </w:instrText>
            </w:r>
            <w:r w:rsidR="00887BC2">
              <w:rPr>
                <w:noProof/>
                <w:webHidden/>
              </w:rPr>
            </w:r>
            <w:r w:rsidR="00887BC2">
              <w:rPr>
                <w:noProof/>
                <w:webHidden/>
              </w:rPr>
              <w:fldChar w:fldCharType="separate"/>
            </w:r>
            <w:r w:rsidR="00887BC2">
              <w:rPr>
                <w:noProof/>
                <w:webHidden/>
              </w:rPr>
              <w:t>105</w:t>
            </w:r>
            <w:r w:rsidR="00887BC2">
              <w:rPr>
                <w:noProof/>
                <w:webHidden/>
              </w:rPr>
              <w:fldChar w:fldCharType="end"/>
            </w:r>
          </w:hyperlink>
        </w:p>
        <w:p w14:paraId="7BAA270E" w14:textId="61A102CA"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701" w:history="1">
            <w:r w:rsidR="00887BC2" w:rsidRPr="00AD3825">
              <w:rPr>
                <w:rStyle w:val="Hyperlink"/>
                <w:rFonts w:ascii="Marianne" w:eastAsiaTheme="majorEastAsia" w:hAnsi="Marianne"/>
                <w:noProof/>
              </w:rPr>
              <w:t>F.1.</w:t>
            </w:r>
            <w:r w:rsidR="00887BC2">
              <w:rPr>
                <w:rFonts w:eastAsiaTheme="minorEastAsia" w:cstheme="minorBidi"/>
                <w:i w:val="0"/>
                <w:iCs w:val="0"/>
                <w:noProof/>
                <w:szCs w:val="22"/>
                <w:lang w:val="fr-FR"/>
              </w:rPr>
              <w:tab/>
            </w:r>
            <w:r w:rsidR="00887BC2" w:rsidRPr="00AD3825">
              <w:rPr>
                <w:rStyle w:val="Hyperlink"/>
                <w:rFonts w:eastAsiaTheme="majorEastAsia"/>
                <w:noProof/>
              </w:rPr>
              <w:t>Modelling used</w:t>
            </w:r>
            <w:r w:rsidR="00887BC2">
              <w:rPr>
                <w:noProof/>
                <w:webHidden/>
              </w:rPr>
              <w:tab/>
            </w:r>
            <w:r w:rsidR="00887BC2">
              <w:rPr>
                <w:noProof/>
                <w:webHidden/>
              </w:rPr>
              <w:fldChar w:fldCharType="begin"/>
            </w:r>
            <w:r w:rsidR="00887BC2">
              <w:rPr>
                <w:noProof/>
                <w:webHidden/>
              </w:rPr>
              <w:instrText xml:space="preserve"> PAGEREF _Toc138344701 \h </w:instrText>
            </w:r>
            <w:r w:rsidR="00887BC2">
              <w:rPr>
                <w:noProof/>
                <w:webHidden/>
              </w:rPr>
            </w:r>
            <w:r w:rsidR="00887BC2">
              <w:rPr>
                <w:noProof/>
                <w:webHidden/>
              </w:rPr>
              <w:fldChar w:fldCharType="separate"/>
            </w:r>
            <w:r w:rsidR="00887BC2">
              <w:rPr>
                <w:noProof/>
                <w:webHidden/>
              </w:rPr>
              <w:t>105</w:t>
            </w:r>
            <w:r w:rsidR="00887BC2">
              <w:rPr>
                <w:noProof/>
                <w:webHidden/>
              </w:rPr>
              <w:fldChar w:fldCharType="end"/>
            </w:r>
          </w:hyperlink>
        </w:p>
        <w:p w14:paraId="49A92E42" w14:textId="4001B258"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702" w:history="1">
            <w:r w:rsidR="00887BC2" w:rsidRPr="00AD3825">
              <w:rPr>
                <w:rStyle w:val="Hyperlink"/>
                <w:rFonts w:ascii="Marianne" w:eastAsiaTheme="majorEastAsia" w:hAnsi="Marianne"/>
                <w:noProof/>
              </w:rPr>
              <w:t>F.2.</w:t>
            </w:r>
            <w:r w:rsidR="00887BC2">
              <w:rPr>
                <w:rFonts w:eastAsiaTheme="minorEastAsia" w:cstheme="minorBidi"/>
                <w:i w:val="0"/>
                <w:iCs w:val="0"/>
                <w:noProof/>
                <w:szCs w:val="22"/>
                <w:lang w:val="fr-FR"/>
              </w:rPr>
              <w:tab/>
            </w:r>
            <w:r w:rsidR="00887BC2" w:rsidRPr="00AD3825">
              <w:rPr>
                <w:rStyle w:val="Hyperlink"/>
                <w:rFonts w:eastAsiaTheme="majorEastAsia"/>
                <w:noProof/>
              </w:rPr>
              <w:t>Baseline scenario assumptions</w:t>
            </w:r>
            <w:r w:rsidR="00887BC2">
              <w:rPr>
                <w:noProof/>
                <w:webHidden/>
              </w:rPr>
              <w:tab/>
            </w:r>
            <w:r w:rsidR="00887BC2">
              <w:rPr>
                <w:noProof/>
                <w:webHidden/>
              </w:rPr>
              <w:fldChar w:fldCharType="begin"/>
            </w:r>
            <w:r w:rsidR="00887BC2">
              <w:rPr>
                <w:noProof/>
                <w:webHidden/>
              </w:rPr>
              <w:instrText xml:space="preserve"> PAGEREF _Toc138344702 \h </w:instrText>
            </w:r>
            <w:r w:rsidR="00887BC2">
              <w:rPr>
                <w:noProof/>
                <w:webHidden/>
              </w:rPr>
            </w:r>
            <w:r w:rsidR="00887BC2">
              <w:rPr>
                <w:noProof/>
                <w:webHidden/>
              </w:rPr>
              <w:fldChar w:fldCharType="separate"/>
            </w:r>
            <w:r w:rsidR="00887BC2">
              <w:rPr>
                <w:noProof/>
                <w:webHidden/>
              </w:rPr>
              <w:t>109</w:t>
            </w:r>
            <w:r w:rsidR="00887BC2">
              <w:rPr>
                <w:noProof/>
                <w:webHidden/>
              </w:rPr>
              <w:fldChar w:fldCharType="end"/>
            </w:r>
          </w:hyperlink>
        </w:p>
        <w:p w14:paraId="7A6082A6" w14:textId="1F7EFA41" w:rsidR="00887BC2" w:rsidRDefault="00C73940">
          <w:pPr>
            <w:pStyle w:val="TOC1"/>
            <w:rPr>
              <w:rFonts w:eastAsiaTheme="minorEastAsia" w:cstheme="minorBidi"/>
              <w:b w:val="0"/>
              <w:bCs w:val="0"/>
              <w:caps w:val="0"/>
              <w:noProof/>
              <w:szCs w:val="22"/>
              <w:lang w:val="fr-FR"/>
            </w:rPr>
          </w:pPr>
          <w:hyperlink w:anchor="_Toc138344703" w:history="1">
            <w:r w:rsidR="00887BC2" w:rsidRPr="00AD3825">
              <w:rPr>
                <w:rStyle w:val="Hyperlink"/>
                <w:rFonts w:eastAsiaTheme="majorEastAsia"/>
                <w:noProof/>
              </w:rPr>
              <w:t>Chapter V - Assistance to developing countries in the form of financial resources, technology and capacity building</w:t>
            </w:r>
            <w:r w:rsidR="00887BC2">
              <w:rPr>
                <w:noProof/>
                <w:webHidden/>
              </w:rPr>
              <w:tab/>
            </w:r>
            <w:r w:rsidR="00887BC2">
              <w:rPr>
                <w:noProof/>
                <w:webHidden/>
              </w:rPr>
              <w:fldChar w:fldCharType="begin"/>
            </w:r>
            <w:r w:rsidR="00887BC2">
              <w:rPr>
                <w:noProof/>
                <w:webHidden/>
              </w:rPr>
              <w:instrText xml:space="preserve"> PAGEREF _Toc138344703 \h </w:instrText>
            </w:r>
            <w:r w:rsidR="00887BC2">
              <w:rPr>
                <w:noProof/>
                <w:webHidden/>
              </w:rPr>
            </w:r>
            <w:r w:rsidR="00887BC2">
              <w:rPr>
                <w:noProof/>
                <w:webHidden/>
              </w:rPr>
              <w:fldChar w:fldCharType="separate"/>
            </w:r>
            <w:r w:rsidR="00887BC2">
              <w:rPr>
                <w:noProof/>
                <w:webHidden/>
              </w:rPr>
              <w:t>113</w:t>
            </w:r>
            <w:r w:rsidR="00887BC2">
              <w:rPr>
                <w:noProof/>
                <w:webHidden/>
              </w:rPr>
              <w:fldChar w:fldCharType="end"/>
            </w:r>
          </w:hyperlink>
        </w:p>
        <w:p w14:paraId="638110FD" w14:textId="36F65DF3" w:rsidR="00887BC2" w:rsidRDefault="00C73940">
          <w:pPr>
            <w:pStyle w:val="TOC2"/>
            <w:tabs>
              <w:tab w:val="right" w:leader="dot" w:pos="9854"/>
            </w:tabs>
            <w:rPr>
              <w:rFonts w:eastAsiaTheme="minorEastAsia" w:cstheme="minorBidi"/>
              <w:smallCaps w:val="0"/>
              <w:noProof/>
              <w:szCs w:val="22"/>
              <w:lang w:val="fr-FR"/>
            </w:rPr>
          </w:pPr>
          <w:hyperlink w:anchor="_Toc138344704" w:history="1">
            <w:r w:rsidR="00887BC2" w:rsidRPr="00AD3825">
              <w:rPr>
                <w:rStyle w:val="Hyperlink"/>
                <w:rFonts w:eastAsiaTheme="majorEastAsia"/>
                <w:noProof/>
              </w:rPr>
              <w:t>General information</w:t>
            </w:r>
            <w:r w:rsidR="00887BC2">
              <w:rPr>
                <w:noProof/>
                <w:webHidden/>
              </w:rPr>
              <w:tab/>
            </w:r>
            <w:r w:rsidR="00887BC2">
              <w:rPr>
                <w:noProof/>
                <w:webHidden/>
              </w:rPr>
              <w:fldChar w:fldCharType="begin"/>
            </w:r>
            <w:r w:rsidR="00887BC2">
              <w:rPr>
                <w:noProof/>
                <w:webHidden/>
              </w:rPr>
              <w:instrText xml:space="preserve"> PAGEREF _Toc138344704 \h </w:instrText>
            </w:r>
            <w:r w:rsidR="00887BC2">
              <w:rPr>
                <w:noProof/>
                <w:webHidden/>
              </w:rPr>
            </w:r>
            <w:r w:rsidR="00887BC2">
              <w:rPr>
                <w:noProof/>
                <w:webHidden/>
              </w:rPr>
              <w:fldChar w:fldCharType="separate"/>
            </w:r>
            <w:r w:rsidR="00887BC2">
              <w:rPr>
                <w:noProof/>
                <w:webHidden/>
              </w:rPr>
              <w:t>113</w:t>
            </w:r>
            <w:r w:rsidR="00887BC2">
              <w:rPr>
                <w:noProof/>
                <w:webHidden/>
              </w:rPr>
              <w:fldChar w:fldCharType="end"/>
            </w:r>
          </w:hyperlink>
        </w:p>
        <w:p w14:paraId="6975AF52" w14:textId="3D6708BE"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705" w:history="1">
            <w:r w:rsidR="00887BC2" w:rsidRPr="00AD3825">
              <w:rPr>
                <w:rStyle w:val="Hyperlink"/>
                <w:rFonts w:eastAsiaTheme="majorEastAsia"/>
                <w:noProof/>
              </w:rPr>
              <w:t>A.</w:t>
            </w:r>
            <w:r w:rsidR="00887BC2">
              <w:rPr>
                <w:rFonts w:eastAsiaTheme="minorEastAsia" w:cstheme="minorBidi"/>
                <w:smallCaps w:val="0"/>
                <w:noProof/>
                <w:szCs w:val="22"/>
                <w:lang w:val="fr-FR"/>
              </w:rPr>
              <w:tab/>
            </w:r>
            <w:r w:rsidR="00887BC2" w:rsidRPr="00AD3825">
              <w:rPr>
                <w:rStyle w:val="Hyperlink"/>
                <w:rFonts w:eastAsiaTheme="majorEastAsia"/>
                <w:noProof/>
              </w:rPr>
              <w:t>Mobilising financial resources from bilateral sources</w:t>
            </w:r>
            <w:r w:rsidR="00887BC2">
              <w:rPr>
                <w:noProof/>
                <w:webHidden/>
              </w:rPr>
              <w:tab/>
            </w:r>
            <w:r w:rsidR="00887BC2">
              <w:rPr>
                <w:noProof/>
                <w:webHidden/>
              </w:rPr>
              <w:fldChar w:fldCharType="begin"/>
            </w:r>
            <w:r w:rsidR="00887BC2">
              <w:rPr>
                <w:noProof/>
                <w:webHidden/>
              </w:rPr>
              <w:instrText xml:space="preserve"> PAGEREF _Toc138344705 \h </w:instrText>
            </w:r>
            <w:r w:rsidR="00887BC2">
              <w:rPr>
                <w:noProof/>
                <w:webHidden/>
              </w:rPr>
            </w:r>
            <w:r w:rsidR="00887BC2">
              <w:rPr>
                <w:noProof/>
                <w:webHidden/>
              </w:rPr>
              <w:fldChar w:fldCharType="separate"/>
            </w:r>
            <w:r w:rsidR="00887BC2">
              <w:rPr>
                <w:noProof/>
                <w:webHidden/>
              </w:rPr>
              <w:t>113</w:t>
            </w:r>
            <w:r w:rsidR="00887BC2">
              <w:rPr>
                <w:noProof/>
                <w:webHidden/>
              </w:rPr>
              <w:fldChar w:fldCharType="end"/>
            </w:r>
          </w:hyperlink>
        </w:p>
        <w:p w14:paraId="62D3CED4" w14:textId="0E2027B9"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706" w:history="1">
            <w:r w:rsidR="00887BC2" w:rsidRPr="00AD3825">
              <w:rPr>
                <w:rStyle w:val="Hyperlink"/>
                <w:rFonts w:ascii="Marianne" w:eastAsiaTheme="majorEastAsia" w:hAnsi="Marianne"/>
                <w:noProof/>
              </w:rPr>
              <w:t>A.1.</w:t>
            </w:r>
            <w:r w:rsidR="00887BC2">
              <w:rPr>
                <w:rFonts w:eastAsiaTheme="minorEastAsia" w:cstheme="minorBidi"/>
                <w:i w:val="0"/>
                <w:iCs w:val="0"/>
                <w:noProof/>
                <w:szCs w:val="22"/>
                <w:lang w:val="fr-FR"/>
              </w:rPr>
              <w:tab/>
            </w:r>
            <w:r w:rsidR="00887BC2" w:rsidRPr="00AD3825">
              <w:rPr>
                <w:rStyle w:val="Hyperlink"/>
                <w:rFonts w:eastAsiaTheme="majorEastAsia"/>
                <w:noProof/>
              </w:rPr>
              <w:t>Financial support provided by the French Development Agency (AFD) Group</w:t>
            </w:r>
            <w:r w:rsidR="00887BC2">
              <w:rPr>
                <w:noProof/>
                <w:webHidden/>
              </w:rPr>
              <w:tab/>
            </w:r>
            <w:r w:rsidR="00887BC2">
              <w:rPr>
                <w:noProof/>
                <w:webHidden/>
              </w:rPr>
              <w:fldChar w:fldCharType="begin"/>
            </w:r>
            <w:r w:rsidR="00887BC2">
              <w:rPr>
                <w:noProof/>
                <w:webHidden/>
              </w:rPr>
              <w:instrText xml:space="preserve"> PAGEREF _Toc138344706 \h </w:instrText>
            </w:r>
            <w:r w:rsidR="00887BC2">
              <w:rPr>
                <w:noProof/>
                <w:webHidden/>
              </w:rPr>
            </w:r>
            <w:r w:rsidR="00887BC2">
              <w:rPr>
                <w:noProof/>
                <w:webHidden/>
              </w:rPr>
              <w:fldChar w:fldCharType="separate"/>
            </w:r>
            <w:r w:rsidR="00887BC2">
              <w:rPr>
                <w:noProof/>
                <w:webHidden/>
              </w:rPr>
              <w:t>113</w:t>
            </w:r>
            <w:r w:rsidR="00887BC2">
              <w:rPr>
                <w:noProof/>
                <w:webHidden/>
              </w:rPr>
              <w:fldChar w:fldCharType="end"/>
            </w:r>
          </w:hyperlink>
        </w:p>
        <w:p w14:paraId="72B28663" w14:textId="485D873E"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07" w:history="1">
            <w:r w:rsidR="00887BC2" w:rsidRPr="00AD3825">
              <w:rPr>
                <w:rStyle w:val="Hyperlink"/>
                <w:rFonts w:ascii="Marianne" w:eastAsiaTheme="majorEastAsia" w:hAnsi="Marianne"/>
                <w:noProof/>
              </w:rPr>
              <w:t>A.2.</w:t>
            </w:r>
            <w:r w:rsidR="00887BC2">
              <w:rPr>
                <w:rFonts w:eastAsiaTheme="minorEastAsia" w:cstheme="minorBidi"/>
                <w:i w:val="0"/>
                <w:iCs w:val="0"/>
                <w:noProof/>
                <w:szCs w:val="22"/>
                <w:lang w:val="fr-FR"/>
              </w:rPr>
              <w:tab/>
            </w:r>
            <w:r w:rsidR="00887BC2" w:rsidRPr="00AD3825">
              <w:rPr>
                <w:rStyle w:val="Hyperlink"/>
                <w:rFonts w:eastAsiaTheme="majorEastAsia"/>
                <w:noProof/>
              </w:rPr>
              <w:t>Methodology for accounting for the AFD Group’s climate commitments</w:t>
            </w:r>
            <w:r w:rsidR="00887BC2">
              <w:rPr>
                <w:noProof/>
                <w:webHidden/>
              </w:rPr>
              <w:tab/>
            </w:r>
            <w:r w:rsidR="00887BC2">
              <w:rPr>
                <w:noProof/>
                <w:webHidden/>
              </w:rPr>
              <w:fldChar w:fldCharType="begin"/>
            </w:r>
            <w:r w:rsidR="00887BC2">
              <w:rPr>
                <w:noProof/>
                <w:webHidden/>
              </w:rPr>
              <w:instrText xml:space="preserve"> PAGEREF _Toc138344707 \h </w:instrText>
            </w:r>
            <w:r w:rsidR="00887BC2">
              <w:rPr>
                <w:noProof/>
                <w:webHidden/>
              </w:rPr>
            </w:r>
            <w:r w:rsidR="00887BC2">
              <w:rPr>
                <w:noProof/>
                <w:webHidden/>
              </w:rPr>
              <w:fldChar w:fldCharType="separate"/>
            </w:r>
            <w:r w:rsidR="00887BC2">
              <w:rPr>
                <w:noProof/>
                <w:webHidden/>
              </w:rPr>
              <w:t>115</w:t>
            </w:r>
            <w:r w:rsidR="00887BC2">
              <w:rPr>
                <w:noProof/>
                <w:webHidden/>
              </w:rPr>
              <w:fldChar w:fldCharType="end"/>
            </w:r>
          </w:hyperlink>
        </w:p>
        <w:p w14:paraId="45DA68F8" w14:textId="4B7E3085"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08" w:history="1">
            <w:r w:rsidR="00887BC2" w:rsidRPr="00AD3825">
              <w:rPr>
                <w:rStyle w:val="Hyperlink"/>
                <w:rFonts w:ascii="Marianne" w:eastAsiaTheme="majorEastAsia" w:hAnsi="Marianne"/>
                <w:noProof/>
              </w:rPr>
              <w:t>A.3.</w:t>
            </w:r>
            <w:r w:rsidR="00887BC2">
              <w:rPr>
                <w:rFonts w:eastAsiaTheme="minorEastAsia" w:cstheme="minorBidi"/>
                <w:i w:val="0"/>
                <w:iCs w:val="0"/>
                <w:noProof/>
                <w:szCs w:val="22"/>
                <w:lang w:val="fr-FR"/>
              </w:rPr>
              <w:tab/>
            </w:r>
            <w:r w:rsidR="00887BC2" w:rsidRPr="00AD3825">
              <w:rPr>
                <w:rStyle w:val="Hyperlink"/>
                <w:rFonts w:eastAsiaTheme="majorEastAsia"/>
                <w:noProof/>
              </w:rPr>
              <w:t>Private climate finance mobilised by AFD Group financing</w:t>
            </w:r>
            <w:r w:rsidR="00887BC2">
              <w:rPr>
                <w:noProof/>
                <w:webHidden/>
              </w:rPr>
              <w:tab/>
            </w:r>
            <w:r w:rsidR="00887BC2">
              <w:rPr>
                <w:noProof/>
                <w:webHidden/>
              </w:rPr>
              <w:fldChar w:fldCharType="begin"/>
            </w:r>
            <w:r w:rsidR="00887BC2">
              <w:rPr>
                <w:noProof/>
                <w:webHidden/>
              </w:rPr>
              <w:instrText xml:space="preserve"> PAGEREF _Toc138344708 \h </w:instrText>
            </w:r>
            <w:r w:rsidR="00887BC2">
              <w:rPr>
                <w:noProof/>
                <w:webHidden/>
              </w:rPr>
            </w:r>
            <w:r w:rsidR="00887BC2">
              <w:rPr>
                <w:noProof/>
                <w:webHidden/>
              </w:rPr>
              <w:fldChar w:fldCharType="separate"/>
            </w:r>
            <w:r w:rsidR="00887BC2">
              <w:rPr>
                <w:noProof/>
                <w:webHidden/>
              </w:rPr>
              <w:t>115</w:t>
            </w:r>
            <w:r w:rsidR="00887BC2">
              <w:rPr>
                <w:noProof/>
                <w:webHidden/>
              </w:rPr>
              <w:fldChar w:fldCharType="end"/>
            </w:r>
          </w:hyperlink>
        </w:p>
        <w:p w14:paraId="66F9C63C" w14:textId="02617BEF"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09" w:history="1">
            <w:r w:rsidR="00887BC2" w:rsidRPr="00AD3825">
              <w:rPr>
                <w:rStyle w:val="Hyperlink"/>
                <w:rFonts w:ascii="Marianne" w:eastAsiaTheme="majorEastAsia" w:hAnsi="Marianne"/>
                <w:noProof/>
              </w:rPr>
              <w:t>A.4.</w:t>
            </w:r>
            <w:r w:rsidR="00887BC2">
              <w:rPr>
                <w:rFonts w:eastAsiaTheme="minorEastAsia" w:cstheme="minorBidi"/>
                <w:i w:val="0"/>
                <w:iCs w:val="0"/>
                <w:noProof/>
                <w:szCs w:val="22"/>
                <w:lang w:val="fr-FR"/>
              </w:rPr>
              <w:tab/>
            </w:r>
            <w:r w:rsidR="00887BC2" w:rsidRPr="00AD3825">
              <w:rPr>
                <w:rStyle w:val="Hyperlink"/>
                <w:rFonts w:eastAsiaTheme="majorEastAsia"/>
                <w:noProof/>
              </w:rPr>
              <w:t>Financial support provided by the French Global Environment Facility (FGEF)</w:t>
            </w:r>
            <w:r w:rsidR="00887BC2">
              <w:rPr>
                <w:noProof/>
                <w:webHidden/>
              </w:rPr>
              <w:tab/>
            </w:r>
            <w:r w:rsidR="00887BC2">
              <w:rPr>
                <w:noProof/>
                <w:webHidden/>
              </w:rPr>
              <w:fldChar w:fldCharType="begin"/>
            </w:r>
            <w:r w:rsidR="00887BC2">
              <w:rPr>
                <w:noProof/>
                <w:webHidden/>
              </w:rPr>
              <w:instrText xml:space="preserve"> PAGEREF _Toc138344709 \h </w:instrText>
            </w:r>
            <w:r w:rsidR="00887BC2">
              <w:rPr>
                <w:noProof/>
                <w:webHidden/>
              </w:rPr>
            </w:r>
            <w:r w:rsidR="00887BC2">
              <w:rPr>
                <w:noProof/>
                <w:webHidden/>
              </w:rPr>
              <w:fldChar w:fldCharType="separate"/>
            </w:r>
            <w:r w:rsidR="00887BC2">
              <w:rPr>
                <w:noProof/>
                <w:webHidden/>
              </w:rPr>
              <w:t>116</w:t>
            </w:r>
            <w:r w:rsidR="00887BC2">
              <w:rPr>
                <w:noProof/>
                <w:webHidden/>
              </w:rPr>
              <w:fldChar w:fldCharType="end"/>
            </w:r>
          </w:hyperlink>
        </w:p>
        <w:p w14:paraId="1736EB54" w14:textId="02ED1044"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10" w:history="1">
            <w:r w:rsidR="00887BC2" w:rsidRPr="00AD3825">
              <w:rPr>
                <w:rStyle w:val="Hyperlink"/>
                <w:rFonts w:ascii="Marianne" w:eastAsiaTheme="majorEastAsia" w:hAnsi="Marianne"/>
                <w:noProof/>
              </w:rPr>
              <w:t>A.5.</w:t>
            </w:r>
            <w:r w:rsidR="00887BC2">
              <w:rPr>
                <w:rFonts w:eastAsiaTheme="minorEastAsia" w:cstheme="minorBidi"/>
                <w:i w:val="0"/>
                <w:iCs w:val="0"/>
                <w:noProof/>
                <w:szCs w:val="22"/>
                <w:lang w:val="fr-FR"/>
              </w:rPr>
              <w:tab/>
            </w:r>
            <w:r w:rsidR="00887BC2" w:rsidRPr="00AD3825">
              <w:rPr>
                <w:rStyle w:val="Hyperlink"/>
                <w:rFonts w:eastAsiaTheme="majorEastAsia"/>
                <w:noProof/>
              </w:rPr>
              <w:t>Financial support provided in the form of grants (FASEP) and loans by the French Treasury</w:t>
            </w:r>
            <w:r w:rsidR="00887BC2">
              <w:rPr>
                <w:noProof/>
                <w:webHidden/>
              </w:rPr>
              <w:tab/>
            </w:r>
            <w:r w:rsidR="00887BC2">
              <w:rPr>
                <w:noProof/>
                <w:webHidden/>
              </w:rPr>
              <w:fldChar w:fldCharType="begin"/>
            </w:r>
            <w:r w:rsidR="00887BC2">
              <w:rPr>
                <w:noProof/>
                <w:webHidden/>
              </w:rPr>
              <w:instrText xml:space="preserve"> PAGEREF _Toc138344710 \h </w:instrText>
            </w:r>
            <w:r w:rsidR="00887BC2">
              <w:rPr>
                <w:noProof/>
                <w:webHidden/>
              </w:rPr>
            </w:r>
            <w:r w:rsidR="00887BC2">
              <w:rPr>
                <w:noProof/>
                <w:webHidden/>
              </w:rPr>
              <w:fldChar w:fldCharType="separate"/>
            </w:r>
            <w:r w:rsidR="00887BC2">
              <w:rPr>
                <w:noProof/>
                <w:webHidden/>
              </w:rPr>
              <w:t>116</w:t>
            </w:r>
            <w:r w:rsidR="00887BC2">
              <w:rPr>
                <w:noProof/>
                <w:webHidden/>
              </w:rPr>
              <w:fldChar w:fldCharType="end"/>
            </w:r>
          </w:hyperlink>
        </w:p>
        <w:p w14:paraId="30EEAED6" w14:textId="79C03376"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711" w:history="1">
            <w:r w:rsidR="00887BC2" w:rsidRPr="00AD3825">
              <w:rPr>
                <w:rStyle w:val="Hyperlink"/>
                <w:rFonts w:eastAsiaTheme="majorEastAsia"/>
                <w:noProof/>
              </w:rPr>
              <w:t>B.</w:t>
            </w:r>
            <w:r w:rsidR="00887BC2">
              <w:rPr>
                <w:rFonts w:eastAsiaTheme="minorEastAsia" w:cstheme="minorBidi"/>
                <w:smallCaps w:val="0"/>
                <w:noProof/>
                <w:szCs w:val="22"/>
                <w:lang w:val="fr-FR"/>
              </w:rPr>
              <w:tab/>
            </w:r>
            <w:r w:rsidR="00887BC2" w:rsidRPr="00AD3825">
              <w:rPr>
                <w:rStyle w:val="Hyperlink"/>
                <w:rFonts w:eastAsiaTheme="majorEastAsia"/>
                <w:noProof/>
              </w:rPr>
              <w:t>Mobilising financial resources from multilateral sources</w:t>
            </w:r>
            <w:r w:rsidR="00887BC2">
              <w:rPr>
                <w:noProof/>
                <w:webHidden/>
              </w:rPr>
              <w:tab/>
            </w:r>
            <w:r w:rsidR="00887BC2">
              <w:rPr>
                <w:noProof/>
                <w:webHidden/>
              </w:rPr>
              <w:fldChar w:fldCharType="begin"/>
            </w:r>
            <w:r w:rsidR="00887BC2">
              <w:rPr>
                <w:noProof/>
                <w:webHidden/>
              </w:rPr>
              <w:instrText xml:space="preserve"> PAGEREF _Toc138344711 \h </w:instrText>
            </w:r>
            <w:r w:rsidR="00887BC2">
              <w:rPr>
                <w:noProof/>
                <w:webHidden/>
              </w:rPr>
            </w:r>
            <w:r w:rsidR="00887BC2">
              <w:rPr>
                <w:noProof/>
                <w:webHidden/>
              </w:rPr>
              <w:fldChar w:fldCharType="separate"/>
            </w:r>
            <w:r w:rsidR="00887BC2">
              <w:rPr>
                <w:noProof/>
                <w:webHidden/>
              </w:rPr>
              <w:t>116</w:t>
            </w:r>
            <w:r w:rsidR="00887BC2">
              <w:rPr>
                <w:noProof/>
                <w:webHidden/>
              </w:rPr>
              <w:fldChar w:fldCharType="end"/>
            </w:r>
          </w:hyperlink>
        </w:p>
        <w:p w14:paraId="4FB61FDB" w14:textId="26E2EEB6"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712" w:history="1">
            <w:r w:rsidR="00887BC2" w:rsidRPr="00AD3825">
              <w:rPr>
                <w:rStyle w:val="Hyperlink"/>
                <w:rFonts w:ascii="Marianne" w:eastAsiaTheme="majorEastAsia" w:hAnsi="Marianne"/>
                <w:noProof/>
              </w:rPr>
              <w:t>B.1.</w:t>
            </w:r>
            <w:r w:rsidR="00887BC2">
              <w:rPr>
                <w:rFonts w:eastAsiaTheme="minorEastAsia" w:cstheme="minorBidi"/>
                <w:i w:val="0"/>
                <w:iCs w:val="0"/>
                <w:noProof/>
                <w:szCs w:val="22"/>
                <w:lang w:val="fr-FR"/>
              </w:rPr>
              <w:tab/>
            </w:r>
            <w:r w:rsidR="00887BC2" w:rsidRPr="00AD3825">
              <w:rPr>
                <w:rStyle w:val="Hyperlink"/>
                <w:rFonts w:eastAsiaTheme="majorEastAsia"/>
                <w:noProof/>
              </w:rPr>
              <w:t>Contribution to the Green Climate Fund</w:t>
            </w:r>
            <w:r w:rsidR="00887BC2">
              <w:rPr>
                <w:noProof/>
                <w:webHidden/>
              </w:rPr>
              <w:tab/>
            </w:r>
            <w:r w:rsidR="00887BC2">
              <w:rPr>
                <w:noProof/>
                <w:webHidden/>
              </w:rPr>
              <w:fldChar w:fldCharType="begin"/>
            </w:r>
            <w:r w:rsidR="00887BC2">
              <w:rPr>
                <w:noProof/>
                <w:webHidden/>
              </w:rPr>
              <w:instrText xml:space="preserve"> PAGEREF _Toc138344712 \h </w:instrText>
            </w:r>
            <w:r w:rsidR="00887BC2">
              <w:rPr>
                <w:noProof/>
                <w:webHidden/>
              </w:rPr>
            </w:r>
            <w:r w:rsidR="00887BC2">
              <w:rPr>
                <w:noProof/>
                <w:webHidden/>
              </w:rPr>
              <w:fldChar w:fldCharType="separate"/>
            </w:r>
            <w:r w:rsidR="00887BC2">
              <w:rPr>
                <w:noProof/>
                <w:webHidden/>
              </w:rPr>
              <w:t>117</w:t>
            </w:r>
            <w:r w:rsidR="00887BC2">
              <w:rPr>
                <w:noProof/>
                <w:webHidden/>
              </w:rPr>
              <w:fldChar w:fldCharType="end"/>
            </w:r>
          </w:hyperlink>
        </w:p>
        <w:p w14:paraId="18F105C7" w14:textId="04F68777"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713" w:history="1">
            <w:r w:rsidR="00887BC2" w:rsidRPr="00AD3825">
              <w:rPr>
                <w:rStyle w:val="Hyperlink"/>
                <w:rFonts w:ascii="Marianne" w:eastAsiaTheme="majorEastAsia" w:hAnsi="Marianne"/>
                <w:noProof/>
              </w:rPr>
              <w:t>B.2.</w:t>
            </w:r>
            <w:r w:rsidR="00887BC2">
              <w:rPr>
                <w:rFonts w:eastAsiaTheme="minorEastAsia" w:cstheme="minorBidi"/>
                <w:i w:val="0"/>
                <w:iCs w:val="0"/>
                <w:noProof/>
                <w:szCs w:val="22"/>
                <w:lang w:val="fr-FR"/>
              </w:rPr>
              <w:tab/>
            </w:r>
            <w:r w:rsidR="00887BC2" w:rsidRPr="00AD3825">
              <w:rPr>
                <w:rStyle w:val="Hyperlink"/>
                <w:rFonts w:eastAsiaTheme="majorEastAsia"/>
                <w:noProof/>
              </w:rPr>
              <w:t>Contribution to the Global Environment Facility</w:t>
            </w:r>
            <w:r w:rsidR="00887BC2">
              <w:rPr>
                <w:noProof/>
                <w:webHidden/>
              </w:rPr>
              <w:tab/>
            </w:r>
            <w:r w:rsidR="00887BC2">
              <w:rPr>
                <w:noProof/>
                <w:webHidden/>
              </w:rPr>
              <w:fldChar w:fldCharType="begin"/>
            </w:r>
            <w:r w:rsidR="00887BC2">
              <w:rPr>
                <w:noProof/>
                <w:webHidden/>
              </w:rPr>
              <w:instrText xml:space="preserve"> PAGEREF _Toc138344713 \h </w:instrText>
            </w:r>
            <w:r w:rsidR="00887BC2">
              <w:rPr>
                <w:noProof/>
                <w:webHidden/>
              </w:rPr>
            </w:r>
            <w:r w:rsidR="00887BC2">
              <w:rPr>
                <w:noProof/>
                <w:webHidden/>
              </w:rPr>
              <w:fldChar w:fldCharType="separate"/>
            </w:r>
            <w:r w:rsidR="00887BC2">
              <w:rPr>
                <w:noProof/>
                <w:webHidden/>
              </w:rPr>
              <w:t>118</w:t>
            </w:r>
            <w:r w:rsidR="00887BC2">
              <w:rPr>
                <w:noProof/>
                <w:webHidden/>
              </w:rPr>
              <w:fldChar w:fldCharType="end"/>
            </w:r>
          </w:hyperlink>
        </w:p>
        <w:p w14:paraId="71776860" w14:textId="016CCF3D"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714" w:history="1">
            <w:r w:rsidR="00887BC2" w:rsidRPr="00AD3825">
              <w:rPr>
                <w:rStyle w:val="Hyperlink"/>
                <w:rFonts w:ascii="Marianne" w:eastAsiaTheme="majorEastAsia" w:hAnsi="Marianne"/>
                <w:noProof/>
              </w:rPr>
              <w:t>B.3.</w:t>
            </w:r>
            <w:r w:rsidR="00887BC2">
              <w:rPr>
                <w:rFonts w:eastAsiaTheme="minorEastAsia" w:cstheme="minorBidi"/>
                <w:i w:val="0"/>
                <w:iCs w:val="0"/>
                <w:noProof/>
                <w:szCs w:val="22"/>
                <w:lang w:val="fr-FR"/>
              </w:rPr>
              <w:tab/>
            </w:r>
            <w:r w:rsidR="00887BC2" w:rsidRPr="00AD3825">
              <w:rPr>
                <w:rStyle w:val="Hyperlink"/>
                <w:rFonts w:eastAsiaTheme="majorEastAsia"/>
                <w:noProof/>
              </w:rPr>
              <w:t>Contribution to the Least Developed Countries Fund</w:t>
            </w:r>
            <w:r w:rsidR="00887BC2">
              <w:rPr>
                <w:noProof/>
                <w:webHidden/>
              </w:rPr>
              <w:tab/>
            </w:r>
            <w:r w:rsidR="00887BC2">
              <w:rPr>
                <w:noProof/>
                <w:webHidden/>
              </w:rPr>
              <w:fldChar w:fldCharType="begin"/>
            </w:r>
            <w:r w:rsidR="00887BC2">
              <w:rPr>
                <w:noProof/>
                <w:webHidden/>
              </w:rPr>
              <w:instrText xml:space="preserve"> PAGEREF _Toc138344714 \h </w:instrText>
            </w:r>
            <w:r w:rsidR="00887BC2">
              <w:rPr>
                <w:noProof/>
                <w:webHidden/>
              </w:rPr>
            </w:r>
            <w:r w:rsidR="00887BC2">
              <w:rPr>
                <w:noProof/>
                <w:webHidden/>
              </w:rPr>
              <w:fldChar w:fldCharType="separate"/>
            </w:r>
            <w:r w:rsidR="00887BC2">
              <w:rPr>
                <w:noProof/>
                <w:webHidden/>
              </w:rPr>
              <w:t>119</w:t>
            </w:r>
            <w:r w:rsidR="00887BC2">
              <w:rPr>
                <w:noProof/>
                <w:webHidden/>
              </w:rPr>
              <w:fldChar w:fldCharType="end"/>
            </w:r>
          </w:hyperlink>
        </w:p>
        <w:p w14:paraId="0CEC16DA" w14:textId="209931CA" w:rsidR="00887BC2" w:rsidRDefault="00C73940">
          <w:pPr>
            <w:pStyle w:val="TOC2"/>
            <w:tabs>
              <w:tab w:val="left" w:pos="600"/>
              <w:tab w:val="right" w:leader="dot" w:pos="9854"/>
            </w:tabs>
            <w:rPr>
              <w:rFonts w:eastAsiaTheme="minorEastAsia" w:cstheme="minorBidi"/>
              <w:smallCaps w:val="0"/>
              <w:noProof/>
              <w:szCs w:val="22"/>
              <w:lang w:val="fr-FR"/>
            </w:rPr>
          </w:pPr>
          <w:hyperlink w:anchor="_Toc138344715" w:history="1">
            <w:r w:rsidR="00887BC2" w:rsidRPr="00AD3825">
              <w:rPr>
                <w:rStyle w:val="Hyperlink"/>
                <w:rFonts w:eastAsiaTheme="majorEastAsia"/>
                <w:noProof/>
              </w:rPr>
              <w:t>C.</w:t>
            </w:r>
            <w:r w:rsidR="00887BC2">
              <w:rPr>
                <w:rFonts w:eastAsiaTheme="minorEastAsia" w:cstheme="minorBidi"/>
                <w:smallCaps w:val="0"/>
                <w:noProof/>
                <w:szCs w:val="22"/>
                <w:lang w:val="fr-FR"/>
              </w:rPr>
              <w:tab/>
            </w:r>
            <w:r w:rsidR="00887BC2" w:rsidRPr="00AD3825">
              <w:rPr>
                <w:rStyle w:val="Hyperlink"/>
                <w:rFonts w:eastAsiaTheme="majorEastAsia"/>
                <w:noProof/>
              </w:rPr>
              <w:t>Technological cooperation</w:t>
            </w:r>
            <w:r w:rsidR="00887BC2">
              <w:rPr>
                <w:noProof/>
                <w:webHidden/>
              </w:rPr>
              <w:tab/>
            </w:r>
            <w:r w:rsidR="00887BC2">
              <w:rPr>
                <w:noProof/>
                <w:webHidden/>
              </w:rPr>
              <w:fldChar w:fldCharType="begin"/>
            </w:r>
            <w:r w:rsidR="00887BC2">
              <w:rPr>
                <w:noProof/>
                <w:webHidden/>
              </w:rPr>
              <w:instrText xml:space="preserve"> PAGEREF _Toc138344715 \h </w:instrText>
            </w:r>
            <w:r w:rsidR="00887BC2">
              <w:rPr>
                <w:noProof/>
                <w:webHidden/>
              </w:rPr>
            </w:r>
            <w:r w:rsidR="00887BC2">
              <w:rPr>
                <w:noProof/>
                <w:webHidden/>
              </w:rPr>
              <w:fldChar w:fldCharType="separate"/>
            </w:r>
            <w:r w:rsidR="00887BC2">
              <w:rPr>
                <w:noProof/>
                <w:webHidden/>
              </w:rPr>
              <w:t>119</w:t>
            </w:r>
            <w:r w:rsidR="00887BC2">
              <w:rPr>
                <w:noProof/>
                <w:webHidden/>
              </w:rPr>
              <w:fldChar w:fldCharType="end"/>
            </w:r>
          </w:hyperlink>
        </w:p>
        <w:p w14:paraId="583552EE" w14:textId="07565CCB" w:rsidR="00887BC2" w:rsidRDefault="00C73940">
          <w:pPr>
            <w:pStyle w:val="TOC3"/>
            <w:tabs>
              <w:tab w:val="left" w:pos="1000"/>
              <w:tab w:val="right" w:leader="dot" w:pos="9854"/>
            </w:tabs>
            <w:rPr>
              <w:rFonts w:eastAsiaTheme="minorEastAsia" w:cstheme="minorBidi"/>
              <w:i w:val="0"/>
              <w:iCs w:val="0"/>
              <w:noProof/>
              <w:szCs w:val="22"/>
              <w:lang w:val="fr-FR"/>
            </w:rPr>
          </w:pPr>
          <w:hyperlink w:anchor="_Toc138344716" w:history="1">
            <w:r w:rsidR="00887BC2" w:rsidRPr="00AD3825">
              <w:rPr>
                <w:rStyle w:val="Hyperlink"/>
                <w:rFonts w:ascii="Marianne" w:eastAsiaTheme="majorEastAsia" w:hAnsi="Marianne"/>
                <w:noProof/>
              </w:rPr>
              <w:t>C.1.</w:t>
            </w:r>
            <w:r w:rsidR="00887BC2">
              <w:rPr>
                <w:rFonts w:eastAsiaTheme="minorEastAsia" w:cstheme="minorBidi"/>
                <w:i w:val="0"/>
                <w:iCs w:val="0"/>
                <w:noProof/>
                <w:szCs w:val="22"/>
                <w:lang w:val="fr-FR"/>
              </w:rPr>
              <w:tab/>
            </w:r>
            <w:r w:rsidR="00887BC2" w:rsidRPr="00AD3825">
              <w:rPr>
                <w:rStyle w:val="Hyperlink"/>
                <w:rFonts w:eastAsiaTheme="majorEastAsia"/>
                <w:noProof/>
              </w:rPr>
              <w:t>ADEME’s role</w:t>
            </w:r>
            <w:r w:rsidR="00887BC2">
              <w:rPr>
                <w:noProof/>
                <w:webHidden/>
              </w:rPr>
              <w:tab/>
            </w:r>
            <w:r w:rsidR="00887BC2">
              <w:rPr>
                <w:noProof/>
                <w:webHidden/>
              </w:rPr>
              <w:fldChar w:fldCharType="begin"/>
            </w:r>
            <w:r w:rsidR="00887BC2">
              <w:rPr>
                <w:noProof/>
                <w:webHidden/>
              </w:rPr>
              <w:instrText xml:space="preserve"> PAGEREF _Toc138344716 \h </w:instrText>
            </w:r>
            <w:r w:rsidR="00887BC2">
              <w:rPr>
                <w:noProof/>
                <w:webHidden/>
              </w:rPr>
            </w:r>
            <w:r w:rsidR="00887BC2">
              <w:rPr>
                <w:noProof/>
                <w:webHidden/>
              </w:rPr>
              <w:fldChar w:fldCharType="separate"/>
            </w:r>
            <w:r w:rsidR="00887BC2">
              <w:rPr>
                <w:noProof/>
                <w:webHidden/>
              </w:rPr>
              <w:t>119</w:t>
            </w:r>
            <w:r w:rsidR="00887BC2">
              <w:rPr>
                <w:noProof/>
                <w:webHidden/>
              </w:rPr>
              <w:fldChar w:fldCharType="end"/>
            </w:r>
          </w:hyperlink>
        </w:p>
        <w:p w14:paraId="10BB54F9" w14:textId="1B347CCE"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17" w:history="1">
            <w:r w:rsidR="00887BC2" w:rsidRPr="00AD3825">
              <w:rPr>
                <w:rStyle w:val="Hyperlink"/>
                <w:rFonts w:ascii="Marianne" w:eastAsiaTheme="majorEastAsia" w:hAnsi="Marianne"/>
                <w:noProof/>
              </w:rPr>
              <w:t>C.2.</w:t>
            </w:r>
            <w:r w:rsidR="00887BC2">
              <w:rPr>
                <w:rFonts w:eastAsiaTheme="minorEastAsia" w:cstheme="minorBidi"/>
                <w:i w:val="0"/>
                <w:iCs w:val="0"/>
                <w:noProof/>
                <w:szCs w:val="22"/>
                <w:lang w:val="fr-FR"/>
              </w:rPr>
              <w:tab/>
            </w:r>
            <w:r w:rsidR="00887BC2" w:rsidRPr="00AD3825">
              <w:rPr>
                <w:rStyle w:val="Hyperlink"/>
                <w:rFonts w:eastAsiaTheme="majorEastAsia"/>
                <w:noProof/>
              </w:rPr>
              <w:t>Le Citepa</w:t>
            </w:r>
            <w:r w:rsidR="00887BC2">
              <w:rPr>
                <w:noProof/>
                <w:webHidden/>
              </w:rPr>
              <w:tab/>
            </w:r>
            <w:r w:rsidR="00887BC2">
              <w:rPr>
                <w:noProof/>
                <w:webHidden/>
              </w:rPr>
              <w:fldChar w:fldCharType="begin"/>
            </w:r>
            <w:r w:rsidR="00887BC2">
              <w:rPr>
                <w:noProof/>
                <w:webHidden/>
              </w:rPr>
              <w:instrText xml:space="preserve"> PAGEREF _Toc138344717 \h </w:instrText>
            </w:r>
            <w:r w:rsidR="00887BC2">
              <w:rPr>
                <w:noProof/>
                <w:webHidden/>
              </w:rPr>
            </w:r>
            <w:r w:rsidR="00887BC2">
              <w:rPr>
                <w:noProof/>
                <w:webHidden/>
              </w:rPr>
              <w:fldChar w:fldCharType="separate"/>
            </w:r>
            <w:r w:rsidR="00887BC2">
              <w:rPr>
                <w:noProof/>
                <w:webHidden/>
              </w:rPr>
              <w:t>122</w:t>
            </w:r>
            <w:r w:rsidR="00887BC2">
              <w:rPr>
                <w:noProof/>
                <w:webHidden/>
              </w:rPr>
              <w:fldChar w:fldCharType="end"/>
            </w:r>
          </w:hyperlink>
        </w:p>
        <w:p w14:paraId="7DB78622" w14:textId="3BCD34E7" w:rsidR="00887BC2" w:rsidRDefault="00C73940">
          <w:pPr>
            <w:pStyle w:val="TOC2"/>
            <w:tabs>
              <w:tab w:val="left" w:pos="800"/>
              <w:tab w:val="right" w:leader="dot" w:pos="9854"/>
            </w:tabs>
            <w:rPr>
              <w:rFonts w:eastAsiaTheme="minorEastAsia" w:cstheme="minorBidi"/>
              <w:smallCaps w:val="0"/>
              <w:noProof/>
              <w:szCs w:val="22"/>
              <w:lang w:val="fr-FR"/>
            </w:rPr>
          </w:pPr>
          <w:hyperlink w:anchor="_Toc138344718" w:history="1">
            <w:r w:rsidR="00887BC2" w:rsidRPr="00AD3825">
              <w:rPr>
                <w:rStyle w:val="Hyperlink"/>
                <w:rFonts w:eastAsiaTheme="majorEastAsia"/>
                <w:noProof/>
              </w:rPr>
              <w:t>D.</w:t>
            </w:r>
            <w:r w:rsidR="00887BC2">
              <w:rPr>
                <w:rFonts w:eastAsiaTheme="minorEastAsia" w:cstheme="minorBidi"/>
                <w:smallCaps w:val="0"/>
                <w:noProof/>
                <w:szCs w:val="22"/>
                <w:lang w:val="fr-FR"/>
              </w:rPr>
              <w:tab/>
            </w:r>
            <w:r w:rsidR="00887BC2" w:rsidRPr="00AD3825">
              <w:rPr>
                <w:rStyle w:val="Hyperlink"/>
                <w:rFonts w:eastAsiaTheme="majorEastAsia"/>
                <w:noProof/>
              </w:rPr>
              <w:t>Building capacity</w:t>
            </w:r>
            <w:r w:rsidR="00887BC2">
              <w:rPr>
                <w:noProof/>
                <w:webHidden/>
              </w:rPr>
              <w:tab/>
            </w:r>
            <w:r w:rsidR="00887BC2">
              <w:rPr>
                <w:noProof/>
                <w:webHidden/>
              </w:rPr>
              <w:fldChar w:fldCharType="begin"/>
            </w:r>
            <w:r w:rsidR="00887BC2">
              <w:rPr>
                <w:noProof/>
                <w:webHidden/>
              </w:rPr>
              <w:instrText xml:space="preserve"> PAGEREF _Toc138344718 \h </w:instrText>
            </w:r>
            <w:r w:rsidR="00887BC2">
              <w:rPr>
                <w:noProof/>
                <w:webHidden/>
              </w:rPr>
            </w:r>
            <w:r w:rsidR="00887BC2">
              <w:rPr>
                <w:noProof/>
                <w:webHidden/>
              </w:rPr>
              <w:fldChar w:fldCharType="separate"/>
            </w:r>
            <w:r w:rsidR="00887BC2">
              <w:rPr>
                <w:noProof/>
                <w:webHidden/>
              </w:rPr>
              <w:t>122</w:t>
            </w:r>
            <w:r w:rsidR="00887BC2">
              <w:rPr>
                <w:noProof/>
                <w:webHidden/>
              </w:rPr>
              <w:fldChar w:fldCharType="end"/>
            </w:r>
          </w:hyperlink>
        </w:p>
        <w:p w14:paraId="04A1B09B" w14:textId="4B093126"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19" w:history="1">
            <w:r w:rsidR="00887BC2" w:rsidRPr="00AD3825">
              <w:rPr>
                <w:rStyle w:val="Hyperlink"/>
                <w:rFonts w:ascii="Marianne" w:eastAsiaTheme="majorEastAsia" w:hAnsi="Marianne"/>
                <w:noProof/>
              </w:rPr>
              <w:t>D.1.</w:t>
            </w:r>
            <w:r w:rsidR="00887BC2">
              <w:rPr>
                <w:rFonts w:eastAsiaTheme="minorEastAsia" w:cstheme="minorBidi"/>
                <w:i w:val="0"/>
                <w:iCs w:val="0"/>
                <w:noProof/>
                <w:szCs w:val="22"/>
                <w:lang w:val="fr-FR"/>
              </w:rPr>
              <w:tab/>
            </w:r>
            <w:r w:rsidR="00887BC2" w:rsidRPr="00AD3825">
              <w:rPr>
                <w:rStyle w:val="Hyperlink"/>
                <w:rFonts w:eastAsiaTheme="majorEastAsia"/>
                <w:noProof/>
              </w:rPr>
              <w:t>Adapting to climate change</w:t>
            </w:r>
            <w:r w:rsidR="00887BC2">
              <w:rPr>
                <w:noProof/>
                <w:webHidden/>
              </w:rPr>
              <w:tab/>
            </w:r>
            <w:r w:rsidR="00887BC2">
              <w:rPr>
                <w:noProof/>
                <w:webHidden/>
              </w:rPr>
              <w:fldChar w:fldCharType="begin"/>
            </w:r>
            <w:r w:rsidR="00887BC2">
              <w:rPr>
                <w:noProof/>
                <w:webHidden/>
              </w:rPr>
              <w:instrText xml:space="preserve"> PAGEREF _Toc138344719 \h </w:instrText>
            </w:r>
            <w:r w:rsidR="00887BC2">
              <w:rPr>
                <w:noProof/>
                <w:webHidden/>
              </w:rPr>
            </w:r>
            <w:r w:rsidR="00887BC2">
              <w:rPr>
                <w:noProof/>
                <w:webHidden/>
              </w:rPr>
              <w:fldChar w:fldCharType="separate"/>
            </w:r>
            <w:r w:rsidR="00887BC2">
              <w:rPr>
                <w:noProof/>
                <w:webHidden/>
              </w:rPr>
              <w:t>122</w:t>
            </w:r>
            <w:r w:rsidR="00887BC2">
              <w:rPr>
                <w:noProof/>
                <w:webHidden/>
              </w:rPr>
              <w:fldChar w:fldCharType="end"/>
            </w:r>
          </w:hyperlink>
        </w:p>
        <w:p w14:paraId="4A00CD4D" w14:textId="7DF9CBB4"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20" w:history="1">
            <w:r w:rsidR="00887BC2" w:rsidRPr="00AD3825">
              <w:rPr>
                <w:rStyle w:val="Hyperlink"/>
                <w:rFonts w:ascii="Marianne" w:eastAsiaTheme="majorEastAsia" w:hAnsi="Marianne"/>
                <w:noProof/>
              </w:rPr>
              <w:t>D.2.</w:t>
            </w:r>
            <w:r w:rsidR="00887BC2">
              <w:rPr>
                <w:rFonts w:eastAsiaTheme="minorEastAsia" w:cstheme="minorBidi"/>
                <w:i w:val="0"/>
                <w:iCs w:val="0"/>
                <w:noProof/>
                <w:szCs w:val="22"/>
                <w:lang w:val="fr-FR"/>
              </w:rPr>
              <w:tab/>
            </w:r>
            <w:r w:rsidR="00887BC2" w:rsidRPr="00AD3825">
              <w:rPr>
                <w:rStyle w:val="Hyperlink"/>
                <w:rFonts w:eastAsiaTheme="majorEastAsia"/>
                <w:noProof/>
              </w:rPr>
              <w:t>Preparation and implementation of Nationally Determined Contributions (NDCs)</w:t>
            </w:r>
            <w:r w:rsidR="00887BC2">
              <w:rPr>
                <w:noProof/>
                <w:webHidden/>
              </w:rPr>
              <w:tab/>
            </w:r>
            <w:r w:rsidR="00887BC2">
              <w:rPr>
                <w:noProof/>
                <w:webHidden/>
              </w:rPr>
              <w:fldChar w:fldCharType="begin"/>
            </w:r>
            <w:r w:rsidR="00887BC2">
              <w:rPr>
                <w:noProof/>
                <w:webHidden/>
              </w:rPr>
              <w:instrText xml:space="preserve"> PAGEREF _Toc138344720 \h </w:instrText>
            </w:r>
            <w:r w:rsidR="00887BC2">
              <w:rPr>
                <w:noProof/>
                <w:webHidden/>
              </w:rPr>
            </w:r>
            <w:r w:rsidR="00887BC2">
              <w:rPr>
                <w:noProof/>
                <w:webHidden/>
              </w:rPr>
              <w:fldChar w:fldCharType="separate"/>
            </w:r>
            <w:r w:rsidR="00887BC2">
              <w:rPr>
                <w:noProof/>
                <w:webHidden/>
              </w:rPr>
              <w:t>123</w:t>
            </w:r>
            <w:r w:rsidR="00887BC2">
              <w:rPr>
                <w:noProof/>
                <w:webHidden/>
              </w:rPr>
              <w:fldChar w:fldCharType="end"/>
            </w:r>
          </w:hyperlink>
        </w:p>
        <w:p w14:paraId="1BD0D625" w14:textId="2D1B420B"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21" w:history="1">
            <w:r w:rsidR="00887BC2" w:rsidRPr="00AD3825">
              <w:rPr>
                <w:rStyle w:val="Hyperlink"/>
                <w:rFonts w:ascii="Marianne" w:eastAsiaTheme="majorEastAsia" w:hAnsi="Marianne"/>
                <w:noProof/>
              </w:rPr>
              <w:t>D.3.</w:t>
            </w:r>
            <w:r w:rsidR="00887BC2">
              <w:rPr>
                <w:rFonts w:eastAsiaTheme="minorEastAsia" w:cstheme="minorBidi"/>
                <w:i w:val="0"/>
                <w:iCs w:val="0"/>
                <w:noProof/>
                <w:szCs w:val="22"/>
                <w:lang w:val="fr-FR"/>
              </w:rPr>
              <w:tab/>
            </w:r>
            <w:r w:rsidR="00887BC2" w:rsidRPr="00AD3825">
              <w:rPr>
                <w:rStyle w:val="Hyperlink"/>
                <w:rFonts w:eastAsiaTheme="majorEastAsia"/>
                <w:noProof/>
              </w:rPr>
              <w:t>Establishing a national reporting system (GHG inventory, projections, mitigation measures, adaptation)</w:t>
            </w:r>
            <w:r w:rsidR="00887BC2">
              <w:rPr>
                <w:noProof/>
                <w:webHidden/>
              </w:rPr>
              <w:tab/>
            </w:r>
            <w:r w:rsidR="00887BC2">
              <w:rPr>
                <w:noProof/>
                <w:webHidden/>
              </w:rPr>
              <w:fldChar w:fldCharType="begin"/>
            </w:r>
            <w:r w:rsidR="00887BC2">
              <w:rPr>
                <w:noProof/>
                <w:webHidden/>
              </w:rPr>
              <w:instrText xml:space="preserve"> PAGEREF _Toc138344721 \h </w:instrText>
            </w:r>
            <w:r w:rsidR="00887BC2">
              <w:rPr>
                <w:noProof/>
                <w:webHidden/>
              </w:rPr>
            </w:r>
            <w:r w:rsidR="00887BC2">
              <w:rPr>
                <w:noProof/>
                <w:webHidden/>
              </w:rPr>
              <w:fldChar w:fldCharType="separate"/>
            </w:r>
            <w:r w:rsidR="00887BC2">
              <w:rPr>
                <w:noProof/>
                <w:webHidden/>
              </w:rPr>
              <w:t>123</w:t>
            </w:r>
            <w:r w:rsidR="00887BC2">
              <w:rPr>
                <w:noProof/>
                <w:webHidden/>
              </w:rPr>
              <w:fldChar w:fldCharType="end"/>
            </w:r>
          </w:hyperlink>
        </w:p>
        <w:p w14:paraId="35B414BF" w14:textId="0BB8F01F"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22" w:history="1">
            <w:r w:rsidR="00887BC2" w:rsidRPr="00AD3825">
              <w:rPr>
                <w:rStyle w:val="Hyperlink"/>
                <w:rFonts w:ascii="Marianne" w:eastAsiaTheme="majorEastAsia" w:hAnsi="Marianne"/>
                <w:noProof/>
              </w:rPr>
              <w:t>D.4.</w:t>
            </w:r>
            <w:r w:rsidR="00887BC2">
              <w:rPr>
                <w:rFonts w:eastAsiaTheme="minorEastAsia" w:cstheme="minorBidi"/>
                <w:i w:val="0"/>
                <w:iCs w:val="0"/>
                <w:noProof/>
                <w:szCs w:val="22"/>
                <w:lang w:val="fr-FR"/>
              </w:rPr>
              <w:tab/>
            </w:r>
            <w:r w:rsidR="00887BC2" w:rsidRPr="00AD3825">
              <w:rPr>
                <w:rStyle w:val="Hyperlink"/>
                <w:rFonts w:eastAsiaTheme="majorEastAsia"/>
                <w:noProof/>
              </w:rPr>
              <w:t>French support for the implementation of a national GHG inventory system in Algeria</w:t>
            </w:r>
            <w:r w:rsidR="00887BC2">
              <w:rPr>
                <w:noProof/>
                <w:webHidden/>
              </w:rPr>
              <w:tab/>
            </w:r>
            <w:r w:rsidR="00887BC2">
              <w:rPr>
                <w:noProof/>
                <w:webHidden/>
              </w:rPr>
              <w:fldChar w:fldCharType="begin"/>
            </w:r>
            <w:r w:rsidR="00887BC2">
              <w:rPr>
                <w:noProof/>
                <w:webHidden/>
              </w:rPr>
              <w:instrText xml:space="preserve"> PAGEREF _Toc138344722 \h </w:instrText>
            </w:r>
            <w:r w:rsidR="00887BC2">
              <w:rPr>
                <w:noProof/>
                <w:webHidden/>
              </w:rPr>
            </w:r>
            <w:r w:rsidR="00887BC2">
              <w:rPr>
                <w:noProof/>
                <w:webHidden/>
              </w:rPr>
              <w:fldChar w:fldCharType="separate"/>
            </w:r>
            <w:r w:rsidR="00887BC2">
              <w:rPr>
                <w:noProof/>
                <w:webHidden/>
              </w:rPr>
              <w:t>124</w:t>
            </w:r>
            <w:r w:rsidR="00887BC2">
              <w:rPr>
                <w:noProof/>
                <w:webHidden/>
              </w:rPr>
              <w:fldChar w:fldCharType="end"/>
            </w:r>
          </w:hyperlink>
        </w:p>
        <w:p w14:paraId="588CABEB" w14:textId="1C47DC17"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23" w:history="1">
            <w:r w:rsidR="00887BC2" w:rsidRPr="00AD3825">
              <w:rPr>
                <w:rStyle w:val="Hyperlink"/>
                <w:rFonts w:ascii="Marianne" w:eastAsiaTheme="majorEastAsia" w:hAnsi="Marianne"/>
                <w:noProof/>
              </w:rPr>
              <w:t>D.5.</w:t>
            </w:r>
            <w:r w:rsidR="00887BC2">
              <w:rPr>
                <w:rFonts w:eastAsiaTheme="minorEastAsia" w:cstheme="minorBidi"/>
                <w:i w:val="0"/>
                <w:iCs w:val="0"/>
                <w:noProof/>
                <w:szCs w:val="22"/>
                <w:lang w:val="fr-FR"/>
              </w:rPr>
              <w:tab/>
            </w:r>
            <w:r w:rsidR="00887BC2" w:rsidRPr="00AD3825">
              <w:rPr>
                <w:rStyle w:val="Hyperlink"/>
                <w:rFonts w:eastAsiaTheme="majorEastAsia"/>
                <w:noProof/>
              </w:rPr>
              <w:t>Software for MRV of air pollutant and GHG emissions: RISQ</w:t>
            </w:r>
            <w:r w:rsidR="00887BC2">
              <w:rPr>
                <w:noProof/>
                <w:webHidden/>
              </w:rPr>
              <w:tab/>
            </w:r>
            <w:r w:rsidR="00887BC2">
              <w:rPr>
                <w:noProof/>
                <w:webHidden/>
              </w:rPr>
              <w:fldChar w:fldCharType="begin"/>
            </w:r>
            <w:r w:rsidR="00887BC2">
              <w:rPr>
                <w:noProof/>
                <w:webHidden/>
              </w:rPr>
              <w:instrText xml:space="preserve"> PAGEREF _Toc138344723 \h </w:instrText>
            </w:r>
            <w:r w:rsidR="00887BC2">
              <w:rPr>
                <w:noProof/>
                <w:webHidden/>
              </w:rPr>
            </w:r>
            <w:r w:rsidR="00887BC2">
              <w:rPr>
                <w:noProof/>
                <w:webHidden/>
              </w:rPr>
              <w:fldChar w:fldCharType="separate"/>
            </w:r>
            <w:r w:rsidR="00887BC2">
              <w:rPr>
                <w:noProof/>
                <w:webHidden/>
              </w:rPr>
              <w:t>124</w:t>
            </w:r>
            <w:r w:rsidR="00887BC2">
              <w:rPr>
                <w:noProof/>
                <w:webHidden/>
              </w:rPr>
              <w:fldChar w:fldCharType="end"/>
            </w:r>
          </w:hyperlink>
        </w:p>
        <w:p w14:paraId="27AC299E" w14:textId="4A51B94C"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24" w:history="1">
            <w:r w:rsidR="00887BC2" w:rsidRPr="00AD3825">
              <w:rPr>
                <w:rStyle w:val="Hyperlink"/>
                <w:rFonts w:ascii="Marianne" w:eastAsiaTheme="majorEastAsia" w:hAnsi="Marianne"/>
                <w:noProof/>
              </w:rPr>
              <w:t>D.6.</w:t>
            </w:r>
            <w:r w:rsidR="00887BC2">
              <w:rPr>
                <w:rFonts w:eastAsiaTheme="minorEastAsia" w:cstheme="minorBidi"/>
                <w:i w:val="0"/>
                <w:iCs w:val="0"/>
                <w:noProof/>
                <w:szCs w:val="22"/>
                <w:lang w:val="fr-FR"/>
              </w:rPr>
              <w:tab/>
            </w:r>
            <w:r w:rsidR="00887BC2" w:rsidRPr="00AD3825">
              <w:rPr>
                <w:rStyle w:val="Hyperlink"/>
                <w:rFonts w:eastAsiaTheme="majorEastAsia"/>
                <w:noProof/>
              </w:rPr>
              <w:t>The Franco-Chinese centre with CRAES</w:t>
            </w:r>
            <w:r w:rsidR="00887BC2">
              <w:rPr>
                <w:noProof/>
                <w:webHidden/>
              </w:rPr>
              <w:tab/>
            </w:r>
            <w:r w:rsidR="00887BC2">
              <w:rPr>
                <w:noProof/>
                <w:webHidden/>
              </w:rPr>
              <w:fldChar w:fldCharType="begin"/>
            </w:r>
            <w:r w:rsidR="00887BC2">
              <w:rPr>
                <w:noProof/>
                <w:webHidden/>
              </w:rPr>
              <w:instrText xml:space="preserve"> PAGEREF _Toc138344724 \h </w:instrText>
            </w:r>
            <w:r w:rsidR="00887BC2">
              <w:rPr>
                <w:noProof/>
                <w:webHidden/>
              </w:rPr>
            </w:r>
            <w:r w:rsidR="00887BC2">
              <w:rPr>
                <w:noProof/>
                <w:webHidden/>
              </w:rPr>
              <w:fldChar w:fldCharType="separate"/>
            </w:r>
            <w:r w:rsidR="00887BC2">
              <w:rPr>
                <w:noProof/>
                <w:webHidden/>
              </w:rPr>
              <w:t>124</w:t>
            </w:r>
            <w:r w:rsidR="00887BC2">
              <w:rPr>
                <w:noProof/>
                <w:webHidden/>
              </w:rPr>
              <w:fldChar w:fldCharType="end"/>
            </w:r>
          </w:hyperlink>
        </w:p>
        <w:p w14:paraId="12C564AC" w14:textId="7C35F81B"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25" w:history="1">
            <w:r w:rsidR="00887BC2" w:rsidRPr="00AD3825">
              <w:rPr>
                <w:rStyle w:val="Hyperlink"/>
                <w:rFonts w:ascii="Marianne" w:eastAsiaTheme="majorEastAsia" w:hAnsi="Marianne"/>
                <w:noProof/>
              </w:rPr>
              <w:t>D.7.</w:t>
            </w:r>
            <w:r w:rsidR="00887BC2">
              <w:rPr>
                <w:rFonts w:eastAsiaTheme="minorEastAsia" w:cstheme="minorBidi"/>
                <w:i w:val="0"/>
                <w:iCs w:val="0"/>
                <w:noProof/>
                <w:szCs w:val="22"/>
                <w:lang w:val="fr-FR"/>
              </w:rPr>
              <w:tab/>
            </w:r>
            <w:r w:rsidR="00887BC2" w:rsidRPr="00AD3825">
              <w:rPr>
                <w:rStyle w:val="Hyperlink"/>
                <w:rFonts w:eastAsiaTheme="majorEastAsia"/>
                <w:noProof/>
              </w:rPr>
              <w:t>ADEME’s role</w:t>
            </w:r>
            <w:r w:rsidR="00887BC2">
              <w:rPr>
                <w:noProof/>
                <w:webHidden/>
              </w:rPr>
              <w:tab/>
            </w:r>
            <w:r w:rsidR="00887BC2">
              <w:rPr>
                <w:noProof/>
                <w:webHidden/>
              </w:rPr>
              <w:fldChar w:fldCharType="begin"/>
            </w:r>
            <w:r w:rsidR="00887BC2">
              <w:rPr>
                <w:noProof/>
                <w:webHidden/>
              </w:rPr>
              <w:instrText xml:space="preserve"> PAGEREF _Toc138344725 \h </w:instrText>
            </w:r>
            <w:r w:rsidR="00887BC2">
              <w:rPr>
                <w:noProof/>
                <w:webHidden/>
              </w:rPr>
            </w:r>
            <w:r w:rsidR="00887BC2">
              <w:rPr>
                <w:noProof/>
                <w:webHidden/>
              </w:rPr>
              <w:fldChar w:fldCharType="separate"/>
            </w:r>
            <w:r w:rsidR="00887BC2">
              <w:rPr>
                <w:noProof/>
                <w:webHidden/>
              </w:rPr>
              <w:t>125</w:t>
            </w:r>
            <w:r w:rsidR="00887BC2">
              <w:rPr>
                <w:noProof/>
                <w:webHidden/>
              </w:rPr>
              <w:fldChar w:fldCharType="end"/>
            </w:r>
          </w:hyperlink>
        </w:p>
        <w:p w14:paraId="39B3DEE5" w14:textId="2E2CFA08" w:rsidR="00887BC2" w:rsidRDefault="00C73940">
          <w:pPr>
            <w:pStyle w:val="TOC3"/>
            <w:tabs>
              <w:tab w:val="left" w:pos="1200"/>
              <w:tab w:val="right" w:leader="dot" w:pos="9854"/>
            </w:tabs>
            <w:rPr>
              <w:rFonts w:eastAsiaTheme="minorEastAsia" w:cstheme="minorBidi"/>
              <w:i w:val="0"/>
              <w:iCs w:val="0"/>
              <w:noProof/>
              <w:szCs w:val="22"/>
              <w:lang w:val="fr-FR"/>
            </w:rPr>
          </w:pPr>
          <w:hyperlink w:anchor="_Toc138344726" w:history="1">
            <w:r w:rsidR="00887BC2" w:rsidRPr="00AD3825">
              <w:rPr>
                <w:rStyle w:val="Hyperlink"/>
                <w:rFonts w:ascii="Marianne" w:eastAsiaTheme="majorEastAsia" w:hAnsi="Marianne"/>
                <w:noProof/>
              </w:rPr>
              <w:t>D.8.</w:t>
            </w:r>
            <w:r w:rsidR="00887BC2">
              <w:rPr>
                <w:rFonts w:eastAsiaTheme="minorEastAsia" w:cstheme="minorBidi"/>
                <w:i w:val="0"/>
                <w:iCs w:val="0"/>
                <w:noProof/>
                <w:szCs w:val="22"/>
                <w:lang w:val="fr-FR"/>
              </w:rPr>
              <w:tab/>
            </w:r>
            <w:r w:rsidR="00887BC2" w:rsidRPr="00AD3825">
              <w:rPr>
                <w:rStyle w:val="Hyperlink"/>
                <w:rFonts w:eastAsiaTheme="majorEastAsia"/>
                <w:noProof/>
              </w:rPr>
              <w:t>AFD’s role</w:t>
            </w:r>
            <w:r w:rsidR="00887BC2">
              <w:rPr>
                <w:noProof/>
                <w:webHidden/>
              </w:rPr>
              <w:tab/>
            </w:r>
            <w:r w:rsidR="00887BC2">
              <w:rPr>
                <w:noProof/>
                <w:webHidden/>
              </w:rPr>
              <w:fldChar w:fldCharType="begin"/>
            </w:r>
            <w:r w:rsidR="00887BC2">
              <w:rPr>
                <w:noProof/>
                <w:webHidden/>
              </w:rPr>
              <w:instrText xml:space="preserve"> PAGEREF _Toc138344726 \h </w:instrText>
            </w:r>
            <w:r w:rsidR="00887BC2">
              <w:rPr>
                <w:noProof/>
                <w:webHidden/>
              </w:rPr>
            </w:r>
            <w:r w:rsidR="00887BC2">
              <w:rPr>
                <w:noProof/>
                <w:webHidden/>
              </w:rPr>
              <w:fldChar w:fldCharType="separate"/>
            </w:r>
            <w:r w:rsidR="00887BC2">
              <w:rPr>
                <w:noProof/>
                <w:webHidden/>
              </w:rPr>
              <w:t>129</w:t>
            </w:r>
            <w:r w:rsidR="00887BC2">
              <w:rPr>
                <w:noProof/>
                <w:webHidden/>
              </w:rPr>
              <w:fldChar w:fldCharType="end"/>
            </w:r>
          </w:hyperlink>
        </w:p>
        <w:p w14:paraId="447ACAD0" w14:textId="29AFD007" w:rsidR="00887BC2" w:rsidRDefault="00C73940">
          <w:pPr>
            <w:pStyle w:val="TOC1"/>
            <w:rPr>
              <w:rFonts w:eastAsiaTheme="minorEastAsia" w:cstheme="minorBidi"/>
              <w:b w:val="0"/>
              <w:bCs w:val="0"/>
              <w:caps w:val="0"/>
              <w:noProof/>
              <w:szCs w:val="22"/>
              <w:lang w:val="fr-FR"/>
            </w:rPr>
          </w:pPr>
          <w:hyperlink w:anchor="_Toc138344727" w:history="1">
            <w:r w:rsidR="00887BC2" w:rsidRPr="00AD3825">
              <w:rPr>
                <w:rStyle w:val="Hyperlink"/>
                <w:rFonts w:eastAsiaTheme="majorEastAsia"/>
                <w:noProof/>
              </w:rPr>
              <w:t>Appendix I - Summary tables of emissions by sector</w:t>
            </w:r>
            <w:r w:rsidR="00887BC2">
              <w:rPr>
                <w:noProof/>
                <w:webHidden/>
              </w:rPr>
              <w:tab/>
            </w:r>
            <w:r w:rsidR="00887BC2">
              <w:rPr>
                <w:noProof/>
                <w:webHidden/>
              </w:rPr>
              <w:fldChar w:fldCharType="begin"/>
            </w:r>
            <w:r w:rsidR="00887BC2">
              <w:rPr>
                <w:noProof/>
                <w:webHidden/>
              </w:rPr>
              <w:instrText xml:space="preserve"> PAGEREF _Toc138344727 \h </w:instrText>
            </w:r>
            <w:r w:rsidR="00887BC2">
              <w:rPr>
                <w:noProof/>
                <w:webHidden/>
              </w:rPr>
            </w:r>
            <w:r w:rsidR="00887BC2">
              <w:rPr>
                <w:noProof/>
                <w:webHidden/>
              </w:rPr>
              <w:fldChar w:fldCharType="separate"/>
            </w:r>
            <w:r w:rsidR="00887BC2">
              <w:rPr>
                <w:noProof/>
                <w:webHidden/>
              </w:rPr>
              <w:t>130</w:t>
            </w:r>
            <w:r w:rsidR="00887BC2">
              <w:rPr>
                <w:noProof/>
                <w:webHidden/>
              </w:rPr>
              <w:fldChar w:fldCharType="end"/>
            </w:r>
          </w:hyperlink>
        </w:p>
        <w:p w14:paraId="35C35C50" w14:textId="0E5F351A" w:rsidR="00887BC2" w:rsidRDefault="00C73940">
          <w:pPr>
            <w:pStyle w:val="TOC1"/>
            <w:rPr>
              <w:rFonts w:eastAsiaTheme="minorEastAsia" w:cstheme="minorBidi"/>
              <w:b w:val="0"/>
              <w:bCs w:val="0"/>
              <w:caps w:val="0"/>
              <w:noProof/>
              <w:szCs w:val="22"/>
              <w:lang w:val="fr-FR"/>
            </w:rPr>
          </w:pPr>
          <w:hyperlink w:anchor="_Toc138344728" w:history="1">
            <w:r w:rsidR="00887BC2" w:rsidRPr="00AD3825">
              <w:rPr>
                <w:rStyle w:val="Hyperlink"/>
                <w:rFonts w:eastAsiaTheme="majorEastAsia"/>
                <w:noProof/>
              </w:rPr>
              <w:t>Appendix II - Assistance to developing countries in the form of financial resources, technology and capacity building - financing tables</w:t>
            </w:r>
            <w:r w:rsidR="00887BC2">
              <w:rPr>
                <w:noProof/>
                <w:webHidden/>
              </w:rPr>
              <w:tab/>
            </w:r>
            <w:r w:rsidR="00887BC2">
              <w:rPr>
                <w:noProof/>
                <w:webHidden/>
              </w:rPr>
              <w:fldChar w:fldCharType="begin"/>
            </w:r>
            <w:r w:rsidR="00887BC2">
              <w:rPr>
                <w:noProof/>
                <w:webHidden/>
              </w:rPr>
              <w:instrText xml:space="preserve"> PAGEREF _Toc138344728 \h </w:instrText>
            </w:r>
            <w:r w:rsidR="00887BC2">
              <w:rPr>
                <w:noProof/>
                <w:webHidden/>
              </w:rPr>
            </w:r>
            <w:r w:rsidR="00887BC2">
              <w:rPr>
                <w:noProof/>
                <w:webHidden/>
              </w:rPr>
              <w:fldChar w:fldCharType="separate"/>
            </w:r>
            <w:r w:rsidR="00887BC2">
              <w:rPr>
                <w:noProof/>
                <w:webHidden/>
              </w:rPr>
              <w:t>134</w:t>
            </w:r>
            <w:r w:rsidR="00887BC2">
              <w:rPr>
                <w:noProof/>
                <w:webHidden/>
              </w:rPr>
              <w:fldChar w:fldCharType="end"/>
            </w:r>
          </w:hyperlink>
        </w:p>
        <w:p w14:paraId="22B93F3B" w14:textId="05F0AF63" w:rsidR="00887BC2" w:rsidRDefault="00C73940">
          <w:pPr>
            <w:pStyle w:val="TOC1"/>
            <w:rPr>
              <w:rFonts w:eastAsiaTheme="minorEastAsia" w:cstheme="minorBidi"/>
              <w:b w:val="0"/>
              <w:bCs w:val="0"/>
              <w:caps w:val="0"/>
              <w:noProof/>
              <w:szCs w:val="22"/>
              <w:lang w:val="fr-FR"/>
            </w:rPr>
          </w:pPr>
          <w:hyperlink w:anchor="_Toc138344729" w:history="1">
            <w:r w:rsidR="00887BC2" w:rsidRPr="00AD3825">
              <w:rPr>
                <w:rStyle w:val="Hyperlink"/>
                <w:rFonts w:eastAsiaTheme="majorEastAsia"/>
                <w:noProof/>
              </w:rPr>
              <w:t>Appendix III – Policies and measures</w:t>
            </w:r>
            <w:r w:rsidR="00887BC2">
              <w:rPr>
                <w:noProof/>
                <w:webHidden/>
              </w:rPr>
              <w:tab/>
            </w:r>
            <w:r w:rsidR="00887BC2">
              <w:rPr>
                <w:noProof/>
                <w:webHidden/>
              </w:rPr>
              <w:fldChar w:fldCharType="begin"/>
            </w:r>
            <w:r w:rsidR="00887BC2">
              <w:rPr>
                <w:noProof/>
                <w:webHidden/>
              </w:rPr>
              <w:instrText xml:space="preserve"> PAGEREF _Toc138344729 \h </w:instrText>
            </w:r>
            <w:r w:rsidR="00887BC2">
              <w:rPr>
                <w:noProof/>
                <w:webHidden/>
              </w:rPr>
            </w:r>
            <w:r w:rsidR="00887BC2">
              <w:rPr>
                <w:noProof/>
                <w:webHidden/>
              </w:rPr>
              <w:fldChar w:fldCharType="separate"/>
            </w:r>
            <w:r w:rsidR="00887BC2">
              <w:rPr>
                <w:noProof/>
                <w:webHidden/>
              </w:rPr>
              <w:t>190</w:t>
            </w:r>
            <w:r w:rsidR="00887BC2">
              <w:rPr>
                <w:noProof/>
                <w:webHidden/>
              </w:rPr>
              <w:fldChar w:fldCharType="end"/>
            </w:r>
          </w:hyperlink>
        </w:p>
        <w:p w14:paraId="6AE30DF0" w14:textId="71D924FF" w:rsidR="003D55E6" w:rsidRPr="005B54EE" w:rsidRDefault="003D55E6">
          <w:r w:rsidRPr="005B54EE">
            <w:rPr>
              <w:b/>
            </w:rPr>
            <w:fldChar w:fldCharType="end"/>
          </w:r>
        </w:p>
      </w:sdtContent>
    </w:sdt>
    <w:p w14:paraId="0C2EC927" w14:textId="77777777" w:rsidR="00D20917" w:rsidRPr="005B54EE" w:rsidRDefault="00D20917" w:rsidP="00246278">
      <w:pPr>
        <w:pStyle w:val="Sommaire"/>
        <w:rPr>
          <w:rFonts w:ascii="Marianne ExtraBold" w:hAnsi="Marianne ExtraBold"/>
          <w:b w:val="0"/>
          <w:color w:val="000000" w:themeColor="text1"/>
        </w:rPr>
      </w:pPr>
    </w:p>
    <w:p w14:paraId="3C5A8C61" w14:textId="77777777" w:rsidR="00811B0F" w:rsidRPr="005B54EE" w:rsidRDefault="002D08FD" w:rsidP="00811B0F">
      <w:pPr>
        <w:pStyle w:val="TOCHeading"/>
      </w:pPr>
      <w:r w:rsidRPr="005B54EE">
        <w:br w:type="page"/>
      </w:r>
      <w:r w:rsidRPr="005B54EE">
        <w:lastRenderedPageBreak/>
        <w:t>List of illustrations</w:t>
      </w:r>
    </w:p>
    <w:p w14:paraId="48F9C808" w14:textId="0DFFDA7F" w:rsidR="00AB7D85" w:rsidRPr="005B54EE" w:rsidRDefault="00811B0F">
      <w:pPr>
        <w:pStyle w:val="TableofFigures"/>
        <w:tabs>
          <w:tab w:val="right" w:leader="dot" w:pos="9854"/>
        </w:tabs>
        <w:rPr>
          <w:rFonts w:eastAsiaTheme="minorEastAsia" w:cstheme="minorBidi"/>
          <w:i w:val="0"/>
          <w:iCs w:val="0"/>
          <w:noProof/>
          <w:sz w:val="22"/>
          <w:szCs w:val="22"/>
        </w:rPr>
      </w:pPr>
      <w:r w:rsidRPr="005B54EE">
        <w:fldChar w:fldCharType="begin"/>
      </w:r>
      <w:r w:rsidRPr="005B54EE">
        <w:instrText xml:space="preserve"> TOC \h \z \c "Figure" </w:instrText>
      </w:r>
      <w:r w:rsidRPr="005B54EE">
        <w:fldChar w:fldCharType="separate"/>
      </w:r>
      <w:hyperlink w:anchor="_Toc124153756" w:history="1">
        <w:r w:rsidR="00AB7D85" w:rsidRPr="005B54EE">
          <w:rPr>
            <w:rStyle w:val="Hyperlink"/>
            <w:noProof/>
          </w:rPr>
          <w:t>Figure 1</w:t>
        </w:r>
        <w:r w:rsidR="00AB7D85" w:rsidRPr="005B54EE">
          <w:rPr>
            <w:rStyle w:val="Hyperlink"/>
            <w:rFonts w:ascii="Calibri" w:hAnsi="Calibri" w:cs="Calibri"/>
            <w:noProof/>
          </w:rPr>
          <w:t> </w:t>
        </w:r>
        <w:r w:rsidR="00AB7D85" w:rsidRPr="005B54EE">
          <w:rPr>
            <w:rStyle w:val="Hyperlink"/>
            <w:noProof/>
          </w:rPr>
          <w:t>: Evolution des émissions françaises au périmètre Convention de 1990 à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_Toc124153756 \h </w:instrText>
        </w:r>
        <w:r w:rsidR="00AB7D85" w:rsidRPr="005B54EE">
          <w:rPr>
            <w:noProof/>
            <w:webHidden/>
          </w:rPr>
        </w:r>
        <w:r w:rsidR="00AB7D85" w:rsidRPr="005B54EE">
          <w:rPr>
            <w:noProof/>
            <w:webHidden/>
          </w:rPr>
          <w:fldChar w:fldCharType="separate"/>
        </w:r>
        <w:r w:rsidR="005B1C45">
          <w:rPr>
            <w:noProof/>
            <w:webHidden/>
          </w:rPr>
          <w:t>9</w:t>
        </w:r>
        <w:r w:rsidR="00AB7D85" w:rsidRPr="005B54EE">
          <w:rPr>
            <w:noProof/>
            <w:webHidden/>
          </w:rPr>
          <w:fldChar w:fldCharType="end"/>
        </w:r>
      </w:hyperlink>
    </w:p>
    <w:p w14:paraId="317BAC0E" w14:textId="3192451B" w:rsidR="00AB7D85" w:rsidRPr="005B54EE" w:rsidRDefault="00C73940">
      <w:pPr>
        <w:pStyle w:val="TableofFigures"/>
        <w:tabs>
          <w:tab w:val="right" w:leader="dot" w:pos="9854"/>
        </w:tabs>
        <w:rPr>
          <w:rFonts w:eastAsiaTheme="minorEastAsia" w:cstheme="minorBidi"/>
          <w:i w:val="0"/>
          <w:noProof/>
          <w:sz w:val="22"/>
        </w:rPr>
      </w:pPr>
      <w:hyperlink w:anchor="_Toc124153757" w:history="1">
        <w:r w:rsidR="00AB7D85" w:rsidRPr="005B54EE">
          <w:rPr>
            <w:rStyle w:val="Hyperlink"/>
            <w:noProof/>
          </w:rPr>
          <w:t>Figure 2</w:t>
        </w:r>
        <w:r w:rsidR="00AB7D85" w:rsidRPr="005B54EE">
          <w:rPr>
            <w:rStyle w:val="Hyperlink"/>
            <w:rFonts w:ascii="Calibri" w:hAnsi="Calibri" w:cs="Calibri"/>
            <w:noProof/>
          </w:rPr>
          <w:t> </w:t>
        </w:r>
        <w:r w:rsidR="00AB7D85" w:rsidRPr="005B54EE">
          <w:rPr>
            <w:rStyle w:val="Hyperlink"/>
            <w:noProof/>
          </w:rPr>
          <w:t xml:space="preserve">: Evolution des </w:t>
        </w:r>
        <w:r w:rsidR="00AB7D85" w:rsidRPr="005B54EE">
          <w:rPr>
            <w:rStyle w:val="Hyperlink"/>
            <w:rFonts w:ascii="Marianne" w:hAnsi="Marianne" w:cs="Marianne"/>
            <w:noProof/>
          </w:rPr>
          <w:t>é</w:t>
        </w:r>
        <w:r w:rsidR="00AB7D85" w:rsidRPr="005B54EE">
          <w:rPr>
            <w:rStyle w:val="Hyperlink"/>
            <w:noProof/>
          </w:rPr>
          <w:t>missions fran</w:t>
        </w:r>
        <w:r w:rsidR="00AB7D85" w:rsidRPr="005B54EE">
          <w:rPr>
            <w:rStyle w:val="Hyperlink"/>
            <w:rFonts w:ascii="Marianne" w:hAnsi="Marianne" w:cs="Marianne"/>
            <w:noProof/>
          </w:rPr>
          <w:t>ç</w:t>
        </w:r>
        <w:r w:rsidR="00AB7D85" w:rsidRPr="005B54EE">
          <w:rPr>
            <w:rStyle w:val="Hyperlink"/>
            <w:noProof/>
          </w:rPr>
          <w:t>aises au p</w:t>
        </w:r>
        <w:r w:rsidR="00AB7D85" w:rsidRPr="005B54EE">
          <w:rPr>
            <w:rStyle w:val="Hyperlink"/>
            <w:rFonts w:ascii="Marianne" w:hAnsi="Marianne" w:cs="Marianne"/>
            <w:noProof/>
          </w:rPr>
          <w:t>é</w:t>
        </w:r>
        <w:r w:rsidR="00AB7D85" w:rsidRPr="005B54EE">
          <w:rPr>
            <w:rStyle w:val="Hyperlink"/>
            <w:noProof/>
          </w:rPr>
          <w:t>rim</w:t>
        </w:r>
        <w:r w:rsidR="00AB7D85" w:rsidRPr="005B54EE">
          <w:rPr>
            <w:rStyle w:val="Hyperlink"/>
            <w:rFonts w:ascii="Marianne" w:hAnsi="Marianne" w:cs="Marianne"/>
            <w:noProof/>
          </w:rPr>
          <w:t>è</w:t>
        </w:r>
        <w:r w:rsidR="00AB7D85" w:rsidRPr="005B54EE">
          <w:rPr>
            <w:rStyle w:val="Hyperlink"/>
            <w:noProof/>
          </w:rPr>
          <w:t>tre «</w:t>
        </w:r>
        <w:r w:rsidR="00AB7D85" w:rsidRPr="005B54EE">
          <w:rPr>
            <w:rStyle w:val="Hyperlink"/>
            <w:rFonts w:ascii="Calibri" w:hAnsi="Calibri" w:cs="Calibri"/>
            <w:noProof/>
          </w:rPr>
          <w:t> </w:t>
        </w:r>
        <w:r w:rsidR="00AB7D85" w:rsidRPr="005B54EE">
          <w:rPr>
            <w:rStyle w:val="Hyperlink"/>
            <w:noProof/>
          </w:rPr>
          <w:t>Kyoto</w:t>
        </w:r>
        <w:r w:rsidR="00AB7D85" w:rsidRPr="005B54EE">
          <w:rPr>
            <w:rStyle w:val="Hyperlink"/>
            <w:rFonts w:ascii="Calibri" w:hAnsi="Calibri" w:cs="Calibri"/>
            <w:noProof/>
          </w:rPr>
          <w:t> </w:t>
        </w:r>
        <w:r w:rsidR="00AB7D85" w:rsidRPr="005B54EE">
          <w:rPr>
            <w:rStyle w:val="Hyperlink"/>
            <w:rFonts w:ascii="Marianne" w:hAnsi="Marianne" w:cs="Marianne"/>
            <w:noProof/>
          </w:rPr>
          <w:t>»</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_Toc124153757 \h </w:instrText>
        </w:r>
        <w:r w:rsidR="00AB7D85" w:rsidRPr="005B54EE">
          <w:rPr>
            <w:noProof/>
            <w:webHidden/>
          </w:rPr>
        </w:r>
        <w:r w:rsidR="00AB7D85" w:rsidRPr="005B54EE">
          <w:rPr>
            <w:noProof/>
            <w:webHidden/>
          </w:rPr>
          <w:fldChar w:fldCharType="separate"/>
        </w:r>
        <w:r w:rsidR="005B1C45">
          <w:rPr>
            <w:noProof/>
            <w:webHidden/>
          </w:rPr>
          <w:t>10</w:t>
        </w:r>
        <w:r w:rsidR="00AB7D85" w:rsidRPr="005B54EE">
          <w:rPr>
            <w:noProof/>
            <w:webHidden/>
          </w:rPr>
          <w:fldChar w:fldCharType="end"/>
        </w:r>
      </w:hyperlink>
    </w:p>
    <w:p w14:paraId="7084640F" w14:textId="56A58940" w:rsidR="00AB7D85" w:rsidRPr="005B54EE" w:rsidRDefault="00C73940">
      <w:pPr>
        <w:pStyle w:val="TableofFigures"/>
        <w:tabs>
          <w:tab w:val="right" w:leader="dot" w:pos="9854"/>
        </w:tabs>
        <w:rPr>
          <w:rFonts w:eastAsiaTheme="minorEastAsia" w:cstheme="minorBidi"/>
          <w:i w:val="0"/>
          <w:noProof/>
          <w:sz w:val="22"/>
        </w:rPr>
      </w:pPr>
      <w:hyperlink w:anchor="_Toc124153758" w:history="1">
        <w:r w:rsidR="00AB7D85" w:rsidRPr="005B54EE">
          <w:rPr>
            <w:rStyle w:val="Hyperlink"/>
            <w:noProof/>
          </w:rPr>
          <w:t>Figure 3</w:t>
        </w:r>
        <w:r w:rsidR="00AB7D85" w:rsidRPr="005B54EE">
          <w:rPr>
            <w:rStyle w:val="Hyperlink"/>
            <w:rFonts w:ascii="Calibri" w:hAnsi="Calibri" w:cs="Calibri"/>
            <w:noProof/>
          </w:rPr>
          <w:t> </w:t>
        </w:r>
        <w:r w:rsidR="00AB7D85" w:rsidRPr="005B54EE">
          <w:rPr>
            <w:rStyle w:val="Hyperlink"/>
            <w:noProof/>
          </w:rPr>
          <w:t xml:space="preserve">: </w:t>
        </w:r>
        <w:r w:rsidR="00AB7D85" w:rsidRPr="005B54EE">
          <w:rPr>
            <w:rStyle w:val="Hyperlink"/>
            <w:rFonts w:ascii="Marianne" w:hAnsi="Marianne" w:cs="Marianne"/>
            <w:noProof/>
          </w:rPr>
          <w:t>É</w:t>
        </w:r>
        <w:r w:rsidR="00AB7D85" w:rsidRPr="005B54EE">
          <w:rPr>
            <w:rStyle w:val="Hyperlink"/>
            <w:noProof/>
          </w:rPr>
          <w:t>missions de CO</w:t>
        </w:r>
        <w:r w:rsidR="00AB7D85" w:rsidRPr="005B54EE">
          <w:rPr>
            <w:rStyle w:val="Hyperlink"/>
            <w:noProof/>
            <w:vertAlign w:val="subscript"/>
          </w:rPr>
          <w:t>2</w:t>
        </w:r>
        <w:r w:rsidR="00AB7D85" w:rsidRPr="005B54EE">
          <w:rPr>
            <w:rStyle w:val="Hyperlink"/>
            <w:noProof/>
          </w:rPr>
          <w:t>, CH</w:t>
        </w:r>
        <w:r w:rsidR="00AB7D85" w:rsidRPr="005B54EE">
          <w:rPr>
            <w:rStyle w:val="Hyperlink"/>
            <w:noProof/>
            <w:vertAlign w:val="subscript"/>
          </w:rPr>
          <w:t>4</w:t>
        </w:r>
        <w:r w:rsidR="00AB7D85" w:rsidRPr="005B54EE">
          <w:rPr>
            <w:rStyle w:val="Hyperlink"/>
            <w:noProof/>
          </w:rPr>
          <w:t>, N</w:t>
        </w:r>
        <w:r w:rsidR="00AB7D85" w:rsidRPr="005B54EE">
          <w:rPr>
            <w:rStyle w:val="Hyperlink"/>
            <w:noProof/>
            <w:vertAlign w:val="subscript"/>
          </w:rPr>
          <w:t>2</w:t>
        </w:r>
        <w:r w:rsidR="00AB7D85" w:rsidRPr="005B54EE">
          <w:rPr>
            <w:rStyle w:val="Hyperlink"/>
            <w:noProof/>
          </w:rPr>
          <w:t>O, HFCs et PFCs depuis 1990 en milliers de tonnes équivalent CO</w:t>
        </w:r>
        <w:r w:rsidR="00AB7D85" w:rsidRPr="005B54EE">
          <w:rPr>
            <w:rStyle w:val="Hyperlink"/>
            <w:noProof/>
            <w:vertAlign w:val="subscript"/>
          </w:rPr>
          <w:t>2</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_Toc124153758 \h </w:instrText>
        </w:r>
        <w:r w:rsidR="00AB7D85" w:rsidRPr="005B54EE">
          <w:rPr>
            <w:noProof/>
            <w:webHidden/>
          </w:rPr>
        </w:r>
        <w:r w:rsidR="00AB7D85" w:rsidRPr="005B54EE">
          <w:rPr>
            <w:noProof/>
            <w:webHidden/>
          </w:rPr>
          <w:fldChar w:fldCharType="separate"/>
        </w:r>
        <w:r w:rsidR="005B1C45">
          <w:rPr>
            <w:noProof/>
            <w:webHidden/>
          </w:rPr>
          <w:t>11</w:t>
        </w:r>
        <w:r w:rsidR="00AB7D85" w:rsidRPr="005B54EE">
          <w:rPr>
            <w:noProof/>
            <w:webHidden/>
          </w:rPr>
          <w:fldChar w:fldCharType="end"/>
        </w:r>
      </w:hyperlink>
    </w:p>
    <w:p w14:paraId="21FF7E86" w14:textId="3E6B0763" w:rsidR="00AB7D85" w:rsidRPr="005B54EE" w:rsidRDefault="00C73940">
      <w:pPr>
        <w:pStyle w:val="TableofFigures"/>
        <w:tabs>
          <w:tab w:val="right" w:leader="dot" w:pos="9854"/>
        </w:tabs>
        <w:rPr>
          <w:rFonts w:eastAsiaTheme="minorEastAsia" w:cstheme="minorBidi"/>
          <w:i w:val="0"/>
          <w:noProof/>
          <w:sz w:val="22"/>
        </w:rPr>
      </w:pPr>
      <w:hyperlink w:anchor="_Toc124153759" w:history="1">
        <w:r w:rsidR="00AB7D85" w:rsidRPr="005B54EE">
          <w:rPr>
            <w:rStyle w:val="Hyperlink"/>
            <w:noProof/>
          </w:rPr>
          <w:t>Figure 4</w:t>
        </w:r>
        <w:r w:rsidR="00AB7D85" w:rsidRPr="005B54EE">
          <w:rPr>
            <w:rStyle w:val="Hyperlink"/>
            <w:rFonts w:ascii="Calibri" w:hAnsi="Calibri" w:cs="Calibri"/>
            <w:noProof/>
          </w:rPr>
          <w:t> </w:t>
        </w:r>
        <w:r w:rsidR="00AB7D85" w:rsidRPr="005B54EE">
          <w:rPr>
            <w:rStyle w:val="Hyperlink"/>
            <w:noProof/>
          </w:rPr>
          <w:t>: Evolution de la part des diff</w:t>
        </w:r>
        <w:r w:rsidR="00AB7D85" w:rsidRPr="005B54EE">
          <w:rPr>
            <w:rStyle w:val="Hyperlink"/>
            <w:rFonts w:ascii="Marianne" w:hAnsi="Marianne" w:cs="Marianne"/>
            <w:noProof/>
          </w:rPr>
          <w:t>é</w:t>
        </w:r>
        <w:r w:rsidR="00AB7D85" w:rsidRPr="005B54EE">
          <w:rPr>
            <w:rStyle w:val="Hyperlink"/>
            <w:noProof/>
          </w:rPr>
          <w:t>rents gaz fluor</w:t>
        </w:r>
        <w:r w:rsidR="00AB7D85" w:rsidRPr="005B54EE">
          <w:rPr>
            <w:rStyle w:val="Hyperlink"/>
            <w:rFonts w:ascii="Marianne" w:hAnsi="Marianne" w:cs="Marianne"/>
            <w:noProof/>
          </w:rPr>
          <w:t>é</w:t>
        </w:r>
        <w:r w:rsidR="00AB7D85" w:rsidRPr="005B54EE">
          <w:rPr>
            <w:rStyle w:val="Hyperlink"/>
            <w:noProof/>
          </w:rPr>
          <w:t>s depuis 1990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_Toc124153759 \h </w:instrText>
        </w:r>
        <w:r w:rsidR="00AB7D85" w:rsidRPr="005B54EE">
          <w:rPr>
            <w:noProof/>
            <w:webHidden/>
          </w:rPr>
        </w:r>
        <w:r w:rsidR="00AB7D85" w:rsidRPr="005B54EE">
          <w:rPr>
            <w:noProof/>
            <w:webHidden/>
          </w:rPr>
          <w:fldChar w:fldCharType="separate"/>
        </w:r>
        <w:r w:rsidR="005B1C45">
          <w:rPr>
            <w:noProof/>
            <w:webHidden/>
          </w:rPr>
          <w:t>12</w:t>
        </w:r>
        <w:r w:rsidR="00AB7D85" w:rsidRPr="005B54EE">
          <w:rPr>
            <w:noProof/>
            <w:webHidden/>
          </w:rPr>
          <w:fldChar w:fldCharType="end"/>
        </w:r>
      </w:hyperlink>
    </w:p>
    <w:p w14:paraId="61A5A3E2" w14:textId="4E98CBD2" w:rsidR="00AB7D85" w:rsidRPr="005B54EE" w:rsidRDefault="00C73940">
      <w:pPr>
        <w:pStyle w:val="TableofFigures"/>
        <w:tabs>
          <w:tab w:val="right" w:leader="dot" w:pos="9854"/>
        </w:tabs>
        <w:rPr>
          <w:rFonts w:eastAsiaTheme="minorEastAsia" w:cstheme="minorBidi"/>
          <w:i w:val="0"/>
          <w:noProof/>
          <w:sz w:val="22"/>
        </w:rPr>
      </w:pPr>
      <w:hyperlink w:anchor="_Toc124153760" w:history="1">
        <w:r w:rsidR="00AB7D85" w:rsidRPr="005B54EE">
          <w:rPr>
            <w:rStyle w:val="Hyperlink"/>
            <w:noProof/>
          </w:rPr>
          <w:t>Figure 5</w:t>
        </w:r>
        <w:r w:rsidR="00AB7D85" w:rsidRPr="005B54EE">
          <w:rPr>
            <w:rStyle w:val="Hyperlink"/>
            <w:rFonts w:ascii="Calibri" w:hAnsi="Calibri" w:cs="Calibri"/>
            <w:noProof/>
          </w:rPr>
          <w:t> </w:t>
        </w:r>
        <w:r w:rsidR="00AB7D85" w:rsidRPr="005B54EE">
          <w:rPr>
            <w:rStyle w:val="Hyperlink"/>
            <w:noProof/>
          </w:rPr>
          <w:t xml:space="preserve">: Evolution des </w:t>
        </w:r>
        <w:r w:rsidR="00AB7D85" w:rsidRPr="005B54EE">
          <w:rPr>
            <w:rStyle w:val="Hyperlink"/>
            <w:rFonts w:ascii="Marianne" w:hAnsi="Marianne" w:cs="Marianne"/>
            <w:noProof/>
          </w:rPr>
          <w:t>é</w:t>
        </w:r>
        <w:r w:rsidR="00AB7D85" w:rsidRPr="005B54EE">
          <w:rPr>
            <w:rStyle w:val="Hyperlink"/>
            <w:noProof/>
          </w:rPr>
          <w:t>missions de CO</w:t>
        </w:r>
        <w:r w:rsidR="00AB7D85" w:rsidRPr="005B54EE">
          <w:rPr>
            <w:rStyle w:val="Hyperlink"/>
            <w:noProof/>
            <w:vertAlign w:val="subscript"/>
          </w:rPr>
          <w:t>2</w:t>
        </w:r>
        <w:r w:rsidR="00AB7D85" w:rsidRPr="005B54EE">
          <w:rPr>
            <w:rStyle w:val="Hyperlink"/>
            <w:noProof/>
          </w:rPr>
          <w:t xml:space="preserve"> pour les principaux secteurs contributeurs (en kt) de 1990 à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_Toc124153760 \h </w:instrText>
        </w:r>
        <w:r w:rsidR="00AB7D85" w:rsidRPr="005B54EE">
          <w:rPr>
            <w:noProof/>
            <w:webHidden/>
          </w:rPr>
        </w:r>
        <w:r w:rsidR="00AB7D85" w:rsidRPr="005B54EE">
          <w:rPr>
            <w:noProof/>
            <w:webHidden/>
          </w:rPr>
          <w:fldChar w:fldCharType="separate"/>
        </w:r>
        <w:r w:rsidR="005B1C45">
          <w:rPr>
            <w:noProof/>
            <w:webHidden/>
          </w:rPr>
          <w:t>13</w:t>
        </w:r>
        <w:r w:rsidR="00AB7D85" w:rsidRPr="005B54EE">
          <w:rPr>
            <w:noProof/>
            <w:webHidden/>
          </w:rPr>
          <w:fldChar w:fldCharType="end"/>
        </w:r>
      </w:hyperlink>
    </w:p>
    <w:p w14:paraId="2A8D00B3" w14:textId="0595C307" w:rsidR="00AB7D85" w:rsidRPr="005B54EE" w:rsidRDefault="00C73940">
      <w:pPr>
        <w:pStyle w:val="TableofFigures"/>
        <w:tabs>
          <w:tab w:val="right" w:leader="dot" w:pos="9854"/>
        </w:tabs>
        <w:rPr>
          <w:rFonts w:eastAsiaTheme="minorEastAsia" w:cstheme="minorBidi"/>
          <w:i w:val="0"/>
          <w:noProof/>
          <w:sz w:val="22"/>
        </w:rPr>
      </w:pPr>
      <w:hyperlink w:anchor="_Toc124153761" w:history="1">
        <w:r w:rsidR="00AB7D85" w:rsidRPr="005B54EE">
          <w:rPr>
            <w:rStyle w:val="Hyperlink"/>
            <w:noProof/>
          </w:rPr>
          <w:t>Figure 6</w:t>
        </w:r>
        <w:r w:rsidR="00AB7D85" w:rsidRPr="005B54EE">
          <w:rPr>
            <w:rStyle w:val="Hyperlink"/>
            <w:rFonts w:ascii="Calibri" w:hAnsi="Calibri" w:cs="Calibri"/>
            <w:noProof/>
          </w:rPr>
          <w:t> </w:t>
        </w:r>
        <w:r w:rsidR="00AB7D85" w:rsidRPr="005B54EE">
          <w:rPr>
            <w:rStyle w:val="Hyperlink"/>
            <w:noProof/>
          </w:rPr>
          <w:t xml:space="preserve">:: Evolution des </w:t>
        </w:r>
        <w:r w:rsidR="00AB7D85" w:rsidRPr="005B54EE">
          <w:rPr>
            <w:rStyle w:val="Hyperlink"/>
            <w:rFonts w:ascii="Marianne" w:hAnsi="Marianne" w:cs="Marianne"/>
            <w:noProof/>
          </w:rPr>
          <w:t>é</w:t>
        </w:r>
        <w:r w:rsidR="00AB7D85" w:rsidRPr="005B54EE">
          <w:rPr>
            <w:rStyle w:val="Hyperlink"/>
            <w:noProof/>
          </w:rPr>
          <w:t>missions de CH</w:t>
        </w:r>
        <w:r w:rsidR="00AB7D85" w:rsidRPr="005B54EE">
          <w:rPr>
            <w:rStyle w:val="Hyperlink"/>
            <w:noProof/>
            <w:vertAlign w:val="subscript"/>
          </w:rPr>
          <w:t>4</w:t>
        </w:r>
        <w:r w:rsidR="00AB7D85" w:rsidRPr="005B54EE">
          <w:rPr>
            <w:rStyle w:val="Hyperlink"/>
            <w:noProof/>
          </w:rPr>
          <w:t xml:space="preserve"> pour les principaux secteurs contributeurs (en ktCO</w:t>
        </w:r>
        <w:r w:rsidR="00AB7D85" w:rsidRPr="005B54EE">
          <w:rPr>
            <w:rStyle w:val="Hyperlink"/>
            <w:noProof/>
            <w:vertAlign w:val="subscript"/>
          </w:rPr>
          <w:t>2e</w:t>
        </w:r>
        <w:r w:rsidR="00AB7D85" w:rsidRPr="005B54EE">
          <w:rPr>
            <w:rStyle w:val="Hyperlink"/>
            <w:noProof/>
          </w:rPr>
          <w:t>) de 1990 à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_Toc124153761 \h </w:instrText>
        </w:r>
        <w:r w:rsidR="00AB7D85" w:rsidRPr="005B54EE">
          <w:rPr>
            <w:noProof/>
            <w:webHidden/>
          </w:rPr>
        </w:r>
        <w:r w:rsidR="00AB7D85" w:rsidRPr="005B54EE">
          <w:rPr>
            <w:noProof/>
            <w:webHidden/>
          </w:rPr>
          <w:fldChar w:fldCharType="separate"/>
        </w:r>
        <w:r w:rsidR="005B1C45">
          <w:rPr>
            <w:noProof/>
            <w:webHidden/>
          </w:rPr>
          <w:t>13</w:t>
        </w:r>
        <w:r w:rsidR="00AB7D85" w:rsidRPr="005B54EE">
          <w:rPr>
            <w:noProof/>
            <w:webHidden/>
          </w:rPr>
          <w:fldChar w:fldCharType="end"/>
        </w:r>
      </w:hyperlink>
    </w:p>
    <w:p w14:paraId="7E60A692" w14:textId="6B7DDC73" w:rsidR="00AB7D85" w:rsidRPr="005B54EE" w:rsidRDefault="00C73940">
      <w:pPr>
        <w:pStyle w:val="TableofFigures"/>
        <w:tabs>
          <w:tab w:val="right" w:leader="dot" w:pos="9854"/>
        </w:tabs>
        <w:rPr>
          <w:rFonts w:eastAsiaTheme="minorEastAsia" w:cstheme="minorBidi"/>
          <w:i w:val="0"/>
          <w:noProof/>
          <w:sz w:val="22"/>
        </w:rPr>
      </w:pPr>
      <w:hyperlink w:anchor="_Toc124153762" w:history="1">
        <w:r w:rsidR="00AB7D85" w:rsidRPr="005B54EE">
          <w:rPr>
            <w:rStyle w:val="Hyperlink"/>
            <w:noProof/>
          </w:rPr>
          <w:t>Figure 7</w:t>
        </w:r>
        <w:r w:rsidR="00AB7D85" w:rsidRPr="005B54EE">
          <w:rPr>
            <w:rStyle w:val="Hyperlink"/>
            <w:rFonts w:ascii="Calibri" w:hAnsi="Calibri" w:cs="Calibri"/>
            <w:noProof/>
          </w:rPr>
          <w:t> </w:t>
        </w:r>
        <w:r w:rsidR="00AB7D85" w:rsidRPr="005B54EE">
          <w:rPr>
            <w:rStyle w:val="Hyperlink"/>
            <w:noProof/>
          </w:rPr>
          <w:t xml:space="preserve">: Evolution des </w:t>
        </w:r>
        <w:r w:rsidR="00AB7D85" w:rsidRPr="005B54EE">
          <w:rPr>
            <w:rStyle w:val="Hyperlink"/>
            <w:rFonts w:ascii="Marianne" w:hAnsi="Marianne" w:cs="Marianne"/>
            <w:noProof/>
          </w:rPr>
          <w:t>é</w:t>
        </w:r>
        <w:r w:rsidR="00AB7D85" w:rsidRPr="005B54EE">
          <w:rPr>
            <w:rStyle w:val="Hyperlink"/>
            <w:noProof/>
          </w:rPr>
          <w:t>missions de N</w:t>
        </w:r>
        <w:r w:rsidR="00AB7D85" w:rsidRPr="005B54EE">
          <w:rPr>
            <w:rStyle w:val="Hyperlink"/>
            <w:noProof/>
            <w:vertAlign w:val="subscript"/>
          </w:rPr>
          <w:t>2</w:t>
        </w:r>
        <w:r w:rsidR="00AB7D85" w:rsidRPr="005B54EE">
          <w:rPr>
            <w:rStyle w:val="Hyperlink"/>
            <w:noProof/>
          </w:rPr>
          <w:t>O pour les principaux secteurs contributeurs (en ktCO</w:t>
        </w:r>
        <w:r w:rsidR="00AB7D85" w:rsidRPr="005B54EE">
          <w:rPr>
            <w:rStyle w:val="Hyperlink"/>
            <w:noProof/>
            <w:vertAlign w:val="subscript"/>
          </w:rPr>
          <w:t>2e</w:t>
        </w:r>
        <w:r w:rsidR="00AB7D85" w:rsidRPr="005B54EE">
          <w:rPr>
            <w:rStyle w:val="Hyperlink"/>
            <w:noProof/>
          </w:rPr>
          <w:t>) de 1990 à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_Toc124153762 \h </w:instrText>
        </w:r>
        <w:r w:rsidR="00AB7D85" w:rsidRPr="005B54EE">
          <w:rPr>
            <w:noProof/>
            <w:webHidden/>
          </w:rPr>
        </w:r>
        <w:r w:rsidR="00AB7D85" w:rsidRPr="005B54EE">
          <w:rPr>
            <w:noProof/>
            <w:webHidden/>
          </w:rPr>
          <w:fldChar w:fldCharType="separate"/>
        </w:r>
        <w:r w:rsidR="005B1C45">
          <w:rPr>
            <w:noProof/>
            <w:webHidden/>
          </w:rPr>
          <w:t>14</w:t>
        </w:r>
        <w:r w:rsidR="00AB7D85" w:rsidRPr="005B54EE">
          <w:rPr>
            <w:noProof/>
            <w:webHidden/>
          </w:rPr>
          <w:fldChar w:fldCharType="end"/>
        </w:r>
      </w:hyperlink>
    </w:p>
    <w:p w14:paraId="5CE31D2F" w14:textId="6544EFEA" w:rsidR="00AB7D85" w:rsidRPr="005B54EE" w:rsidRDefault="00C73940">
      <w:pPr>
        <w:pStyle w:val="TableofFigures"/>
        <w:tabs>
          <w:tab w:val="right" w:leader="dot" w:pos="9854"/>
        </w:tabs>
        <w:rPr>
          <w:rFonts w:eastAsiaTheme="minorEastAsia" w:cstheme="minorBidi"/>
          <w:i w:val="0"/>
          <w:noProof/>
          <w:sz w:val="22"/>
        </w:rPr>
      </w:pPr>
      <w:hyperlink w:anchor="_Toc124153763" w:history="1">
        <w:r w:rsidR="00AB7D85" w:rsidRPr="005B54EE">
          <w:rPr>
            <w:rStyle w:val="Hyperlink"/>
            <w:noProof/>
          </w:rPr>
          <w:t>Figure 8</w:t>
        </w:r>
        <w:r w:rsidR="00AB7D85" w:rsidRPr="005B54EE">
          <w:rPr>
            <w:rStyle w:val="Hyperlink"/>
            <w:rFonts w:ascii="Calibri" w:hAnsi="Calibri" w:cs="Calibri"/>
            <w:noProof/>
          </w:rPr>
          <w:t> </w:t>
        </w:r>
        <w:r w:rsidR="00AB7D85" w:rsidRPr="005B54EE">
          <w:rPr>
            <w:rStyle w:val="Hyperlink"/>
            <w:noProof/>
          </w:rPr>
          <w:t xml:space="preserve">: Evolution des </w:t>
        </w:r>
        <w:r w:rsidR="00AB7D85" w:rsidRPr="005B54EE">
          <w:rPr>
            <w:rStyle w:val="Hyperlink"/>
            <w:rFonts w:ascii="Marianne" w:hAnsi="Marianne" w:cs="Marianne"/>
            <w:noProof/>
          </w:rPr>
          <w:t>é</w:t>
        </w:r>
        <w:r w:rsidR="00AB7D85" w:rsidRPr="005B54EE">
          <w:rPr>
            <w:rStyle w:val="Hyperlink"/>
            <w:noProof/>
          </w:rPr>
          <w:t>missions de gaz fluor</w:t>
        </w:r>
        <w:r w:rsidR="00AB7D85" w:rsidRPr="005B54EE">
          <w:rPr>
            <w:rStyle w:val="Hyperlink"/>
            <w:rFonts w:ascii="Marianne" w:hAnsi="Marianne" w:cs="Marianne"/>
            <w:noProof/>
          </w:rPr>
          <w:t>é</w:t>
        </w:r>
        <w:r w:rsidR="00AB7D85" w:rsidRPr="005B54EE">
          <w:rPr>
            <w:rStyle w:val="Hyperlink"/>
            <w:noProof/>
          </w:rPr>
          <w:t>s (en ktCO</w:t>
        </w:r>
        <w:r w:rsidR="00AB7D85" w:rsidRPr="005B54EE">
          <w:rPr>
            <w:rStyle w:val="Hyperlink"/>
            <w:noProof/>
            <w:vertAlign w:val="subscript"/>
          </w:rPr>
          <w:t>2e</w:t>
        </w:r>
        <w:r w:rsidR="00AB7D85" w:rsidRPr="005B54EE">
          <w:rPr>
            <w:rStyle w:val="Hyperlink"/>
            <w:noProof/>
          </w:rPr>
          <w:t>) de 1990 à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_Toc124153763 \h </w:instrText>
        </w:r>
        <w:r w:rsidR="00AB7D85" w:rsidRPr="005B54EE">
          <w:rPr>
            <w:noProof/>
            <w:webHidden/>
          </w:rPr>
        </w:r>
        <w:r w:rsidR="00AB7D85" w:rsidRPr="005B54EE">
          <w:rPr>
            <w:noProof/>
            <w:webHidden/>
          </w:rPr>
          <w:fldChar w:fldCharType="separate"/>
        </w:r>
        <w:r w:rsidR="005B1C45">
          <w:rPr>
            <w:noProof/>
            <w:webHidden/>
          </w:rPr>
          <w:t>15</w:t>
        </w:r>
        <w:r w:rsidR="00AB7D85" w:rsidRPr="005B54EE">
          <w:rPr>
            <w:noProof/>
            <w:webHidden/>
          </w:rPr>
          <w:fldChar w:fldCharType="end"/>
        </w:r>
      </w:hyperlink>
    </w:p>
    <w:p w14:paraId="0FE36E84" w14:textId="535F42EC" w:rsidR="00AB7D85" w:rsidRPr="005B54EE" w:rsidRDefault="00C73940">
      <w:pPr>
        <w:pStyle w:val="TableofFigures"/>
        <w:tabs>
          <w:tab w:val="right" w:leader="dot" w:pos="9854"/>
        </w:tabs>
        <w:rPr>
          <w:rFonts w:eastAsiaTheme="minorEastAsia" w:cstheme="minorBidi"/>
          <w:i w:val="0"/>
          <w:noProof/>
          <w:sz w:val="22"/>
        </w:rPr>
      </w:pPr>
      <w:hyperlink w:anchor="_Toc124153764" w:history="1">
        <w:r w:rsidR="00AB7D85" w:rsidRPr="005B54EE">
          <w:rPr>
            <w:rStyle w:val="Hyperlink"/>
            <w:noProof/>
          </w:rPr>
          <w:t>Figure 9</w:t>
        </w:r>
        <w:r w:rsidR="00AB7D85" w:rsidRPr="005B54EE">
          <w:rPr>
            <w:rStyle w:val="Hyperlink"/>
            <w:rFonts w:ascii="Calibri" w:hAnsi="Calibri" w:cs="Calibri"/>
            <w:noProof/>
          </w:rPr>
          <w:t> </w:t>
        </w:r>
        <w:r w:rsidR="00AB7D85" w:rsidRPr="005B54EE">
          <w:rPr>
            <w:rStyle w:val="Hyperlink"/>
            <w:noProof/>
          </w:rPr>
          <w:t xml:space="preserve">: Evolution historique des </w:t>
        </w:r>
        <w:r w:rsidR="00AB7D85" w:rsidRPr="005B54EE">
          <w:rPr>
            <w:rStyle w:val="Hyperlink"/>
            <w:rFonts w:ascii="Marianne" w:hAnsi="Marianne" w:cs="Marianne"/>
            <w:noProof/>
          </w:rPr>
          <w:t>é</w:t>
        </w:r>
        <w:r w:rsidR="00AB7D85" w:rsidRPr="005B54EE">
          <w:rPr>
            <w:rStyle w:val="Hyperlink"/>
            <w:noProof/>
          </w:rPr>
          <w:t>missions de GES hors secteur des terres et budgets carbone jusqu</w:t>
        </w:r>
        <w:r w:rsidR="00AB7D85" w:rsidRPr="005B54EE">
          <w:rPr>
            <w:rStyle w:val="Hyperlink"/>
            <w:rFonts w:ascii="Marianne" w:hAnsi="Marianne" w:cs="Marianne"/>
            <w:noProof/>
          </w:rPr>
          <w:t>’à</w:t>
        </w:r>
        <w:r w:rsidR="00AB7D85" w:rsidRPr="005B54EE">
          <w:rPr>
            <w:rStyle w:val="Hyperlink"/>
            <w:noProof/>
          </w:rPr>
          <w:t xml:space="preserve"> 2033</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_Toc124153764 \h </w:instrText>
        </w:r>
        <w:r w:rsidR="00AB7D85" w:rsidRPr="005B54EE">
          <w:rPr>
            <w:noProof/>
            <w:webHidden/>
          </w:rPr>
        </w:r>
        <w:r w:rsidR="00AB7D85" w:rsidRPr="005B54EE">
          <w:rPr>
            <w:noProof/>
            <w:webHidden/>
          </w:rPr>
          <w:fldChar w:fldCharType="separate"/>
        </w:r>
        <w:r w:rsidR="005B1C45">
          <w:rPr>
            <w:noProof/>
            <w:webHidden/>
          </w:rPr>
          <w:t>19</w:t>
        </w:r>
        <w:r w:rsidR="00AB7D85" w:rsidRPr="005B54EE">
          <w:rPr>
            <w:noProof/>
            <w:webHidden/>
          </w:rPr>
          <w:fldChar w:fldCharType="end"/>
        </w:r>
      </w:hyperlink>
    </w:p>
    <w:p w14:paraId="23137AA6" w14:textId="2CC2B5A7" w:rsidR="00AB7D85" w:rsidRPr="005B54EE" w:rsidRDefault="00C73940">
      <w:pPr>
        <w:pStyle w:val="TableofFigures"/>
        <w:tabs>
          <w:tab w:val="right" w:leader="dot" w:pos="9854"/>
        </w:tabs>
        <w:rPr>
          <w:rFonts w:eastAsiaTheme="minorEastAsia" w:cstheme="minorBidi"/>
          <w:i w:val="0"/>
          <w:noProof/>
          <w:sz w:val="22"/>
        </w:rPr>
      </w:pPr>
      <w:hyperlink w:anchor="_Toc124153765" w:history="1">
        <w:r w:rsidR="00AB7D85" w:rsidRPr="005B54EE">
          <w:rPr>
            <w:rStyle w:val="Hyperlink"/>
            <w:noProof/>
          </w:rPr>
          <w:t>Figure 10 : Trajectoire linéaire de réduction d’émissions pour atteindre la neutralité en 2050 et budgets carbone associés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_Toc124153765 \h </w:instrText>
        </w:r>
        <w:r w:rsidR="00AB7D85" w:rsidRPr="005B54EE">
          <w:rPr>
            <w:noProof/>
            <w:webHidden/>
          </w:rPr>
        </w:r>
        <w:r w:rsidR="00AB7D85" w:rsidRPr="005B54EE">
          <w:rPr>
            <w:noProof/>
            <w:webHidden/>
          </w:rPr>
          <w:fldChar w:fldCharType="separate"/>
        </w:r>
        <w:r w:rsidR="005B1C45">
          <w:rPr>
            <w:noProof/>
            <w:webHidden/>
          </w:rPr>
          <w:t>19</w:t>
        </w:r>
        <w:r w:rsidR="00AB7D85" w:rsidRPr="005B54EE">
          <w:rPr>
            <w:noProof/>
            <w:webHidden/>
          </w:rPr>
          <w:fldChar w:fldCharType="end"/>
        </w:r>
      </w:hyperlink>
    </w:p>
    <w:p w14:paraId="3D54EABA" w14:textId="02E0D53A" w:rsidR="00AB7D85" w:rsidRPr="005B54EE" w:rsidRDefault="00C73940">
      <w:pPr>
        <w:pStyle w:val="TableofFigures"/>
        <w:tabs>
          <w:tab w:val="right" w:leader="dot" w:pos="9854"/>
        </w:tabs>
        <w:rPr>
          <w:rFonts w:eastAsiaTheme="minorEastAsia" w:cstheme="minorBidi"/>
          <w:i w:val="0"/>
          <w:noProof/>
          <w:sz w:val="22"/>
        </w:rPr>
      </w:pPr>
      <w:hyperlink w:anchor="_Toc124153766" w:history="1">
        <w:r w:rsidR="00AB7D85" w:rsidRPr="005B54EE">
          <w:rPr>
            <w:rStyle w:val="Hyperlink"/>
            <w:noProof/>
          </w:rPr>
          <w:t>Figure 11</w:t>
        </w:r>
        <w:r w:rsidR="00AB7D85" w:rsidRPr="005B54EE">
          <w:rPr>
            <w:rStyle w:val="Hyperlink"/>
            <w:rFonts w:ascii="Calibri" w:hAnsi="Calibri" w:cs="Calibri"/>
            <w:noProof/>
          </w:rPr>
          <w:t> </w:t>
        </w:r>
        <w:r w:rsidR="00AB7D85" w:rsidRPr="005B54EE">
          <w:rPr>
            <w:rStyle w:val="Hyperlink"/>
            <w:noProof/>
          </w:rPr>
          <w:t xml:space="preserve">: </w:t>
        </w:r>
        <w:r w:rsidR="00AB7D85" w:rsidRPr="005B54EE">
          <w:rPr>
            <w:rStyle w:val="Hyperlink"/>
            <w:rFonts w:eastAsiaTheme="minorHAnsi"/>
            <w:noProof/>
          </w:rPr>
          <w:t>Evolution des ventes de voitures électriques (VE) et hybrides rechargeables (VHR)</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_Toc124153766 \h </w:instrText>
        </w:r>
        <w:r w:rsidR="00AB7D85" w:rsidRPr="005B54EE">
          <w:rPr>
            <w:noProof/>
            <w:webHidden/>
          </w:rPr>
        </w:r>
        <w:r w:rsidR="00AB7D85" w:rsidRPr="005B54EE">
          <w:rPr>
            <w:noProof/>
            <w:webHidden/>
          </w:rPr>
          <w:fldChar w:fldCharType="separate"/>
        </w:r>
        <w:r w:rsidR="005B1C45">
          <w:rPr>
            <w:noProof/>
            <w:webHidden/>
          </w:rPr>
          <w:t>39</w:t>
        </w:r>
        <w:r w:rsidR="00AB7D85" w:rsidRPr="005B54EE">
          <w:rPr>
            <w:noProof/>
            <w:webHidden/>
          </w:rPr>
          <w:fldChar w:fldCharType="end"/>
        </w:r>
      </w:hyperlink>
    </w:p>
    <w:p w14:paraId="7DBDB2CA" w14:textId="4961FF37" w:rsidR="00AB7D85" w:rsidRPr="005B54EE" w:rsidRDefault="00C73940">
      <w:pPr>
        <w:pStyle w:val="TableofFigures"/>
        <w:tabs>
          <w:tab w:val="right" w:leader="dot" w:pos="9854"/>
        </w:tabs>
        <w:rPr>
          <w:rFonts w:eastAsiaTheme="minorEastAsia" w:cstheme="minorBidi"/>
          <w:i w:val="0"/>
          <w:noProof/>
          <w:sz w:val="22"/>
        </w:rPr>
      </w:pPr>
      <w:hyperlink w:anchor="_Toc124153767" w:history="1">
        <w:r w:rsidR="00AB7D85" w:rsidRPr="005B54EE">
          <w:rPr>
            <w:rStyle w:val="Hyperlink"/>
            <w:noProof/>
          </w:rPr>
          <w:t>Figure 12</w:t>
        </w:r>
        <w:r w:rsidR="00AB7D85" w:rsidRPr="005B54EE">
          <w:rPr>
            <w:rStyle w:val="Hyperlink"/>
            <w:rFonts w:ascii="Calibri" w:hAnsi="Calibri" w:cs="Calibri"/>
            <w:noProof/>
          </w:rPr>
          <w:t> </w:t>
        </w:r>
        <w:r w:rsidR="00AB7D85" w:rsidRPr="005B54EE">
          <w:rPr>
            <w:rStyle w:val="Hyperlink"/>
            <w:noProof/>
          </w:rPr>
          <w:t xml:space="preserve">: Comparaison des </w:t>
        </w:r>
        <w:r w:rsidR="00AB7D85" w:rsidRPr="005B54EE">
          <w:rPr>
            <w:rStyle w:val="Hyperlink"/>
            <w:rFonts w:ascii="Marianne" w:hAnsi="Marianne" w:cs="Marianne"/>
            <w:noProof/>
          </w:rPr>
          <w:t>é</w:t>
        </w:r>
        <w:r w:rsidR="00AB7D85" w:rsidRPr="005B54EE">
          <w:rPr>
            <w:rStyle w:val="Hyperlink"/>
            <w:noProof/>
          </w:rPr>
          <w:t>missions en 2030 entre l’AME 2021 et l’AMS 2018 et effet des différents facteurs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_Toc124153767 \h </w:instrText>
        </w:r>
        <w:r w:rsidR="00AB7D85" w:rsidRPr="005B54EE">
          <w:rPr>
            <w:noProof/>
            <w:webHidden/>
          </w:rPr>
        </w:r>
        <w:r w:rsidR="00AB7D85" w:rsidRPr="005B54EE">
          <w:rPr>
            <w:noProof/>
            <w:webHidden/>
          </w:rPr>
          <w:fldChar w:fldCharType="separate"/>
        </w:r>
        <w:r w:rsidR="005B1C45">
          <w:rPr>
            <w:noProof/>
            <w:webHidden/>
          </w:rPr>
          <w:t>83</w:t>
        </w:r>
        <w:r w:rsidR="00AB7D85" w:rsidRPr="005B54EE">
          <w:rPr>
            <w:noProof/>
            <w:webHidden/>
          </w:rPr>
          <w:fldChar w:fldCharType="end"/>
        </w:r>
      </w:hyperlink>
    </w:p>
    <w:p w14:paraId="7180EBB0" w14:textId="4B5C80FC" w:rsidR="00AB7D85" w:rsidRPr="005B54EE" w:rsidRDefault="00C73940">
      <w:pPr>
        <w:pStyle w:val="TableofFigures"/>
        <w:tabs>
          <w:tab w:val="right" w:leader="dot" w:pos="9854"/>
        </w:tabs>
        <w:rPr>
          <w:rFonts w:eastAsiaTheme="minorEastAsia" w:cstheme="minorBidi"/>
          <w:i w:val="0"/>
          <w:noProof/>
          <w:sz w:val="22"/>
        </w:rPr>
      </w:pPr>
      <w:hyperlink w:anchor="_Toc124153768" w:history="1">
        <w:r w:rsidR="00AB7D85" w:rsidRPr="005B54EE">
          <w:rPr>
            <w:rStyle w:val="Hyperlink"/>
            <w:noProof/>
          </w:rPr>
          <w:t>Figure 13</w:t>
        </w:r>
        <w:r w:rsidR="00AB7D85" w:rsidRPr="005B54EE">
          <w:rPr>
            <w:rStyle w:val="Hyperlink"/>
            <w:rFonts w:ascii="Calibri" w:hAnsi="Calibri" w:cs="Calibri"/>
            <w:noProof/>
          </w:rPr>
          <w:t> </w:t>
        </w:r>
        <w:r w:rsidR="00AB7D85" w:rsidRPr="005B54EE">
          <w:rPr>
            <w:rStyle w:val="Hyperlink"/>
            <w:noProof/>
          </w:rPr>
          <w:t xml:space="preserve">: Comparaison des </w:t>
        </w:r>
        <w:r w:rsidR="00AB7D85" w:rsidRPr="005B54EE">
          <w:rPr>
            <w:rStyle w:val="Hyperlink"/>
            <w:rFonts w:ascii="Marianne" w:hAnsi="Marianne" w:cs="Marianne"/>
            <w:noProof/>
          </w:rPr>
          <w:t>é</w:t>
        </w:r>
        <w:r w:rsidR="00AB7D85" w:rsidRPr="005B54EE">
          <w:rPr>
            <w:rStyle w:val="Hyperlink"/>
            <w:noProof/>
          </w:rPr>
          <w:t>missions en 2050 entre l</w:t>
        </w:r>
        <w:r w:rsidR="00AB7D85" w:rsidRPr="005B54EE">
          <w:rPr>
            <w:rStyle w:val="Hyperlink"/>
            <w:rFonts w:ascii="Marianne" w:hAnsi="Marianne" w:cs="Marianne"/>
            <w:noProof/>
          </w:rPr>
          <w:t>’</w:t>
        </w:r>
        <w:r w:rsidR="00AB7D85" w:rsidRPr="005B54EE">
          <w:rPr>
            <w:rStyle w:val="Hyperlink"/>
            <w:noProof/>
          </w:rPr>
          <w:t>AME 2021 et l</w:t>
        </w:r>
        <w:r w:rsidR="00AB7D85" w:rsidRPr="005B54EE">
          <w:rPr>
            <w:rStyle w:val="Hyperlink"/>
            <w:rFonts w:ascii="Marianne" w:hAnsi="Marianne" w:cs="Marianne"/>
            <w:noProof/>
          </w:rPr>
          <w:t>’</w:t>
        </w:r>
        <w:r w:rsidR="00AB7D85" w:rsidRPr="005B54EE">
          <w:rPr>
            <w:rStyle w:val="Hyperlink"/>
            <w:noProof/>
          </w:rPr>
          <w:t>AMS 2018 et effet des différents facteurs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_Toc124153768 \h </w:instrText>
        </w:r>
        <w:r w:rsidR="00AB7D85" w:rsidRPr="005B54EE">
          <w:rPr>
            <w:noProof/>
            <w:webHidden/>
          </w:rPr>
        </w:r>
        <w:r w:rsidR="00AB7D85" w:rsidRPr="005B54EE">
          <w:rPr>
            <w:noProof/>
            <w:webHidden/>
          </w:rPr>
          <w:fldChar w:fldCharType="separate"/>
        </w:r>
        <w:r w:rsidR="005B1C45">
          <w:rPr>
            <w:noProof/>
            <w:webHidden/>
          </w:rPr>
          <w:t>83</w:t>
        </w:r>
        <w:r w:rsidR="00AB7D85" w:rsidRPr="005B54EE">
          <w:rPr>
            <w:noProof/>
            <w:webHidden/>
          </w:rPr>
          <w:fldChar w:fldCharType="end"/>
        </w:r>
      </w:hyperlink>
    </w:p>
    <w:p w14:paraId="79DEA5F6" w14:textId="74BC7E58" w:rsidR="00AB7D85" w:rsidRPr="005B54EE" w:rsidRDefault="00C73940">
      <w:pPr>
        <w:pStyle w:val="TableofFigures"/>
        <w:tabs>
          <w:tab w:val="right" w:leader="dot" w:pos="9854"/>
        </w:tabs>
        <w:rPr>
          <w:rFonts w:eastAsiaTheme="minorEastAsia" w:cstheme="minorBidi"/>
          <w:i w:val="0"/>
          <w:noProof/>
          <w:sz w:val="22"/>
        </w:rPr>
      </w:pPr>
      <w:hyperlink w:anchor="_Toc124153769" w:history="1">
        <w:r w:rsidR="00AB7D85" w:rsidRPr="005B54EE">
          <w:rPr>
            <w:rStyle w:val="Hyperlink"/>
            <w:noProof/>
          </w:rPr>
          <w:t>Figure 14</w:t>
        </w:r>
        <w:r w:rsidR="00AB7D85" w:rsidRPr="005B54EE">
          <w:rPr>
            <w:rStyle w:val="Hyperlink"/>
            <w:rFonts w:ascii="Calibri" w:hAnsi="Calibri" w:cs="Calibri"/>
            <w:noProof/>
          </w:rPr>
          <w:t> </w:t>
        </w:r>
        <w:r w:rsidR="00AB7D85" w:rsidRPr="005B54EE">
          <w:rPr>
            <w:rStyle w:val="Hyperlink"/>
            <w:noProof/>
          </w:rPr>
          <w:t xml:space="preserve">: Trajectoire des </w:t>
        </w:r>
        <w:r w:rsidR="00AB7D85" w:rsidRPr="005B54EE">
          <w:rPr>
            <w:rStyle w:val="Hyperlink"/>
            <w:rFonts w:ascii="Marianne" w:hAnsi="Marianne" w:cs="Marianne"/>
            <w:noProof/>
          </w:rPr>
          <w:t>é</w:t>
        </w:r>
        <w:r w:rsidR="00AB7D85" w:rsidRPr="005B54EE">
          <w:rPr>
            <w:rStyle w:val="Hyperlink"/>
            <w:noProof/>
          </w:rPr>
          <w:t>missions hors UTCATF jusqu</w:t>
        </w:r>
        <w:r w:rsidR="00AB7D85" w:rsidRPr="005B54EE">
          <w:rPr>
            <w:rStyle w:val="Hyperlink"/>
            <w:rFonts w:ascii="Marianne" w:hAnsi="Marianne" w:cs="Marianne"/>
            <w:noProof/>
          </w:rPr>
          <w:t>’à</w:t>
        </w:r>
        <w:r w:rsidR="00AB7D85" w:rsidRPr="005B54EE">
          <w:rPr>
            <w:rStyle w:val="Hyperlink"/>
            <w:noProof/>
          </w:rPr>
          <w:t xml:space="preserve"> 2050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_Toc124153769 \h </w:instrText>
        </w:r>
        <w:r w:rsidR="00AB7D85" w:rsidRPr="005B54EE">
          <w:rPr>
            <w:noProof/>
            <w:webHidden/>
          </w:rPr>
        </w:r>
        <w:r w:rsidR="00AB7D85" w:rsidRPr="005B54EE">
          <w:rPr>
            <w:noProof/>
            <w:webHidden/>
          </w:rPr>
          <w:fldChar w:fldCharType="separate"/>
        </w:r>
        <w:r w:rsidR="005B1C45">
          <w:rPr>
            <w:noProof/>
            <w:webHidden/>
          </w:rPr>
          <w:t>85</w:t>
        </w:r>
        <w:r w:rsidR="00AB7D85" w:rsidRPr="005B54EE">
          <w:rPr>
            <w:noProof/>
            <w:webHidden/>
          </w:rPr>
          <w:fldChar w:fldCharType="end"/>
        </w:r>
      </w:hyperlink>
    </w:p>
    <w:p w14:paraId="6D91C547" w14:textId="2623F11E" w:rsidR="00AB7D85" w:rsidRPr="005B54EE" w:rsidRDefault="00C73940">
      <w:pPr>
        <w:pStyle w:val="TableofFigures"/>
        <w:tabs>
          <w:tab w:val="right" w:leader="dot" w:pos="9854"/>
        </w:tabs>
        <w:rPr>
          <w:rFonts w:eastAsiaTheme="minorEastAsia" w:cstheme="minorBidi"/>
          <w:i w:val="0"/>
          <w:noProof/>
          <w:sz w:val="22"/>
        </w:rPr>
      </w:pPr>
      <w:hyperlink w:anchor="_Toc124153770" w:history="1">
        <w:r w:rsidR="00AB7D85" w:rsidRPr="005B54EE">
          <w:rPr>
            <w:rStyle w:val="Hyperlink"/>
            <w:noProof/>
          </w:rPr>
          <w:t>Figure 15</w:t>
        </w:r>
        <w:r w:rsidR="00AB7D85" w:rsidRPr="005B54EE">
          <w:rPr>
            <w:rStyle w:val="Hyperlink"/>
            <w:rFonts w:ascii="Calibri" w:hAnsi="Calibri" w:cs="Calibri"/>
            <w:noProof/>
          </w:rPr>
          <w:t> </w:t>
        </w:r>
        <w:r w:rsidR="00AB7D85" w:rsidRPr="005B54EE">
          <w:rPr>
            <w:rStyle w:val="Hyperlink"/>
            <w:noProof/>
          </w:rPr>
          <w:t xml:space="preserve">: Trajectoire des </w:t>
        </w:r>
        <w:r w:rsidR="00AB7D85" w:rsidRPr="005B54EE">
          <w:rPr>
            <w:rStyle w:val="Hyperlink"/>
            <w:rFonts w:ascii="Marianne" w:hAnsi="Marianne" w:cs="Marianne"/>
            <w:noProof/>
          </w:rPr>
          <w:t>é</w:t>
        </w:r>
        <w:r w:rsidR="00AB7D85" w:rsidRPr="005B54EE">
          <w:rPr>
            <w:rStyle w:val="Hyperlink"/>
            <w:noProof/>
          </w:rPr>
          <w:t>missions avec UTCATF jusqu</w:t>
        </w:r>
        <w:r w:rsidR="00AB7D85" w:rsidRPr="005B54EE">
          <w:rPr>
            <w:rStyle w:val="Hyperlink"/>
            <w:rFonts w:ascii="Marianne" w:hAnsi="Marianne" w:cs="Marianne"/>
            <w:noProof/>
          </w:rPr>
          <w:t>’à</w:t>
        </w:r>
        <w:r w:rsidR="00AB7D85" w:rsidRPr="005B54EE">
          <w:rPr>
            <w:rStyle w:val="Hyperlink"/>
            <w:noProof/>
          </w:rPr>
          <w:t xml:space="preserve"> 2050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_Toc124153770 \h </w:instrText>
        </w:r>
        <w:r w:rsidR="00AB7D85" w:rsidRPr="005B54EE">
          <w:rPr>
            <w:noProof/>
            <w:webHidden/>
          </w:rPr>
        </w:r>
        <w:r w:rsidR="00AB7D85" w:rsidRPr="005B54EE">
          <w:rPr>
            <w:noProof/>
            <w:webHidden/>
          </w:rPr>
          <w:fldChar w:fldCharType="separate"/>
        </w:r>
        <w:r w:rsidR="005B1C45">
          <w:rPr>
            <w:noProof/>
            <w:webHidden/>
          </w:rPr>
          <w:t>85</w:t>
        </w:r>
        <w:r w:rsidR="00AB7D85" w:rsidRPr="005B54EE">
          <w:rPr>
            <w:noProof/>
            <w:webHidden/>
          </w:rPr>
          <w:fldChar w:fldCharType="end"/>
        </w:r>
      </w:hyperlink>
    </w:p>
    <w:p w14:paraId="0C4A18D3" w14:textId="4B107356" w:rsidR="00AB7D85" w:rsidRPr="005B54EE" w:rsidRDefault="00C73940">
      <w:pPr>
        <w:pStyle w:val="TableofFigures"/>
        <w:tabs>
          <w:tab w:val="right" w:leader="dot" w:pos="9854"/>
        </w:tabs>
        <w:rPr>
          <w:rFonts w:eastAsiaTheme="minorEastAsia" w:cstheme="minorBidi"/>
          <w:i w:val="0"/>
          <w:noProof/>
          <w:sz w:val="22"/>
        </w:rPr>
      </w:pPr>
      <w:hyperlink w:anchor="_Toc124153771" w:history="1">
        <w:r w:rsidR="00AB7D85" w:rsidRPr="005B54EE">
          <w:rPr>
            <w:rStyle w:val="Hyperlink"/>
            <w:noProof/>
          </w:rPr>
          <w:t>Figure 16</w:t>
        </w:r>
        <w:r w:rsidR="00AB7D85" w:rsidRPr="005B54EE">
          <w:rPr>
            <w:rStyle w:val="Hyperlink"/>
            <w:rFonts w:ascii="Calibri" w:hAnsi="Calibri" w:cs="Calibri"/>
            <w:noProof/>
          </w:rPr>
          <w:t> </w:t>
        </w:r>
        <w:r w:rsidR="00AB7D85" w:rsidRPr="005B54EE">
          <w:rPr>
            <w:rStyle w:val="Hyperlink"/>
            <w:noProof/>
          </w:rPr>
          <w:t>: Projection par secteur en ktCO</w:t>
        </w:r>
        <w:r w:rsidR="00AB7D85" w:rsidRPr="005B54EE">
          <w:rPr>
            <w:rStyle w:val="Hyperlink"/>
            <w:noProof/>
            <w:vertAlign w:val="subscript"/>
          </w:rPr>
          <w:t>2e</w:t>
        </w:r>
        <w:r w:rsidR="00AB7D85" w:rsidRPr="005B54EE">
          <w:rPr>
            <w:rStyle w:val="Hyperlink"/>
            <w:noProof/>
          </w:rPr>
          <w:t>, au format Kyoto, scénario AME</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_Toc124153771 \h </w:instrText>
        </w:r>
        <w:r w:rsidR="00AB7D85" w:rsidRPr="005B54EE">
          <w:rPr>
            <w:noProof/>
            <w:webHidden/>
          </w:rPr>
        </w:r>
        <w:r w:rsidR="00AB7D85" w:rsidRPr="005B54EE">
          <w:rPr>
            <w:noProof/>
            <w:webHidden/>
          </w:rPr>
          <w:fldChar w:fldCharType="separate"/>
        </w:r>
        <w:r w:rsidR="005B1C45">
          <w:rPr>
            <w:noProof/>
            <w:webHidden/>
          </w:rPr>
          <w:t>87</w:t>
        </w:r>
        <w:r w:rsidR="00AB7D85" w:rsidRPr="005B54EE">
          <w:rPr>
            <w:noProof/>
            <w:webHidden/>
          </w:rPr>
          <w:fldChar w:fldCharType="end"/>
        </w:r>
      </w:hyperlink>
    </w:p>
    <w:p w14:paraId="11A71D03" w14:textId="26C4B140" w:rsidR="00AB7D85" w:rsidRPr="005B54EE" w:rsidRDefault="00C73940">
      <w:pPr>
        <w:pStyle w:val="TableofFigures"/>
        <w:tabs>
          <w:tab w:val="right" w:leader="dot" w:pos="9854"/>
        </w:tabs>
        <w:rPr>
          <w:rFonts w:eastAsiaTheme="minorEastAsia" w:cstheme="minorBidi"/>
          <w:i w:val="0"/>
          <w:noProof/>
          <w:sz w:val="22"/>
        </w:rPr>
      </w:pPr>
      <w:hyperlink w:anchor="_Toc124153772" w:history="1">
        <w:r w:rsidR="00AB7D85" w:rsidRPr="005B54EE">
          <w:rPr>
            <w:rStyle w:val="Hyperlink"/>
            <w:noProof/>
          </w:rPr>
          <w:t>Figure 17</w:t>
        </w:r>
        <w:r w:rsidR="00AB7D85" w:rsidRPr="005B54EE">
          <w:rPr>
            <w:rStyle w:val="Hyperlink"/>
            <w:rFonts w:ascii="Calibri" w:hAnsi="Calibri" w:cs="Calibri"/>
            <w:noProof/>
          </w:rPr>
          <w:t> </w:t>
        </w:r>
        <w:r w:rsidR="00AB7D85" w:rsidRPr="005B54EE">
          <w:rPr>
            <w:rStyle w:val="Hyperlink"/>
            <w:noProof/>
          </w:rPr>
          <w:t>: Projection par secteur en ktCO</w:t>
        </w:r>
        <w:r w:rsidR="00AB7D85" w:rsidRPr="005B54EE">
          <w:rPr>
            <w:rStyle w:val="Hyperlink"/>
            <w:noProof/>
            <w:vertAlign w:val="subscript"/>
          </w:rPr>
          <w:t>2e</w:t>
        </w:r>
        <w:r w:rsidR="00AB7D85" w:rsidRPr="005B54EE">
          <w:rPr>
            <w:rStyle w:val="Hyperlink"/>
            <w:noProof/>
          </w:rPr>
          <w:t>, au format Kyoto, scénario AMS 2018</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_Toc124153772 \h </w:instrText>
        </w:r>
        <w:r w:rsidR="00AB7D85" w:rsidRPr="005B54EE">
          <w:rPr>
            <w:noProof/>
            <w:webHidden/>
          </w:rPr>
        </w:r>
        <w:r w:rsidR="00AB7D85" w:rsidRPr="005B54EE">
          <w:rPr>
            <w:noProof/>
            <w:webHidden/>
          </w:rPr>
          <w:fldChar w:fldCharType="separate"/>
        </w:r>
        <w:r w:rsidR="005B1C45">
          <w:rPr>
            <w:noProof/>
            <w:webHidden/>
          </w:rPr>
          <w:t>88</w:t>
        </w:r>
        <w:r w:rsidR="00AB7D85" w:rsidRPr="005B54EE">
          <w:rPr>
            <w:noProof/>
            <w:webHidden/>
          </w:rPr>
          <w:fldChar w:fldCharType="end"/>
        </w:r>
      </w:hyperlink>
    </w:p>
    <w:p w14:paraId="5310C512" w14:textId="7CB1CEAE" w:rsidR="00AB7D85" w:rsidRPr="005B54EE" w:rsidRDefault="00C73940">
      <w:pPr>
        <w:pStyle w:val="TableofFigures"/>
        <w:tabs>
          <w:tab w:val="right" w:leader="dot" w:pos="9854"/>
        </w:tabs>
        <w:rPr>
          <w:rFonts w:eastAsiaTheme="minorEastAsia" w:cstheme="minorBidi"/>
          <w:i w:val="0"/>
          <w:noProof/>
          <w:sz w:val="22"/>
        </w:rPr>
      </w:pPr>
      <w:hyperlink w:anchor="_Toc124153773" w:history="1">
        <w:r w:rsidR="00AB7D85" w:rsidRPr="005B54EE">
          <w:rPr>
            <w:rStyle w:val="Hyperlink"/>
            <w:noProof/>
          </w:rPr>
          <w:t>Figure 18</w:t>
        </w:r>
        <w:r w:rsidR="00AB7D85" w:rsidRPr="005B54EE">
          <w:rPr>
            <w:rStyle w:val="Hyperlink"/>
            <w:rFonts w:ascii="Calibri" w:hAnsi="Calibri" w:cs="Calibri"/>
            <w:noProof/>
          </w:rPr>
          <w:t> </w:t>
        </w:r>
        <w:r w:rsidR="00AB7D85" w:rsidRPr="005B54EE">
          <w:rPr>
            <w:rStyle w:val="Hyperlink"/>
            <w:noProof/>
          </w:rPr>
          <w:t>: D</w:t>
        </w:r>
        <w:r w:rsidR="00AB7D85" w:rsidRPr="005B54EE">
          <w:rPr>
            <w:rStyle w:val="Hyperlink"/>
            <w:rFonts w:ascii="Marianne" w:hAnsi="Marianne" w:cs="Marianne"/>
            <w:noProof/>
          </w:rPr>
          <w:t>é</w:t>
        </w:r>
        <w:r w:rsidR="00AB7D85" w:rsidRPr="005B54EE">
          <w:rPr>
            <w:rStyle w:val="Hyperlink"/>
            <w:noProof/>
          </w:rPr>
          <w:t>tail des cat</w:t>
        </w:r>
        <w:r w:rsidR="00AB7D85" w:rsidRPr="005B54EE">
          <w:rPr>
            <w:rStyle w:val="Hyperlink"/>
            <w:rFonts w:ascii="Marianne" w:hAnsi="Marianne" w:cs="Marianne"/>
            <w:noProof/>
          </w:rPr>
          <w:t>é</w:t>
        </w:r>
        <w:r w:rsidR="00AB7D85" w:rsidRPr="005B54EE">
          <w:rPr>
            <w:rStyle w:val="Hyperlink"/>
            <w:noProof/>
          </w:rPr>
          <w:t>gories du secteur énergie en ktCO</w:t>
        </w:r>
        <w:r w:rsidR="00AB7D85" w:rsidRPr="005B54EE">
          <w:rPr>
            <w:rStyle w:val="Hyperlink"/>
            <w:noProof/>
            <w:vertAlign w:val="subscript"/>
          </w:rPr>
          <w:t>2e</w:t>
        </w:r>
        <w:r w:rsidR="00AB7D85" w:rsidRPr="005B54EE">
          <w:rPr>
            <w:rStyle w:val="Hyperlink"/>
            <w:noProof/>
          </w:rPr>
          <w:t>, au périmètre Kyoto, scénario AME 2021</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_Toc124153773 \h </w:instrText>
        </w:r>
        <w:r w:rsidR="00AB7D85" w:rsidRPr="005B54EE">
          <w:rPr>
            <w:noProof/>
            <w:webHidden/>
          </w:rPr>
        </w:r>
        <w:r w:rsidR="00AB7D85" w:rsidRPr="005B54EE">
          <w:rPr>
            <w:noProof/>
            <w:webHidden/>
          </w:rPr>
          <w:fldChar w:fldCharType="separate"/>
        </w:r>
        <w:r w:rsidR="005B1C45">
          <w:rPr>
            <w:noProof/>
            <w:webHidden/>
          </w:rPr>
          <w:t>89</w:t>
        </w:r>
        <w:r w:rsidR="00AB7D85" w:rsidRPr="005B54EE">
          <w:rPr>
            <w:noProof/>
            <w:webHidden/>
          </w:rPr>
          <w:fldChar w:fldCharType="end"/>
        </w:r>
      </w:hyperlink>
    </w:p>
    <w:p w14:paraId="45651A3B" w14:textId="22FCA2D4" w:rsidR="00AB7D85" w:rsidRPr="005B54EE" w:rsidRDefault="00C73940">
      <w:pPr>
        <w:pStyle w:val="TableofFigures"/>
        <w:tabs>
          <w:tab w:val="right" w:leader="dot" w:pos="9854"/>
        </w:tabs>
        <w:rPr>
          <w:rFonts w:eastAsiaTheme="minorEastAsia" w:cstheme="minorBidi"/>
          <w:i w:val="0"/>
          <w:noProof/>
          <w:sz w:val="22"/>
        </w:rPr>
      </w:pPr>
      <w:hyperlink w:anchor="_Toc124153774" w:history="1">
        <w:r w:rsidR="00AB7D85" w:rsidRPr="005B54EE">
          <w:rPr>
            <w:rStyle w:val="Hyperlink"/>
            <w:noProof/>
          </w:rPr>
          <w:t>Figure 19</w:t>
        </w:r>
        <w:r w:rsidR="00AB7D85" w:rsidRPr="005B54EE">
          <w:rPr>
            <w:rStyle w:val="Hyperlink"/>
            <w:rFonts w:ascii="Calibri" w:hAnsi="Calibri" w:cs="Calibri"/>
            <w:noProof/>
          </w:rPr>
          <w:t> </w:t>
        </w:r>
        <w:r w:rsidR="00AB7D85" w:rsidRPr="005B54EE">
          <w:rPr>
            <w:rStyle w:val="Hyperlink"/>
            <w:noProof/>
          </w:rPr>
          <w:t>: D</w:t>
        </w:r>
        <w:r w:rsidR="00AB7D85" w:rsidRPr="005B54EE">
          <w:rPr>
            <w:rStyle w:val="Hyperlink"/>
            <w:rFonts w:ascii="Marianne" w:hAnsi="Marianne" w:cs="Marianne"/>
            <w:noProof/>
          </w:rPr>
          <w:t>é</w:t>
        </w:r>
        <w:r w:rsidR="00AB7D85" w:rsidRPr="005B54EE">
          <w:rPr>
            <w:rStyle w:val="Hyperlink"/>
            <w:noProof/>
          </w:rPr>
          <w:t>tail des cat</w:t>
        </w:r>
        <w:r w:rsidR="00AB7D85" w:rsidRPr="005B54EE">
          <w:rPr>
            <w:rStyle w:val="Hyperlink"/>
            <w:rFonts w:ascii="Marianne" w:hAnsi="Marianne" w:cs="Marianne"/>
            <w:noProof/>
          </w:rPr>
          <w:t>é</w:t>
        </w:r>
        <w:r w:rsidR="00AB7D85" w:rsidRPr="005B54EE">
          <w:rPr>
            <w:rStyle w:val="Hyperlink"/>
            <w:noProof/>
          </w:rPr>
          <w:t xml:space="preserve">gories du secteur </w:t>
        </w:r>
        <w:r w:rsidR="00AB7D85" w:rsidRPr="005B54EE">
          <w:rPr>
            <w:rStyle w:val="Hyperlink"/>
            <w:rFonts w:ascii="Marianne" w:hAnsi="Marianne" w:cs="Marianne"/>
            <w:noProof/>
          </w:rPr>
          <w:t>é</w:t>
        </w:r>
        <w:r w:rsidR="00AB7D85" w:rsidRPr="005B54EE">
          <w:rPr>
            <w:rStyle w:val="Hyperlink"/>
            <w:noProof/>
          </w:rPr>
          <w:t>nergie en ktCO</w:t>
        </w:r>
        <w:r w:rsidR="00AB7D85" w:rsidRPr="005B54EE">
          <w:rPr>
            <w:rStyle w:val="Hyperlink"/>
            <w:noProof/>
            <w:vertAlign w:val="subscript"/>
          </w:rPr>
          <w:t>2e</w:t>
        </w:r>
        <w:r w:rsidR="00AB7D85" w:rsidRPr="005B54EE">
          <w:rPr>
            <w:rStyle w:val="Hyperlink"/>
            <w:noProof/>
          </w:rPr>
          <w:t>, au périmètre Kyoto, scénario AMS 2018</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_Toc124153774 \h </w:instrText>
        </w:r>
        <w:r w:rsidR="00AB7D85" w:rsidRPr="005B54EE">
          <w:rPr>
            <w:noProof/>
            <w:webHidden/>
          </w:rPr>
        </w:r>
        <w:r w:rsidR="00AB7D85" w:rsidRPr="005B54EE">
          <w:rPr>
            <w:noProof/>
            <w:webHidden/>
          </w:rPr>
          <w:fldChar w:fldCharType="separate"/>
        </w:r>
        <w:r w:rsidR="005B1C45">
          <w:rPr>
            <w:noProof/>
            <w:webHidden/>
          </w:rPr>
          <w:t>90</w:t>
        </w:r>
        <w:r w:rsidR="00AB7D85" w:rsidRPr="005B54EE">
          <w:rPr>
            <w:noProof/>
            <w:webHidden/>
          </w:rPr>
          <w:fldChar w:fldCharType="end"/>
        </w:r>
      </w:hyperlink>
    </w:p>
    <w:p w14:paraId="52AC2957" w14:textId="6EBBD58E" w:rsidR="00AB7D85" w:rsidRPr="005B54EE" w:rsidRDefault="00C73940">
      <w:pPr>
        <w:pStyle w:val="TableofFigures"/>
        <w:tabs>
          <w:tab w:val="right" w:leader="dot" w:pos="9854"/>
        </w:tabs>
        <w:rPr>
          <w:rFonts w:eastAsiaTheme="minorEastAsia" w:cstheme="minorBidi"/>
          <w:i w:val="0"/>
          <w:noProof/>
          <w:sz w:val="22"/>
        </w:rPr>
      </w:pPr>
      <w:hyperlink w:anchor="_Toc124153775" w:history="1">
        <w:r w:rsidR="00AB7D85" w:rsidRPr="005B54EE">
          <w:rPr>
            <w:rStyle w:val="Hyperlink"/>
            <w:noProof/>
          </w:rPr>
          <w:t>Figure 20</w:t>
        </w:r>
        <w:r w:rsidR="00AB7D85" w:rsidRPr="005B54EE">
          <w:rPr>
            <w:rStyle w:val="Hyperlink"/>
            <w:rFonts w:ascii="Calibri" w:hAnsi="Calibri" w:cs="Calibri"/>
            <w:noProof/>
          </w:rPr>
          <w:t> </w:t>
        </w:r>
        <w:r w:rsidR="00AB7D85" w:rsidRPr="005B54EE">
          <w:rPr>
            <w:rStyle w:val="Hyperlink"/>
            <w:noProof/>
          </w:rPr>
          <w:t>: Projection par gaz hors UTCATF en ktCO</w:t>
        </w:r>
        <w:r w:rsidR="00AB7D85" w:rsidRPr="005B54EE">
          <w:rPr>
            <w:rStyle w:val="Hyperlink"/>
            <w:noProof/>
            <w:vertAlign w:val="subscript"/>
          </w:rPr>
          <w:t>2e</w:t>
        </w:r>
        <w:r w:rsidR="00AB7D85" w:rsidRPr="005B54EE">
          <w:rPr>
            <w:rStyle w:val="Hyperlink"/>
            <w:noProof/>
          </w:rPr>
          <w:t>, au format Kyoto, scénario AME 2021</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_Toc124153775 \h </w:instrText>
        </w:r>
        <w:r w:rsidR="00AB7D85" w:rsidRPr="005B54EE">
          <w:rPr>
            <w:noProof/>
            <w:webHidden/>
          </w:rPr>
        </w:r>
        <w:r w:rsidR="00AB7D85" w:rsidRPr="005B54EE">
          <w:rPr>
            <w:noProof/>
            <w:webHidden/>
          </w:rPr>
          <w:fldChar w:fldCharType="separate"/>
        </w:r>
        <w:r w:rsidR="005B1C45">
          <w:rPr>
            <w:noProof/>
            <w:webHidden/>
          </w:rPr>
          <w:t>91</w:t>
        </w:r>
        <w:r w:rsidR="00AB7D85" w:rsidRPr="005B54EE">
          <w:rPr>
            <w:noProof/>
            <w:webHidden/>
          </w:rPr>
          <w:fldChar w:fldCharType="end"/>
        </w:r>
      </w:hyperlink>
    </w:p>
    <w:p w14:paraId="31BADBA1" w14:textId="12A56495" w:rsidR="00AB7D85" w:rsidRPr="005B54EE" w:rsidRDefault="00C73940">
      <w:pPr>
        <w:pStyle w:val="TableofFigures"/>
        <w:tabs>
          <w:tab w:val="right" w:leader="dot" w:pos="9854"/>
        </w:tabs>
        <w:rPr>
          <w:rFonts w:eastAsiaTheme="minorEastAsia" w:cstheme="minorBidi"/>
          <w:i w:val="0"/>
          <w:noProof/>
          <w:sz w:val="22"/>
        </w:rPr>
      </w:pPr>
      <w:hyperlink w:anchor="_Toc124153776" w:history="1">
        <w:r w:rsidR="00AB7D85" w:rsidRPr="005B54EE">
          <w:rPr>
            <w:rStyle w:val="Hyperlink"/>
            <w:noProof/>
          </w:rPr>
          <w:t>Figure 21</w:t>
        </w:r>
        <w:r w:rsidR="00AB7D85" w:rsidRPr="005B54EE">
          <w:rPr>
            <w:rStyle w:val="Hyperlink"/>
            <w:rFonts w:ascii="Calibri" w:hAnsi="Calibri" w:cs="Calibri"/>
            <w:noProof/>
          </w:rPr>
          <w:t> </w:t>
        </w:r>
        <w:r w:rsidR="00AB7D85" w:rsidRPr="005B54EE">
          <w:rPr>
            <w:rStyle w:val="Hyperlink"/>
            <w:noProof/>
          </w:rPr>
          <w:t>:  Projection par gaz avec UTCATF en ktCO</w:t>
        </w:r>
        <w:r w:rsidR="00AB7D85" w:rsidRPr="005B54EE">
          <w:rPr>
            <w:rStyle w:val="Hyperlink"/>
            <w:noProof/>
            <w:vertAlign w:val="subscript"/>
          </w:rPr>
          <w:t>2e</w:t>
        </w:r>
        <w:r w:rsidR="00AB7D85" w:rsidRPr="005B54EE">
          <w:rPr>
            <w:rStyle w:val="Hyperlink"/>
            <w:noProof/>
          </w:rPr>
          <w:t>, au format Kyoto, scénario AME 2021</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_Toc124153776 \h </w:instrText>
        </w:r>
        <w:r w:rsidR="00AB7D85" w:rsidRPr="005B54EE">
          <w:rPr>
            <w:noProof/>
            <w:webHidden/>
          </w:rPr>
        </w:r>
        <w:r w:rsidR="00AB7D85" w:rsidRPr="005B54EE">
          <w:rPr>
            <w:noProof/>
            <w:webHidden/>
          </w:rPr>
          <w:fldChar w:fldCharType="separate"/>
        </w:r>
        <w:r w:rsidR="005B1C45">
          <w:rPr>
            <w:noProof/>
            <w:webHidden/>
          </w:rPr>
          <w:t>92</w:t>
        </w:r>
        <w:r w:rsidR="00AB7D85" w:rsidRPr="005B54EE">
          <w:rPr>
            <w:noProof/>
            <w:webHidden/>
          </w:rPr>
          <w:fldChar w:fldCharType="end"/>
        </w:r>
      </w:hyperlink>
    </w:p>
    <w:p w14:paraId="68886DFA" w14:textId="06DEA0BB" w:rsidR="00AB7D85" w:rsidRPr="005B54EE" w:rsidRDefault="00C73940">
      <w:pPr>
        <w:pStyle w:val="TableofFigures"/>
        <w:tabs>
          <w:tab w:val="right" w:leader="dot" w:pos="9854"/>
        </w:tabs>
        <w:rPr>
          <w:rFonts w:eastAsiaTheme="minorEastAsia" w:cstheme="minorBidi"/>
          <w:i w:val="0"/>
          <w:noProof/>
          <w:sz w:val="22"/>
        </w:rPr>
      </w:pPr>
      <w:hyperlink w:anchor="_Toc124153777" w:history="1">
        <w:r w:rsidR="00AB7D85" w:rsidRPr="005B54EE">
          <w:rPr>
            <w:rStyle w:val="Hyperlink"/>
            <w:noProof/>
          </w:rPr>
          <w:t>Figure 22</w:t>
        </w:r>
        <w:r w:rsidR="00AB7D85" w:rsidRPr="005B54EE">
          <w:rPr>
            <w:rStyle w:val="Hyperlink"/>
            <w:rFonts w:ascii="Calibri" w:hAnsi="Calibri" w:cs="Calibri"/>
            <w:noProof/>
          </w:rPr>
          <w:t> </w:t>
        </w:r>
        <w:r w:rsidR="00AB7D85" w:rsidRPr="005B54EE">
          <w:rPr>
            <w:rStyle w:val="Hyperlink"/>
            <w:noProof/>
          </w:rPr>
          <w:t>: Projection par gaz en ktCO</w:t>
        </w:r>
        <w:r w:rsidR="00AB7D85" w:rsidRPr="005B54EE">
          <w:rPr>
            <w:rStyle w:val="Hyperlink"/>
            <w:noProof/>
            <w:vertAlign w:val="subscript"/>
          </w:rPr>
          <w:t>2</w:t>
        </w:r>
        <w:r w:rsidR="00AB7D85" w:rsidRPr="005B54EE">
          <w:rPr>
            <w:rStyle w:val="Hyperlink"/>
            <w:noProof/>
          </w:rPr>
          <w:t>-eq, hors LULUCF (hors UTCF), au format Kyoto, scénario AME</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_Toc124153777 \h </w:instrText>
        </w:r>
        <w:r w:rsidR="00AB7D85" w:rsidRPr="005B54EE">
          <w:rPr>
            <w:noProof/>
            <w:webHidden/>
          </w:rPr>
        </w:r>
        <w:r w:rsidR="00AB7D85" w:rsidRPr="005B54EE">
          <w:rPr>
            <w:noProof/>
            <w:webHidden/>
          </w:rPr>
          <w:fldChar w:fldCharType="separate"/>
        </w:r>
        <w:r w:rsidR="005B1C45">
          <w:rPr>
            <w:noProof/>
            <w:webHidden/>
          </w:rPr>
          <w:t>93</w:t>
        </w:r>
        <w:r w:rsidR="00AB7D85" w:rsidRPr="005B54EE">
          <w:rPr>
            <w:noProof/>
            <w:webHidden/>
          </w:rPr>
          <w:fldChar w:fldCharType="end"/>
        </w:r>
      </w:hyperlink>
    </w:p>
    <w:p w14:paraId="54EFFC64" w14:textId="265796A9" w:rsidR="00AB7D85" w:rsidRPr="005B54EE" w:rsidRDefault="00C73940">
      <w:pPr>
        <w:pStyle w:val="TableofFigures"/>
        <w:tabs>
          <w:tab w:val="right" w:leader="dot" w:pos="9854"/>
        </w:tabs>
        <w:rPr>
          <w:rFonts w:eastAsiaTheme="minorEastAsia" w:cstheme="minorBidi"/>
          <w:i w:val="0"/>
          <w:noProof/>
          <w:sz w:val="22"/>
        </w:rPr>
      </w:pPr>
      <w:hyperlink w:anchor="_Toc124153778" w:history="1">
        <w:r w:rsidR="00AB7D85" w:rsidRPr="005B54EE">
          <w:rPr>
            <w:rStyle w:val="Hyperlink"/>
            <w:noProof/>
          </w:rPr>
          <w:t>Figure 23</w:t>
        </w:r>
        <w:r w:rsidR="00AB7D85" w:rsidRPr="005B54EE">
          <w:rPr>
            <w:rStyle w:val="Hyperlink"/>
            <w:rFonts w:ascii="Calibri" w:hAnsi="Calibri" w:cs="Calibri"/>
            <w:noProof/>
          </w:rPr>
          <w:t> </w:t>
        </w:r>
        <w:r w:rsidR="00AB7D85" w:rsidRPr="005B54EE">
          <w:rPr>
            <w:rStyle w:val="Hyperlink"/>
            <w:noProof/>
          </w:rPr>
          <w:t>: Projection par gaz en ktCO</w:t>
        </w:r>
        <w:r w:rsidR="00AB7D85" w:rsidRPr="005B54EE">
          <w:rPr>
            <w:rStyle w:val="Hyperlink"/>
            <w:noProof/>
            <w:vertAlign w:val="subscript"/>
          </w:rPr>
          <w:t>2</w:t>
        </w:r>
        <w:r w:rsidR="00AB7D85" w:rsidRPr="005B54EE">
          <w:rPr>
            <w:rStyle w:val="Hyperlink"/>
            <w:noProof/>
          </w:rPr>
          <w:t>-eq, hors LULUCF (avec UTCF), au format Kyoto, scénario AMS 2018</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_Toc124153778 \h </w:instrText>
        </w:r>
        <w:r w:rsidR="00AB7D85" w:rsidRPr="005B54EE">
          <w:rPr>
            <w:noProof/>
            <w:webHidden/>
          </w:rPr>
        </w:r>
        <w:r w:rsidR="00AB7D85" w:rsidRPr="005B54EE">
          <w:rPr>
            <w:noProof/>
            <w:webHidden/>
          </w:rPr>
          <w:fldChar w:fldCharType="separate"/>
        </w:r>
        <w:r w:rsidR="005B1C45">
          <w:rPr>
            <w:noProof/>
            <w:webHidden/>
          </w:rPr>
          <w:t>94</w:t>
        </w:r>
        <w:r w:rsidR="00AB7D85" w:rsidRPr="005B54EE">
          <w:rPr>
            <w:noProof/>
            <w:webHidden/>
          </w:rPr>
          <w:fldChar w:fldCharType="end"/>
        </w:r>
      </w:hyperlink>
    </w:p>
    <w:p w14:paraId="15B269BD" w14:textId="5083F5B6" w:rsidR="00AB7D85" w:rsidRPr="005B54EE" w:rsidRDefault="00C73940">
      <w:pPr>
        <w:pStyle w:val="TableofFigures"/>
        <w:tabs>
          <w:tab w:val="right" w:leader="dot" w:pos="9854"/>
        </w:tabs>
        <w:rPr>
          <w:rFonts w:eastAsiaTheme="minorEastAsia" w:cstheme="minorBidi"/>
          <w:i w:val="0"/>
          <w:noProof/>
          <w:sz w:val="22"/>
        </w:rPr>
      </w:pPr>
      <w:hyperlink w:anchor="_Toc124153779" w:history="1">
        <w:r w:rsidR="00AB7D85" w:rsidRPr="005B54EE">
          <w:rPr>
            <w:rStyle w:val="Hyperlink"/>
            <w:noProof/>
          </w:rPr>
          <w:t>Figure 24</w:t>
        </w:r>
        <w:r w:rsidR="00AB7D85" w:rsidRPr="005B54EE">
          <w:rPr>
            <w:rStyle w:val="Hyperlink"/>
            <w:rFonts w:ascii="Calibri" w:hAnsi="Calibri" w:cs="Calibri"/>
            <w:noProof/>
          </w:rPr>
          <w:t> </w:t>
        </w:r>
        <w:r w:rsidR="00AB7D85" w:rsidRPr="005B54EE">
          <w:rPr>
            <w:rStyle w:val="Hyperlink"/>
            <w:noProof/>
          </w:rPr>
          <w:t>: Projection par gaz hors UTCATF en ktCO</w:t>
        </w:r>
        <w:r w:rsidR="00AB7D85" w:rsidRPr="005B54EE">
          <w:rPr>
            <w:rStyle w:val="Hyperlink"/>
            <w:noProof/>
            <w:vertAlign w:val="subscript"/>
          </w:rPr>
          <w:t>2e</w:t>
        </w:r>
        <w:r w:rsidR="00AB7D85" w:rsidRPr="005B54EE">
          <w:rPr>
            <w:rStyle w:val="Hyperlink"/>
            <w:noProof/>
          </w:rPr>
          <w:t>, au format Kyoto, scénario AME 2021</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_Toc124153779 \h </w:instrText>
        </w:r>
        <w:r w:rsidR="00AB7D85" w:rsidRPr="005B54EE">
          <w:rPr>
            <w:noProof/>
            <w:webHidden/>
          </w:rPr>
        </w:r>
        <w:r w:rsidR="00AB7D85" w:rsidRPr="005B54EE">
          <w:rPr>
            <w:noProof/>
            <w:webHidden/>
          </w:rPr>
          <w:fldChar w:fldCharType="separate"/>
        </w:r>
        <w:r w:rsidR="005B1C45">
          <w:rPr>
            <w:noProof/>
            <w:webHidden/>
          </w:rPr>
          <w:t>95</w:t>
        </w:r>
        <w:r w:rsidR="00AB7D85" w:rsidRPr="005B54EE">
          <w:rPr>
            <w:noProof/>
            <w:webHidden/>
          </w:rPr>
          <w:fldChar w:fldCharType="end"/>
        </w:r>
      </w:hyperlink>
    </w:p>
    <w:p w14:paraId="788F303A" w14:textId="5BE0E86A" w:rsidR="00AB7D85" w:rsidRPr="005B54EE" w:rsidRDefault="00C73940">
      <w:pPr>
        <w:pStyle w:val="TableofFigures"/>
        <w:tabs>
          <w:tab w:val="right" w:leader="dot" w:pos="9854"/>
        </w:tabs>
        <w:rPr>
          <w:rFonts w:eastAsiaTheme="minorEastAsia" w:cstheme="minorBidi"/>
          <w:i w:val="0"/>
          <w:noProof/>
          <w:sz w:val="22"/>
        </w:rPr>
      </w:pPr>
      <w:hyperlink w:anchor="_Toc124153780" w:history="1">
        <w:r w:rsidR="00AB7D85" w:rsidRPr="005B54EE">
          <w:rPr>
            <w:rStyle w:val="Hyperlink"/>
            <w:noProof/>
          </w:rPr>
          <w:t>Figure 25</w:t>
        </w:r>
        <w:r w:rsidR="00AB7D85" w:rsidRPr="005B54EE">
          <w:rPr>
            <w:rStyle w:val="Hyperlink"/>
            <w:rFonts w:ascii="Calibri" w:hAnsi="Calibri" w:cs="Calibri"/>
            <w:noProof/>
          </w:rPr>
          <w:t> </w:t>
        </w:r>
        <w:r w:rsidR="00AB7D85" w:rsidRPr="005B54EE">
          <w:rPr>
            <w:rStyle w:val="Hyperlink"/>
            <w:noProof/>
          </w:rPr>
          <w:t>: Processus de mod</w:t>
        </w:r>
        <w:r w:rsidR="00AB7D85" w:rsidRPr="005B54EE">
          <w:rPr>
            <w:rStyle w:val="Hyperlink"/>
            <w:rFonts w:ascii="Marianne" w:hAnsi="Marianne" w:cs="Marianne"/>
            <w:noProof/>
          </w:rPr>
          <w:t>é</w:t>
        </w:r>
        <w:r w:rsidR="00AB7D85" w:rsidRPr="005B54EE">
          <w:rPr>
            <w:rStyle w:val="Hyperlink"/>
            <w:noProof/>
          </w:rPr>
          <w:t>lisation de l'AME 2021</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_Toc124153780 \h </w:instrText>
        </w:r>
        <w:r w:rsidR="00AB7D85" w:rsidRPr="005B54EE">
          <w:rPr>
            <w:noProof/>
            <w:webHidden/>
          </w:rPr>
        </w:r>
        <w:r w:rsidR="00AB7D85" w:rsidRPr="005B54EE">
          <w:rPr>
            <w:noProof/>
            <w:webHidden/>
          </w:rPr>
          <w:fldChar w:fldCharType="separate"/>
        </w:r>
        <w:r w:rsidR="005B1C45">
          <w:rPr>
            <w:noProof/>
            <w:webHidden/>
          </w:rPr>
          <w:t>102</w:t>
        </w:r>
        <w:r w:rsidR="00AB7D85" w:rsidRPr="005B54EE">
          <w:rPr>
            <w:noProof/>
            <w:webHidden/>
          </w:rPr>
          <w:fldChar w:fldCharType="end"/>
        </w:r>
      </w:hyperlink>
    </w:p>
    <w:p w14:paraId="283A2698" w14:textId="03C2E8CB" w:rsidR="00AB7D85" w:rsidRPr="005B54EE" w:rsidRDefault="00C73940">
      <w:pPr>
        <w:pStyle w:val="TableofFigures"/>
        <w:tabs>
          <w:tab w:val="right" w:leader="dot" w:pos="9854"/>
        </w:tabs>
        <w:rPr>
          <w:rFonts w:eastAsiaTheme="minorEastAsia" w:cstheme="minorBidi"/>
          <w:i w:val="0"/>
          <w:noProof/>
          <w:sz w:val="22"/>
        </w:rPr>
      </w:pPr>
      <w:hyperlink w:anchor="_Toc124153781" w:history="1">
        <w:r w:rsidR="00AB7D85" w:rsidRPr="005B54EE">
          <w:rPr>
            <w:rStyle w:val="Hyperlink"/>
            <w:noProof/>
          </w:rPr>
          <w:t>Figure 26</w:t>
        </w:r>
        <w:r w:rsidR="00AB7D85" w:rsidRPr="005B54EE">
          <w:rPr>
            <w:rStyle w:val="Hyperlink"/>
            <w:rFonts w:ascii="Calibri" w:hAnsi="Calibri" w:cs="Calibri"/>
            <w:noProof/>
          </w:rPr>
          <w:t> </w:t>
        </w:r>
        <w:r w:rsidR="00AB7D85" w:rsidRPr="005B54EE">
          <w:rPr>
            <w:rStyle w:val="Hyperlink"/>
            <w:noProof/>
          </w:rPr>
          <w:t>: Hypoth</w:t>
        </w:r>
        <w:r w:rsidR="00AB7D85" w:rsidRPr="005B54EE">
          <w:rPr>
            <w:rStyle w:val="Hyperlink"/>
            <w:rFonts w:ascii="Marianne" w:hAnsi="Marianne" w:cs="Marianne"/>
            <w:noProof/>
          </w:rPr>
          <w:t>è</w:t>
        </w:r>
        <w:r w:rsidR="00AB7D85" w:rsidRPr="005B54EE">
          <w:rPr>
            <w:rStyle w:val="Hyperlink"/>
            <w:noProof/>
          </w:rPr>
          <w:t>se de croissance de la population dans l</w:t>
        </w:r>
        <w:r w:rsidR="00AB7D85" w:rsidRPr="005B54EE">
          <w:rPr>
            <w:rStyle w:val="Hyperlink"/>
            <w:rFonts w:ascii="Marianne" w:hAnsi="Marianne" w:cs="Marianne"/>
            <w:noProof/>
          </w:rPr>
          <w:t>’</w:t>
        </w:r>
        <w:r w:rsidR="00AB7D85" w:rsidRPr="005B54EE">
          <w:rPr>
            <w:rStyle w:val="Hyperlink"/>
            <w:noProof/>
          </w:rPr>
          <w:t>AME 2021 et l</w:t>
        </w:r>
        <w:r w:rsidR="00AB7D85" w:rsidRPr="005B54EE">
          <w:rPr>
            <w:rStyle w:val="Hyperlink"/>
            <w:rFonts w:ascii="Marianne" w:hAnsi="Marianne" w:cs="Marianne"/>
            <w:noProof/>
          </w:rPr>
          <w:t>’</w:t>
        </w:r>
        <w:r w:rsidR="00AB7D85" w:rsidRPr="005B54EE">
          <w:rPr>
            <w:rStyle w:val="Hyperlink"/>
            <w:noProof/>
          </w:rPr>
          <w:t>AMS 2018</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_Toc124153781 \h </w:instrText>
        </w:r>
        <w:r w:rsidR="00AB7D85" w:rsidRPr="005B54EE">
          <w:rPr>
            <w:noProof/>
            <w:webHidden/>
          </w:rPr>
        </w:r>
        <w:r w:rsidR="00AB7D85" w:rsidRPr="005B54EE">
          <w:rPr>
            <w:noProof/>
            <w:webHidden/>
          </w:rPr>
          <w:fldChar w:fldCharType="separate"/>
        </w:r>
        <w:r w:rsidR="005B1C45">
          <w:rPr>
            <w:noProof/>
            <w:webHidden/>
          </w:rPr>
          <w:t>106</w:t>
        </w:r>
        <w:r w:rsidR="00AB7D85" w:rsidRPr="005B54EE">
          <w:rPr>
            <w:noProof/>
            <w:webHidden/>
          </w:rPr>
          <w:fldChar w:fldCharType="end"/>
        </w:r>
      </w:hyperlink>
    </w:p>
    <w:p w14:paraId="59E76311" w14:textId="543EE9A2" w:rsidR="00AB7D85" w:rsidRPr="005B54EE" w:rsidRDefault="00C73940">
      <w:pPr>
        <w:pStyle w:val="TableofFigures"/>
        <w:tabs>
          <w:tab w:val="right" w:leader="dot" w:pos="9854"/>
        </w:tabs>
        <w:rPr>
          <w:rFonts w:eastAsiaTheme="minorEastAsia" w:cstheme="minorBidi"/>
          <w:i w:val="0"/>
          <w:noProof/>
          <w:sz w:val="22"/>
        </w:rPr>
      </w:pPr>
      <w:hyperlink w:anchor="_Toc124153782" w:history="1">
        <w:r w:rsidR="00AB7D85" w:rsidRPr="005B54EE">
          <w:rPr>
            <w:rStyle w:val="Hyperlink"/>
            <w:noProof/>
          </w:rPr>
          <w:t>Figure 27</w:t>
        </w:r>
        <w:r w:rsidR="00AB7D85" w:rsidRPr="005B54EE">
          <w:rPr>
            <w:rStyle w:val="Hyperlink"/>
            <w:rFonts w:ascii="Calibri" w:hAnsi="Calibri" w:cs="Calibri"/>
            <w:noProof/>
          </w:rPr>
          <w:t> </w:t>
        </w:r>
        <w:r w:rsidR="00AB7D85" w:rsidRPr="005B54EE">
          <w:rPr>
            <w:rStyle w:val="Hyperlink"/>
            <w:noProof/>
          </w:rPr>
          <w:t>: Evolution des financements climats totaux (figure de gauche) dont les financements adaptation (droite) du groupe AFD</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_Toc124153782 \h </w:instrText>
        </w:r>
        <w:r w:rsidR="00AB7D85" w:rsidRPr="005B54EE">
          <w:rPr>
            <w:noProof/>
            <w:webHidden/>
          </w:rPr>
        </w:r>
        <w:r w:rsidR="00AB7D85" w:rsidRPr="005B54EE">
          <w:rPr>
            <w:noProof/>
            <w:webHidden/>
          </w:rPr>
          <w:fldChar w:fldCharType="separate"/>
        </w:r>
        <w:r w:rsidR="005B1C45">
          <w:rPr>
            <w:noProof/>
            <w:webHidden/>
          </w:rPr>
          <w:t>109</w:t>
        </w:r>
        <w:r w:rsidR="00AB7D85" w:rsidRPr="005B54EE">
          <w:rPr>
            <w:noProof/>
            <w:webHidden/>
          </w:rPr>
          <w:fldChar w:fldCharType="end"/>
        </w:r>
      </w:hyperlink>
    </w:p>
    <w:p w14:paraId="695A7519" w14:textId="1CD078D1" w:rsidR="00DF3D1A" w:rsidRPr="005B54EE" w:rsidRDefault="00811B0F" w:rsidP="00811B0F">
      <w:r w:rsidRPr="005B54EE">
        <w:fldChar w:fldCharType="end"/>
      </w:r>
    </w:p>
    <w:p w14:paraId="33B6A2A2" w14:textId="77777777" w:rsidR="00811B0F" w:rsidRPr="005B54EE" w:rsidRDefault="00811B0F">
      <w:pPr>
        <w:spacing w:line="240" w:lineRule="atLeast"/>
        <w:jc w:val="left"/>
      </w:pPr>
      <w:bookmarkStart w:id="0" w:name="ChapI"/>
      <w:bookmarkEnd w:id="0"/>
      <w:r w:rsidRPr="005B54EE">
        <w:br w:type="page"/>
      </w:r>
    </w:p>
    <w:p w14:paraId="48F407A7" w14:textId="77777777" w:rsidR="00811B0F" w:rsidRPr="005B54EE" w:rsidRDefault="00811B0F" w:rsidP="00811B0F">
      <w:pPr>
        <w:pStyle w:val="TOCHeading"/>
      </w:pPr>
      <w:r w:rsidRPr="005B54EE">
        <w:lastRenderedPageBreak/>
        <w:t>List of tables</w:t>
      </w:r>
    </w:p>
    <w:p w14:paraId="7490C64D" w14:textId="6A6BD659" w:rsidR="00AB7D85" w:rsidRPr="005B54EE" w:rsidRDefault="00811B0F">
      <w:pPr>
        <w:pStyle w:val="TableofFigures"/>
        <w:tabs>
          <w:tab w:val="right" w:leader="dot" w:pos="9854"/>
        </w:tabs>
        <w:rPr>
          <w:rFonts w:eastAsiaTheme="minorEastAsia" w:cstheme="minorBidi"/>
          <w:i w:val="0"/>
          <w:iCs w:val="0"/>
          <w:noProof/>
          <w:sz w:val="22"/>
          <w:szCs w:val="22"/>
        </w:rPr>
      </w:pPr>
      <w:r w:rsidRPr="005B54EE">
        <w:fldChar w:fldCharType="begin"/>
      </w:r>
      <w:r w:rsidRPr="005B54EE">
        <w:instrText xml:space="preserve"> TOC \h \z \c "Tableau" </w:instrText>
      </w:r>
      <w:r w:rsidRPr="005B54EE">
        <w:fldChar w:fldCharType="separate"/>
      </w:r>
      <w:hyperlink w:anchor="_Toc124153715" w:history="1">
        <w:r w:rsidR="00AB7D85" w:rsidRPr="005B54EE">
          <w:rPr>
            <w:rStyle w:val="Hyperlink"/>
            <w:noProof/>
          </w:rPr>
          <w:t>Tableau 1</w:t>
        </w:r>
        <w:r w:rsidR="00AB7D85" w:rsidRPr="005B54EE">
          <w:rPr>
            <w:rStyle w:val="Hyperlink"/>
            <w:rFonts w:ascii="Calibri" w:hAnsi="Calibri" w:cs="Calibri"/>
            <w:noProof/>
          </w:rPr>
          <w:t> </w:t>
        </w:r>
        <w:r w:rsidR="00AB7D85" w:rsidRPr="005B54EE">
          <w:rPr>
            <w:rStyle w:val="Hyperlink"/>
            <w:noProof/>
          </w:rPr>
          <w:t>: 1</w:t>
        </w:r>
        <w:r w:rsidR="00AB7D85" w:rsidRPr="005B54EE">
          <w:rPr>
            <w:rStyle w:val="Hyperlink"/>
            <w:noProof/>
            <w:vertAlign w:val="superscript"/>
          </w:rPr>
          <w:t>er</w:t>
        </w:r>
        <w:r w:rsidR="00AB7D85" w:rsidRPr="005B54EE">
          <w:rPr>
            <w:rStyle w:val="Hyperlink"/>
            <w:noProof/>
          </w:rPr>
          <w:t xml:space="preserve"> (2015-2018), 2</w:t>
        </w:r>
        <w:r w:rsidR="00AB7D85" w:rsidRPr="005B54EE">
          <w:rPr>
            <w:rStyle w:val="Hyperlink"/>
            <w:noProof/>
            <w:vertAlign w:val="superscript"/>
          </w:rPr>
          <w:t>e</w:t>
        </w:r>
        <w:r w:rsidR="00AB7D85" w:rsidRPr="005B54EE">
          <w:rPr>
            <w:rStyle w:val="Hyperlink"/>
            <w:noProof/>
          </w:rPr>
          <w:t xml:space="preserve"> (2019-2023), 3</w:t>
        </w:r>
        <w:r w:rsidR="00AB7D85" w:rsidRPr="005B54EE">
          <w:rPr>
            <w:rStyle w:val="Hyperlink"/>
            <w:noProof/>
            <w:vertAlign w:val="superscript"/>
          </w:rPr>
          <w:t>e</w:t>
        </w:r>
        <w:r w:rsidR="00AB7D85" w:rsidRPr="005B54EE">
          <w:rPr>
            <w:rStyle w:val="Hyperlink"/>
            <w:noProof/>
          </w:rPr>
          <w:t xml:space="preserve"> (2024-2028) et 4</w:t>
        </w:r>
        <w:r w:rsidR="00AB7D85" w:rsidRPr="005B54EE">
          <w:rPr>
            <w:rStyle w:val="Hyperlink"/>
            <w:noProof/>
            <w:vertAlign w:val="superscript"/>
          </w:rPr>
          <w:t>e</w:t>
        </w:r>
        <w:r w:rsidR="00AB7D85" w:rsidRPr="005B54EE">
          <w:rPr>
            <w:rStyle w:val="Hyperlink"/>
            <w:noProof/>
          </w:rPr>
          <w:t xml:space="preserve"> (2029-2033) budgets carbone</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_Toc124153715 \h </w:instrText>
        </w:r>
        <w:r w:rsidR="00AB7D85" w:rsidRPr="005B54EE">
          <w:rPr>
            <w:noProof/>
            <w:webHidden/>
          </w:rPr>
        </w:r>
        <w:r w:rsidR="00AB7D85" w:rsidRPr="005B54EE">
          <w:rPr>
            <w:noProof/>
            <w:webHidden/>
          </w:rPr>
          <w:fldChar w:fldCharType="separate"/>
        </w:r>
        <w:r w:rsidR="005B1C45">
          <w:rPr>
            <w:noProof/>
            <w:webHidden/>
          </w:rPr>
          <w:t>18</w:t>
        </w:r>
        <w:r w:rsidR="00AB7D85" w:rsidRPr="005B54EE">
          <w:rPr>
            <w:noProof/>
            <w:webHidden/>
          </w:rPr>
          <w:fldChar w:fldCharType="end"/>
        </w:r>
      </w:hyperlink>
    </w:p>
    <w:p w14:paraId="71147506" w14:textId="2F5C7D42" w:rsidR="00AB7D85" w:rsidRPr="005B54EE" w:rsidRDefault="00C73940">
      <w:pPr>
        <w:pStyle w:val="TableofFigures"/>
        <w:tabs>
          <w:tab w:val="right" w:leader="dot" w:pos="9854"/>
        </w:tabs>
        <w:rPr>
          <w:rFonts w:eastAsiaTheme="minorEastAsia" w:cstheme="minorBidi"/>
          <w:i w:val="0"/>
          <w:noProof/>
          <w:sz w:val="22"/>
        </w:rPr>
      </w:pPr>
      <w:hyperlink w:anchor="_Toc124153716" w:history="1">
        <w:r w:rsidR="00AB7D85" w:rsidRPr="005B54EE">
          <w:rPr>
            <w:rStyle w:val="Hyperlink"/>
            <w:noProof/>
          </w:rPr>
          <w:t>Tableau 2</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GES (en ktCO</w:t>
        </w:r>
        <w:r w:rsidR="00AB7D85" w:rsidRPr="005B54EE">
          <w:rPr>
            <w:rStyle w:val="Hyperlink"/>
            <w:noProof/>
            <w:vertAlign w:val="subscript"/>
          </w:rPr>
          <w:t>2e</w:t>
        </w:r>
        <w:r w:rsidR="00AB7D85" w:rsidRPr="005B54EE">
          <w:rPr>
            <w:rStyle w:val="Hyperlink"/>
            <w:noProof/>
          </w:rPr>
          <w:t>) au périmètre Kyoto dans le scénario AME21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_Toc124153716 \h </w:instrText>
        </w:r>
        <w:r w:rsidR="00AB7D85" w:rsidRPr="005B54EE">
          <w:rPr>
            <w:noProof/>
            <w:webHidden/>
          </w:rPr>
        </w:r>
        <w:r w:rsidR="00AB7D85" w:rsidRPr="005B54EE">
          <w:rPr>
            <w:noProof/>
            <w:webHidden/>
          </w:rPr>
          <w:fldChar w:fldCharType="separate"/>
        </w:r>
        <w:r w:rsidR="005B1C45">
          <w:rPr>
            <w:noProof/>
            <w:webHidden/>
          </w:rPr>
          <w:t>82</w:t>
        </w:r>
        <w:r w:rsidR="00AB7D85" w:rsidRPr="005B54EE">
          <w:rPr>
            <w:noProof/>
            <w:webHidden/>
          </w:rPr>
          <w:fldChar w:fldCharType="end"/>
        </w:r>
      </w:hyperlink>
    </w:p>
    <w:p w14:paraId="38DA6D87" w14:textId="0A059866" w:rsidR="00AB7D85" w:rsidRPr="005B54EE" w:rsidRDefault="00C73940">
      <w:pPr>
        <w:pStyle w:val="TableofFigures"/>
        <w:tabs>
          <w:tab w:val="right" w:leader="dot" w:pos="9854"/>
        </w:tabs>
        <w:rPr>
          <w:rFonts w:eastAsiaTheme="minorEastAsia" w:cstheme="minorBidi"/>
          <w:i w:val="0"/>
          <w:noProof/>
          <w:sz w:val="22"/>
        </w:rPr>
      </w:pPr>
      <w:hyperlink w:anchor="_Toc124153717" w:history="1">
        <w:r w:rsidR="00AB7D85" w:rsidRPr="005B54EE">
          <w:rPr>
            <w:rStyle w:val="Hyperlink"/>
            <w:noProof/>
          </w:rPr>
          <w:t>Tableau 3</w:t>
        </w:r>
        <w:r w:rsidR="00AB7D85" w:rsidRPr="005B54EE">
          <w:rPr>
            <w:rStyle w:val="Hyperlink"/>
            <w:rFonts w:ascii="Calibri" w:hAnsi="Calibri" w:cs="Calibri"/>
            <w:noProof/>
          </w:rPr>
          <w:t> </w:t>
        </w:r>
        <w:r w:rsidR="00AB7D85" w:rsidRPr="005B54EE">
          <w:rPr>
            <w:rStyle w:val="Hyperlink"/>
            <w:noProof/>
          </w:rPr>
          <w:t>: Impact des diff</w:t>
        </w:r>
        <w:r w:rsidR="00AB7D85" w:rsidRPr="005B54EE">
          <w:rPr>
            <w:rStyle w:val="Hyperlink"/>
            <w:rFonts w:ascii="Marianne" w:hAnsi="Marianne" w:cs="Marianne"/>
            <w:noProof/>
          </w:rPr>
          <w:t>é</w:t>
        </w:r>
        <w:r w:rsidR="00AB7D85" w:rsidRPr="005B54EE">
          <w:rPr>
            <w:rStyle w:val="Hyperlink"/>
            <w:noProof/>
          </w:rPr>
          <w:t>rents facteurs sur le niveau d</w:t>
        </w:r>
        <w:r w:rsidR="00AB7D85" w:rsidRPr="005B54EE">
          <w:rPr>
            <w:rStyle w:val="Hyperlink"/>
            <w:rFonts w:ascii="Marianne" w:hAnsi="Marianne" w:cs="Marianne"/>
            <w:noProof/>
          </w:rPr>
          <w:t>’é</w:t>
        </w:r>
        <w:r w:rsidR="00AB7D85" w:rsidRPr="005B54EE">
          <w:rPr>
            <w:rStyle w:val="Hyperlink"/>
            <w:noProof/>
          </w:rPr>
          <w:t>missions en 2030 et 2050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_Toc124153717 \h </w:instrText>
        </w:r>
        <w:r w:rsidR="00AB7D85" w:rsidRPr="005B54EE">
          <w:rPr>
            <w:noProof/>
            <w:webHidden/>
          </w:rPr>
        </w:r>
        <w:r w:rsidR="00AB7D85" w:rsidRPr="005B54EE">
          <w:rPr>
            <w:noProof/>
            <w:webHidden/>
          </w:rPr>
          <w:fldChar w:fldCharType="separate"/>
        </w:r>
        <w:r w:rsidR="005B1C45">
          <w:rPr>
            <w:noProof/>
            <w:webHidden/>
          </w:rPr>
          <w:t>84</w:t>
        </w:r>
        <w:r w:rsidR="00AB7D85" w:rsidRPr="005B54EE">
          <w:rPr>
            <w:noProof/>
            <w:webHidden/>
          </w:rPr>
          <w:fldChar w:fldCharType="end"/>
        </w:r>
      </w:hyperlink>
    </w:p>
    <w:p w14:paraId="2EA8A1BF" w14:textId="048C48DB" w:rsidR="00AB7D85" w:rsidRPr="005B54EE" w:rsidRDefault="00C73940">
      <w:pPr>
        <w:pStyle w:val="TableofFigures"/>
        <w:tabs>
          <w:tab w:val="right" w:leader="dot" w:pos="9854"/>
        </w:tabs>
        <w:rPr>
          <w:rFonts w:eastAsiaTheme="minorEastAsia" w:cstheme="minorBidi"/>
          <w:i w:val="0"/>
          <w:noProof/>
          <w:sz w:val="22"/>
        </w:rPr>
      </w:pPr>
      <w:hyperlink w:anchor="_Toc124153718" w:history="1">
        <w:r w:rsidR="00AB7D85" w:rsidRPr="005B54EE">
          <w:rPr>
            <w:rStyle w:val="Hyperlink"/>
            <w:noProof/>
          </w:rPr>
          <w:t>Tableau 4</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GES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_Toc124153718 \h </w:instrText>
        </w:r>
        <w:r w:rsidR="00AB7D85" w:rsidRPr="005B54EE">
          <w:rPr>
            <w:noProof/>
            <w:webHidden/>
          </w:rPr>
        </w:r>
        <w:r w:rsidR="00AB7D85" w:rsidRPr="005B54EE">
          <w:rPr>
            <w:noProof/>
            <w:webHidden/>
          </w:rPr>
          <w:fldChar w:fldCharType="separate"/>
        </w:r>
        <w:r w:rsidR="005B1C45">
          <w:rPr>
            <w:noProof/>
            <w:webHidden/>
          </w:rPr>
          <w:t>84</w:t>
        </w:r>
        <w:r w:rsidR="00AB7D85" w:rsidRPr="005B54EE">
          <w:rPr>
            <w:noProof/>
            <w:webHidden/>
          </w:rPr>
          <w:fldChar w:fldCharType="end"/>
        </w:r>
      </w:hyperlink>
    </w:p>
    <w:p w14:paraId="1651DDBA" w14:textId="189EF890" w:rsidR="00AB7D85" w:rsidRPr="005B54EE" w:rsidRDefault="00C73940">
      <w:pPr>
        <w:pStyle w:val="TableofFigures"/>
        <w:tabs>
          <w:tab w:val="right" w:leader="dot" w:pos="9854"/>
        </w:tabs>
        <w:rPr>
          <w:rFonts w:eastAsiaTheme="minorEastAsia" w:cstheme="minorBidi"/>
          <w:i w:val="0"/>
          <w:noProof/>
          <w:sz w:val="22"/>
        </w:rPr>
      </w:pPr>
      <w:hyperlink w:anchor="_Toc124153719" w:history="1">
        <w:r w:rsidR="00AB7D85" w:rsidRPr="005B54EE">
          <w:rPr>
            <w:rStyle w:val="Hyperlink"/>
            <w:noProof/>
          </w:rPr>
          <w:t>Tableau 5</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GES par secteur d</w:t>
        </w:r>
        <w:r w:rsidR="00AB7D85" w:rsidRPr="005B54EE">
          <w:rPr>
            <w:rStyle w:val="Hyperlink"/>
            <w:rFonts w:ascii="Marianne" w:hAnsi="Marianne" w:cs="Marianne"/>
            <w:noProof/>
          </w:rPr>
          <w:t>’</w:t>
        </w:r>
        <w:r w:rsidR="00AB7D85" w:rsidRPr="005B54EE">
          <w:rPr>
            <w:rStyle w:val="Hyperlink"/>
            <w:noProof/>
          </w:rPr>
          <w:t>activit</w:t>
        </w:r>
        <w:r w:rsidR="00AB7D85" w:rsidRPr="005B54EE">
          <w:rPr>
            <w:rStyle w:val="Hyperlink"/>
            <w:rFonts w:ascii="Marianne" w:hAnsi="Marianne" w:cs="Marianne"/>
            <w:noProof/>
          </w:rPr>
          <w:t>é</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AME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_Toc124153719 \h </w:instrText>
        </w:r>
        <w:r w:rsidR="00AB7D85" w:rsidRPr="005B54EE">
          <w:rPr>
            <w:noProof/>
            <w:webHidden/>
          </w:rPr>
        </w:r>
        <w:r w:rsidR="00AB7D85" w:rsidRPr="005B54EE">
          <w:rPr>
            <w:noProof/>
            <w:webHidden/>
          </w:rPr>
          <w:fldChar w:fldCharType="separate"/>
        </w:r>
        <w:r w:rsidR="005B1C45">
          <w:rPr>
            <w:noProof/>
            <w:webHidden/>
          </w:rPr>
          <w:t>86</w:t>
        </w:r>
        <w:r w:rsidR="00AB7D85" w:rsidRPr="005B54EE">
          <w:rPr>
            <w:noProof/>
            <w:webHidden/>
          </w:rPr>
          <w:fldChar w:fldCharType="end"/>
        </w:r>
      </w:hyperlink>
    </w:p>
    <w:p w14:paraId="5DB3EB08" w14:textId="4A25369E" w:rsidR="00AB7D85" w:rsidRPr="005B54EE" w:rsidRDefault="00C73940">
      <w:pPr>
        <w:pStyle w:val="TableofFigures"/>
        <w:tabs>
          <w:tab w:val="right" w:leader="dot" w:pos="9854"/>
        </w:tabs>
        <w:rPr>
          <w:rFonts w:eastAsiaTheme="minorEastAsia" w:cstheme="minorBidi"/>
          <w:i w:val="0"/>
          <w:noProof/>
          <w:sz w:val="22"/>
        </w:rPr>
      </w:pPr>
      <w:hyperlink w:anchor="_Toc124153720" w:history="1">
        <w:r w:rsidR="00AB7D85" w:rsidRPr="005B54EE">
          <w:rPr>
            <w:rStyle w:val="Hyperlink"/>
            <w:noProof/>
          </w:rPr>
          <w:t>Tableau 6</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GES par secteur d</w:t>
        </w:r>
        <w:r w:rsidR="00AB7D85" w:rsidRPr="005B54EE">
          <w:rPr>
            <w:rStyle w:val="Hyperlink"/>
            <w:rFonts w:ascii="Marianne" w:hAnsi="Marianne" w:cs="Marianne"/>
            <w:noProof/>
          </w:rPr>
          <w:t>’</w:t>
        </w:r>
        <w:r w:rsidR="00AB7D85" w:rsidRPr="005B54EE">
          <w:rPr>
            <w:rStyle w:val="Hyperlink"/>
            <w:noProof/>
          </w:rPr>
          <w:t>activit</w:t>
        </w:r>
        <w:r w:rsidR="00AB7D85" w:rsidRPr="005B54EE">
          <w:rPr>
            <w:rStyle w:val="Hyperlink"/>
            <w:rFonts w:ascii="Marianne" w:hAnsi="Marianne" w:cs="Marianne"/>
            <w:noProof/>
          </w:rPr>
          <w:t>é</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_Toc124153720 \h </w:instrText>
        </w:r>
        <w:r w:rsidR="00AB7D85" w:rsidRPr="005B54EE">
          <w:rPr>
            <w:noProof/>
            <w:webHidden/>
          </w:rPr>
        </w:r>
        <w:r w:rsidR="00AB7D85" w:rsidRPr="005B54EE">
          <w:rPr>
            <w:noProof/>
            <w:webHidden/>
          </w:rPr>
          <w:fldChar w:fldCharType="separate"/>
        </w:r>
        <w:r w:rsidR="005B1C45">
          <w:rPr>
            <w:noProof/>
            <w:webHidden/>
          </w:rPr>
          <w:t>88</w:t>
        </w:r>
        <w:r w:rsidR="00AB7D85" w:rsidRPr="005B54EE">
          <w:rPr>
            <w:noProof/>
            <w:webHidden/>
          </w:rPr>
          <w:fldChar w:fldCharType="end"/>
        </w:r>
      </w:hyperlink>
    </w:p>
    <w:p w14:paraId="5A4C702A" w14:textId="60AAC21A" w:rsidR="00AB7D85" w:rsidRPr="005B54EE" w:rsidRDefault="00C73940">
      <w:pPr>
        <w:pStyle w:val="TableofFigures"/>
        <w:tabs>
          <w:tab w:val="right" w:leader="dot" w:pos="9854"/>
        </w:tabs>
        <w:rPr>
          <w:rFonts w:eastAsiaTheme="minorEastAsia" w:cstheme="minorBidi"/>
          <w:i w:val="0"/>
          <w:noProof/>
          <w:sz w:val="22"/>
        </w:rPr>
      </w:pPr>
      <w:hyperlink w:anchor="_Toc124153721" w:history="1">
        <w:r w:rsidR="00AB7D85" w:rsidRPr="005B54EE">
          <w:rPr>
            <w:rStyle w:val="Hyperlink"/>
            <w:noProof/>
          </w:rPr>
          <w:t>Tableau 7</w:t>
        </w:r>
        <w:r w:rsidR="00AB7D85" w:rsidRPr="005B54EE">
          <w:rPr>
            <w:rStyle w:val="Hyperlink"/>
            <w:rFonts w:ascii="Calibri" w:hAnsi="Calibri" w:cs="Calibri"/>
            <w:noProof/>
          </w:rPr>
          <w:t> </w:t>
        </w:r>
        <w:r w:rsidR="00AB7D85" w:rsidRPr="005B54EE">
          <w:rPr>
            <w:rStyle w:val="Hyperlink"/>
            <w:noProof/>
          </w:rPr>
          <w:t>: D</w:t>
        </w:r>
        <w:r w:rsidR="00AB7D85" w:rsidRPr="005B54EE">
          <w:rPr>
            <w:rStyle w:val="Hyperlink"/>
            <w:rFonts w:ascii="Marianne" w:hAnsi="Marianne" w:cs="Marianne"/>
            <w:noProof/>
          </w:rPr>
          <w:t>é</w:t>
        </w:r>
        <w:r w:rsidR="00AB7D85" w:rsidRPr="005B54EE">
          <w:rPr>
            <w:rStyle w:val="Hyperlink"/>
            <w:noProof/>
          </w:rPr>
          <w:t>tail des catégories du secteur énergie (en ktCO</w:t>
        </w:r>
        <w:r w:rsidR="00AB7D85" w:rsidRPr="005B54EE">
          <w:rPr>
            <w:rStyle w:val="Hyperlink"/>
            <w:noProof/>
            <w:vertAlign w:val="subscript"/>
          </w:rPr>
          <w:t>2e</w:t>
        </w:r>
        <w:r w:rsidR="00AB7D85" w:rsidRPr="005B54EE">
          <w:rPr>
            <w:rStyle w:val="Hyperlink"/>
            <w:noProof/>
          </w:rPr>
          <w:t>) au périmètre Kyoto dans le scénario AME 2021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_Toc124153721 \h </w:instrText>
        </w:r>
        <w:r w:rsidR="00AB7D85" w:rsidRPr="005B54EE">
          <w:rPr>
            <w:noProof/>
            <w:webHidden/>
          </w:rPr>
        </w:r>
        <w:r w:rsidR="00AB7D85" w:rsidRPr="005B54EE">
          <w:rPr>
            <w:noProof/>
            <w:webHidden/>
          </w:rPr>
          <w:fldChar w:fldCharType="separate"/>
        </w:r>
        <w:r w:rsidR="005B1C45">
          <w:rPr>
            <w:noProof/>
            <w:webHidden/>
          </w:rPr>
          <w:t>88</w:t>
        </w:r>
        <w:r w:rsidR="00AB7D85" w:rsidRPr="005B54EE">
          <w:rPr>
            <w:noProof/>
            <w:webHidden/>
          </w:rPr>
          <w:fldChar w:fldCharType="end"/>
        </w:r>
      </w:hyperlink>
    </w:p>
    <w:p w14:paraId="4177E86E" w14:textId="24969761" w:rsidR="00AB7D85" w:rsidRPr="005B54EE" w:rsidRDefault="00C73940">
      <w:pPr>
        <w:pStyle w:val="TableofFigures"/>
        <w:tabs>
          <w:tab w:val="right" w:leader="dot" w:pos="9854"/>
        </w:tabs>
        <w:rPr>
          <w:rFonts w:eastAsiaTheme="minorEastAsia" w:cstheme="minorBidi"/>
          <w:i w:val="0"/>
          <w:noProof/>
          <w:sz w:val="22"/>
        </w:rPr>
      </w:pPr>
      <w:hyperlink w:anchor="_Toc124153722" w:history="1">
        <w:r w:rsidR="00AB7D85" w:rsidRPr="005B54EE">
          <w:rPr>
            <w:rStyle w:val="Hyperlink"/>
            <w:noProof/>
          </w:rPr>
          <w:t>Tableau 8</w:t>
        </w:r>
        <w:r w:rsidR="00AB7D85" w:rsidRPr="005B54EE">
          <w:rPr>
            <w:rStyle w:val="Hyperlink"/>
            <w:rFonts w:ascii="Calibri" w:hAnsi="Calibri" w:cs="Calibri"/>
            <w:noProof/>
          </w:rPr>
          <w:t> </w:t>
        </w:r>
        <w:r w:rsidR="00AB7D85" w:rsidRPr="005B54EE">
          <w:rPr>
            <w:rStyle w:val="Hyperlink"/>
            <w:noProof/>
          </w:rPr>
          <w:t>: Détail des catégories du secteur énergie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_Toc124153722 \h </w:instrText>
        </w:r>
        <w:r w:rsidR="00AB7D85" w:rsidRPr="005B54EE">
          <w:rPr>
            <w:noProof/>
            <w:webHidden/>
          </w:rPr>
        </w:r>
        <w:r w:rsidR="00AB7D85" w:rsidRPr="005B54EE">
          <w:rPr>
            <w:noProof/>
            <w:webHidden/>
          </w:rPr>
          <w:fldChar w:fldCharType="separate"/>
        </w:r>
        <w:r w:rsidR="005B1C45">
          <w:rPr>
            <w:noProof/>
            <w:webHidden/>
          </w:rPr>
          <w:t>89</w:t>
        </w:r>
        <w:r w:rsidR="00AB7D85" w:rsidRPr="005B54EE">
          <w:rPr>
            <w:noProof/>
            <w:webHidden/>
          </w:rPr>
          <w:fldChar w:fldCharType="end"/>
        </w:r>
      </w:hyperlink>
    </w:p>
    <w:p w14:paraId="301C9064" w14:textId="12E873E9" w:rsidR="00AB7D85" w:rsidRPr="005B54EE" w:rsidRDefault="00C73940">
      <w:pPr>
        <w:pStyle w:val="TableofFigures"/>
        <w:tabs>
          <w:tab w:val="right" w:leader="dot" w:pos="9854"/>
        </w:tabs>
        <w:rPr>
          <w:rFonts w:eastAsiaTheme="minorEastAsia" w:cstheme="minorBidi"/>
          <w:i w:val="0"/>
          <w:noProof/>
          <w:sz w:val="22"/>
        </w:rPr>
      </w:pPr>
      <w:hyperlink w:anchor="_Toc124153723" w:history="1">
        <w:r w:rsidR="00AB7D85" w:rsidRPr="005B54EE">
          <w:rPr>
            <w:rStyle w:val="Hyperlink"/>
            <w:noProof/>
          </w:rPr>
          <w:t>Tableau 9</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GES par gaz (en ktCO</w:t>
        </w:r>
        <w:r w:rsidR="00AB7D85" w:rsidRPr="005B54EE">
          <w:rPr>
            <w:rStyle w:val="Hyperlink"/>
            <w:noProof/>
            <w:vertAlign w:val="subscript"/>
          </w:rPr>
          <w:t>2e</w:t>
        </w:r>
        <w:r w:rsidR="00AB7D85" w:rsidRPr="005B54EE">
          <w:rPr>
            <w:rStyle w:val="Hyperlink"/>
            <w:noProof/>
          </w:rPr>
          <w:t>) au périmètre Kyoto dans le scénario AME 2021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_Toc124153723 \h </w:instrText>
        </w:r>
        <w:r w:rsidR="00AB7D85" w:rsidRPr="005B54EE">
          <w:rPr>
            <w:noProof/>
            <w:webHidden/>
          </w:rPr>
        </w:r>
        <w:r w:rsidR="00AB7D85" w:rsidRPr="005B54EE">
          <w:rPr>
            <w:noProof/>
            <w:webHidden/>
          </w:rPr>
          <w:fldChar w:fldCharType="separate"/>
        </w:r>
        <w:r w:rsidR="005B1C45">
          <w:rPr>
            <w:noProof/>
            <w:webHidden/>
          </w:rPr>
          <w:t>91</w:t>
        </w:r>
        <w:r w:rsidR="00AB7D85" w:rsidRPr="005B54EE">
          <w:rPr>
            <w:noProof/>
            <w:webHidden/>
          </w:rPr>
          <w:fldChar w:fldCharType="end"/>
        </w:r>
      </w:hyperlink>
    </w:p>
    <w:p w14:paraId="52DC0A4B" w14:textId="4F85E492" w:rsidR="00AB7D85" w:rsidRPr="005B54EE" w:rsidRDefault="00C73940">
      <w:pPr>
        <w:pStyle w:val="TableofFigures"/>
        <w:tabs>
          <w:tab w:val="right" w:leader="dot" w:pos="9854"/>
        </w:tabs>
        <w:rPr>
          <w:rFonts w:eastAsiaTheme="minorEastAsia" w:cstheme="minorBidi"/>
          <w:i w:val="0"/>
          <w:noProof/>
          <w:sz w:val="22"/>
        </w:rPr>
      </w:pPr>
      <w:hyperlink w:anchor="_Toc124153724" w:history="1">
        <w:r w:rsidR="00AB7D85" w:rsidRPr="005B54EE">
          <w:rPr>
            <w:rStyle w:val="Hyperlink"/>
            <w:noProof/>
          </w:rPr>
          <w:t>Tableau 10</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GES par gaz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_Toc124153724 \h </w:instrText>
        </w:r>
        <w:r w:rsidR="00AB7D85" w:rsidRPr="005B54EE">
          <w:rPr>
            <w:noProof/>
            <w:webHidden/>
          </w:rPr>
        </w:r>
        <w:r w:rsidR="00AB7D85" w:rsidRPr="005B54EE">
          <w:rPr>
            <w:noProof/>
            <w:webHidden/>
          </w:rPr>
          <w:fldChar w:fldCharType="separate"/>
        </w:r>
        <w:r w:rsidR="005B1C45">
          <w:rPr>
            <w:noProof/>
            <w:webHidden/>
          </w:rPr>
          <w:t>93</w:t>
        </w:r>
        <w:r w:rsidR="00AB7D85" w:rsidRPr="005B54EE">
          <w:rPr>
            <w:noProof/>
            <w:webHidden/>
          </w:rPr>
          <w:fldChar w:fldCharType="end"/>
        </w:r>
      </w:hyperlink>
    </w:p>
    <w:p w14:paraId="5E83C167" w14:textId="04FB927B" w:rsidR="00AB7D85" w:rsidRPr="005B54EE" w:rsidRDefault="00C73940">
      <w:pPr>
        <w:pStyle w:val="TableofFigures"/>
        <w:tabs>
          <w:tab w:val="right" w:leader="dot" w:pos="9854"/>
        </w:tabs>
        <w:rPr>
          <w:rFonts w:eastAsiaTheme="minorEastAsia" w:cstheme="minorBidi"/>
          <w:i w:val="0"/>
          <w:noProof/>
          <w:sz w:val="22"/>
        </w:rPr>
      </w:pPr>
      <w:hyperlink w:anchor="_Toc124153725" w:history="1">
        <w:r w:rsidR="00AB7D85" w:rsidRPr="005B54EE">
          <w:rPr>
            <w:rStyle w:val="Hyperlink"/>
            <w:noProof/>
          </w:rPr>
          <w:t>Tableau 11</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CO</w:t>
        </w:r>
        <w:r w:rsidR="00AB7D85" w:rsidRPr="005B54EE">
          <w:rPr>
            <w:rStyle w:val="Hyperlink"/>
            <w:noProof/>
            <w:vertAlign w:val="subscript"/>
          </w:rPr>
          <w:t>2</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AME 2021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_Toc124153725 \h </w:instrText>
        </w:r>
        <w:r w:rsidR="00AB7D85" w:rsidRPr="005B54EE">
          <w:rPr>
            <w:noProof/>
            <w:webHidden/>
          </w:rPr>
        </w:r>
        <w:r w:rsidR="00AB7D85" w:rsidRPr="005B54EE">
          <w:rPr>
            <w:noProof/>
            <w:webHidden/>
          </w:rPr>
          <w:fldChar w:fldCharType="separate"/>
        </w:r>
        <w:r w:rsidR="005B1C45">
          <w:rPr>
            <w:noProof/>
            <w:webHidden/>
          </w:rPr>
          <w:t>95</w:t>
        </w:r>
        <w:r w:rsidR="00AB7D85" w:rsidRPr="005B54EE">
          <w:rPr>
            <w:noProof/>
            <w:webHidden/>
          </w:rPr>
          <w:fldChar w:fldCharType="end"/>
        </w:r>
      </w:hyperlink>
    </w:p>
    <w:p w14:paraId="7F9F644E" w14:textId="28282246" w:rsidR="00AB7D85" w:rsidRPr="005B54EE" w:rsidRDefault="00C73940">
      <w:pPr>
        <w:pStyle w:val="TableofFigures"/>
        <w:tabs>
          <w:tab w:val="right" w:leader="dot" w:pos="9854"/>
        </w:tabs>
        <w:rPr>
          <w:rFonts w:eastAsiaTheme="minorEastAsia" w:cstheme="minorBidi"/>
          <w:i w:val="0"/>
          <w:noProof/>
          <w:sz w:val="22"/>
        </w:rPr>
      </w:pPr>
      <w:hyperlink w:anchor="_Toc124153726" w:history="1">
        <w:r w:rsidR="00AB7D85" w:rsidRPr="005B54EE">
          <w:rPr>
            <w:rStyle w:val="Hyperlink"/>
            <w:noProof/>
          </w:rPr>
          <w:t>Tableau 12 : Projections d’émissions de CH</w:t>
        </w:r>
        <w:r w:rsidR="00AB7D85" w:rsidRPr="005B54EE">
          <w:rPr>
            <w:rStyle w:val="Hyperlink"/>
            <w:noProof/>
            <w:vertAlign w:val="subscript"/>
          </w:rPr>
          <w:t>4</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AME 2021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_Toc124153726 \h </w:instrText>
        </w:r>
        <w:r w:rsidR="00AB7D85" w:rsidRPr="005B54EE">
          <w:rPr>
            <w:noProof/>
            <w:webHidden/>
          </w:rPr>
        </w:r>
        <w:r w:rsidR="00AB7D85" w:rsidRPr="005B54EE">
          <w:rPr>
            <w:noProof/>
            <w:webHidden/>
          </w:rPr>
          <w:fldChar w:fldCharType="separate"/>
        </w:r>
        <w:r w:rsidR="005B1C45">
          <w:rPr>
            <w:noProof/>
            <w:webHidden/>
          </w:rPr>
          <w:t>95</w:t>
        </w:r>
        <w:r w:rsidR="00AB7D85" w:rsidRPr="005B54EE">
          <w:rPr>
            <w:noProof/>
            <w:webHidden/>
          </w:rPr>
          <w:fldChar w:fldCharType="end"/>
        </w:r>
      </w:hyperlink>
    </w:p>
    <w:p w14:paraId="20D80703" w14:textId="6CF399F2" w:rsidR="00AB7D85" w:rsidRPr="005B54EE" w:rsidRDefault="00C73940">
      <w:pPr>
        <w:pStyle w:val="TableofFigures"/>
        <w:tabs>
          <w:tab w:val="right" w:leader="dot" w:pos="9854"/>
        </w:tabs>
        <w:rPr>
          <w:rFonts w:eastAsiaTheme="minorEastAsia" w:cstheme="minorBidi"/>
          <w:i w:val="0"/>
          <w:noProof/>
          <w:sz w:val="22"/>
        </w:rPr>
      </w:pPr>
      <w:hyperlink w:anchor="_Toc124153727" w:history="1">
        <w:r w:rsidR="00AB7D85" w:rsidRPr="005B54EE">
          <w:rPr>
            <w:rStyle w:val="Hyperlink"/>
            <w:noProof/>
          </w:rPr>
          <w:t>Tableau 13</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N</w:t>
        </w:r>
        <w:r w:rsidR="00AB7D85" w:rsidRPr="005B54EE">
          <w:rPr>
            <w:rStyle w:val="Hyperlink"/>
            <w:noProof/>
            <w:vertAlign w:val="subscript"/>
          </w:rPr>
          <w:t>2</w:t>
        </w:r>
        <w:r w:rsidR="00AB7D85" w:rsidRPr="005B54EE">
          <w:rPr>
            <w:rStyle w:val="Hyperlink"/>
            <w:noProof/>
          </w:rPr>
          <w:t>O (en ktCO</w:t>
        </w:r>
        <w:r w:rsidR="00AB7D85" w:rsidRPr="005B54EE">
          <w:rPr>
            <w:rStyle w:val="Hyperlink"/>
            <w:noProof/>
            <w:vertAlign w:val="subscript"/>
          </w:rPr>
          <w:t>2e</w:t>
        </w:r>
        <w:r w:rsidR="00AB7D85" w:rsidRPr="005B54EE">
          <w:rPr>
            <w:rStyle w:val="Hyperlink"/>
            <w:noProof/>
          </w:rPr>
          <w:t>) au périmètre Kyoto dans le scénario AME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_Toc124153727 \h </w:instrText>
        </w:r>
        <w:r w:rsidR="00AB7D85" w:rsidRPr="005B54EE">
          <w:rPr>
            <w:noProof/>
            <w:webHidden/>
          </w:rPr>
        </w:r>
        <w:r w:rsidR="00AB7D85" w:rsidRPr="005B54EE">
          <w:rPr>
            <w:noProof/>
            <w:webHidden/>
          </w:rPr>
          <w:fldChar w:fldCharType="separate"/>
        </w:r>
        <w:r w:rsidR="005B1C45">
          <w:rPr>
            <w:noProof/>
            <w:webHidden/>
          </w:rPr>
          <w:t>96</w:t>
        </w:r>
        <w:r w:rsidR="00AB7D85" w:rsidRPr="005B54EE">
          <w:rPr>
            <w:noProof/>
            <w:webHidden/>
          </w:rPr>
          <w:fldChar w:fldCharType="end"/>
        </w:r>
      </w:hyperlink>
    </w:p>
    <w:p w14:paraId="1A91CF8A" w14:textId="56A8E13F" w:rsidR="00AB7D85" w:rsidRPr="005B54EE" w:rsidRDefault="00C73940">
      <w:pPr>
        <w:pStyle w:val="TableofFigures"/>
        <w:tabs>
          <w:tab w:val="right" w:leader="dot" w:pos="9854"/>
        </w:tabs>
        <w:rPr>
          <w:rFonts w:eastAsiaTheme="minorEastAsia" w:cstheme="minorBidi"/>
          <w:i w:val="0"/>
          <w:noProof/>
          <w:sz w:val="22"/>
        </w:rPr>
      </w:pPr>
      <w:hyperlink w:anchor="_Toc124153728" w:history="1">
        <w:r w:rsidR="00AB7D85" w:rsidRPr="005B54EE">
          <w:rPr>
            <w:rStyle w:val="Hyperlink"/>
            <w:noProof/>
          </w:rPr>
          <w:t>Tableau 14 : Projections d’émissions de HFC (en ktCO</w:t>
        </w:r>
        <w:r w:rsidR="00AB7D85" w:rsidRPr="005B54EE">
          <w:rPr>
            <w:rStyle w:val="Hyperlink"/>
            <w:noProof/>
            <w:vertAlign w:val="subscript"/>
          </w:rPr>
          <w:t>2e</w:t>
        </w:r>
        <w:r w:rsidR="00AB7D85" w:rsidRPr="005B54EE">
          <w:rPr>
            <w:rStyle w:val="Hyperlink"/>
            <w:noProof/>
          </w:rPr>
          <w:t>) au périmètre Kyoto dans le scénario AME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_Toc124153728 \h </w:instrText>
        </w:r>
        <w:r w:rsidR="00AB7D85" w:rsidRPr="005B54EE">
          <w:rPr>
            <w:noProof/>
            <w:webHidden/>
          </w:rPr>
        </w:r>
        <w:r w:rsidR="00AB7D85" w:rsidRPr="005B54EE">
          <w:rPr>
            <w:noProof/>
            <w:webHidden/>
          </w:rPr>
          <w:fldChar w:fldCharType="separate"/>
        </w:r>
        <w:r w:rsidR="005B1C45">
          <w:rPr>
            <w:noProof/>
            <w:webHidden/>
          </w:rPr>
          <w:t>96</w:t>
        </w:r>
        <w:r w:rsidR="00AB7D85" w:rsidRPr="005B54EE">
          <w:rPr>
            <w:noProof/>
            <w:webHidden/>
          </w:rPr>
          <w:fldChar w:fldCharType="end"/>
        </w:r>
      </w:hyperlink>
    </w:p>
    <w:p w14:paraId="66D3A59D" w14:textId="5BECF9F8" w:rsidR="00AB7D85" w:rsidRPr="005B54EE" w:rsidRDefault="00C73940">
      <w:pPr>
        <w:pStyle w:val="TableofFigures"/>
        <w:tabs>
          <w:tab w:val="right" w:leader="dot" w:pos="9854"/>
        </w:tabs>
        <w:rPr>
          <w:rFonts w:eastAsiaTheme="minorEastAsia" w:cstheme="minorBidi"/>
          <w:i w:val="0"/>
          <w:noProof/>
          <w:sz w:val="22"/>
        </w:rPr>
      </w:pPr>
      <w:hyperlink w:anchor="_Toc124153729" w:history="1">
        <w:r w:rsidR="00AB7D85" w:rsidRPr="005B54EE">
          <w:rPr>
            <w:rStyle w:val="Hyperlink"/>
            <w:noProof/>
          </w:rPr>
          <w:t>Tableau 15</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PFC (en ktCO</w:t>
        </w:r>
        <w:r w:rsidR="00AB7D85" w:rsidRPr="005B54EE">
          <w:rPr>
            <w:rStyle w:val="Hyperlink"/>
            <w:noProof/>
            <w:vertAlign w:val="subscript"/>
          </w:rPr>
          <w:t>2e</w:t>
        </w:r>
        <w:r w:rsidR="00AB7D85" w:rsidRPr="005B54EE">
          <w:rPr>
            <w:rStyle w:val="Hyperlink"/>
            <w:noProof/>
          </w:rPr>
          <w:t>) au périmètre Kyoto dans le scénario AME 2021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_Toc124153729 \h </w:instrText>
        </w:r>
        <w:r w:rsidR="00AB7D85" w:rsidRPr="005B54EE">
          <w:rPr>
            <w:noProof/>
            <w:webHidden/>
          </w:rPr>
        </w:r>
        <w:r w:rsidR="00AB7D85" w:rsidRPr="005B54EE">
          <w:rPr>
            <w:noProof/>
            <w:webHidden/>
          </w:rPr>
          <w:fldChar w:fldCharType="separate"/>
        </w:r>
        <w:r w:rsidR="005B1C45">
          <w:rPr>
            <w:noProof/>
            <w:webHidden/>
          </w:rPr>
          <w:t>97</w:t>
        </w:r>
        <w:r w:rsidR="00AB7D85" w:rsidRPr="005B54EE">
          <w:rPr>
            <w:noProof/>
            <w:webHidden/>
          </w:rPr>
          <w:fldChar w:fldCharType="end"/>
        </w:r>
      </w:hyperlink>
    </w:p>
    <w:p w14:paraId="608578FC" w14:textId="53B1B7F7" w:rsidR="00AB7D85" w:rsidRPr="005B54EE" w:rsidRDefault="00C73940">
      <w:pPr>
        <w:pStyle w:val="TableofFigures"/>
        <w:tabs>
          <w:tab w:val="right" w:leader="dot" w:pos="9854"/>
        </w:tabs>
        <w:rPr>
          <w:rFonts w:eastAsiaTheme="minorEastAsia" w:cstheme="minorBidi"/>
          <w:i w:val="0"/>
          <w:noProof/>
          <w:sz w:val="22"/>
        </w:rPr>
      </w:pPr>
      <w:hyperlink w:anchor="_Toc124153730" w:history="1">
        <w:r w:rsidR="00AB7D85" w:rsidRPr="005B54EE">
          <w:rPr>
            <w:rStyle w:val="Hyperlink"/>
            <w:noProof/>
          </w:rPr>
          <w:t>Tableau 16</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SF</w:t>
        </w:r>
        <w:r w:rsidR="00AB7D85" w:rsidRPr="005B54EE">
          <w:rPr>
            <w:rStyle w:val="Hyperlink"/>
            <w:noProof/>
            <w:vertAlign w:val="subscript"/>
          </w:rPr>
          <w:t>6</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AME 2021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_Toc124153730 \h </w:instrText>
        </w:r>
        <w:r w:rsidR="00AB7D85" w:rsidRPr="005B54EE">
          <w:rPr>
            <w:noProof/>
            <w:webHidden/>
          </w:rPr>
        </w:r>
        <w:r w:rsidR="00AB7D85" w:rsidRPr="005B54EE">
          <w:rPr>
            <w:noProof/>
            <w:webHidden/>
          </w:rPr>
          <w:fldChar w:fldCharType="separate"/>
        </w:r>
        <w:r w:rsidR="005B1C45">
          <w:rPr>
            <w:noProof/>
            <w:webHidden/>
          </w:rPr>
          <w:t>97</w:t>
        </w:r>
        <w:r w:rsidR="00AB7D85" w:rsidRPr="005B54EE">
          <w:rPr>
            <w:noProof/>
            <w:webHidden/>
          </w:rPr>
          <w:fldChar w:fldCharType="end"/>
        </w:r>
      </w:hyperlink>
    </w:p>
    <w:p w14:paraId="7B7F4C89" w14:textId="5874F668" w:rsidR="00AB7D85" w:rsidRPr="005B54EE" w:rsidRDefault="00C73940">
      <w:pPr>
        <w:pStyle w:val="TableofFigures"/>
        <w:tabs>
          <w:tab w:val="right" w:leader="dot" w:pos="9854"/>
        </w:tabs>
        <w:rPr>
          <w:rFonts w:eastAsiaTheme="minorEastAsia" w:cstheme="minorBidi"/>
          <w:i w:val="0"/>
          <w:noProof/>
          <w:sz w:val="22"/>
        </w:rPr>
      </w:pPr>
      <w:hyperlink w:anchor="_Toc124153731" w:history="1">
        <w:r w:rsidR="00AB7D85" w:rsidRPr="005B54EE">
          <w:rPr>
            <w:rStyle w:val="Hyperlink"/>
            <w:noProof/>
          </w:rPr>
          <w:t>Tableau 17</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NF</w:t>
        </w:r>
        <w:r w:rsidR="00AB7D85" w:rsidRPr="005B54EE">
          <w:rPr>
            <w:rStyle w:val="Hyperlink"/>
            <w:noProof/>
            <w:vertAlign w:val="subscript"/>
          </w:rPr>
          <w:t>3</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AME 2021 (avec mesures existantes)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_Toc124153731 \h </w:instrText>
        </w:r>
        <w:r w:rsidR="00AB7D85" w:rsidRPr="005B54EE">
          <w:rPr>
            <w:noProof/>
            <w:webHidden/>
          </w:rPr>
        </w:r>
        <w:r w:rsidR="00AB7D85" w:rsidRPr="005B54EE">
          <w:rPr>
            <w:noProof/>
            <w:webHidden/>
          </w:rPr>
          <w:fldChar w:fldCharType="separate"/>
        </w:r>
        <w:r w:rsidR="005B1C45">
          <w:rPr>
            <w:noProof/>
            <w:webHidden/>
          </w:rPr>
          <w:t>97</w:t>
        </w:r>
        <w:r w:rsidR="00AB7D85" w:rsidRPr="005B54EE">
          <w:rPr>
            <w:noProof/>
            <w:webHidden/>
          </w:rPr>
          <w:fldChar w:fldCharType="end"/>
        </w:r>
      </w:hyperlink>
    </w:p>
    <w:p w14:paraId="5DA820AC" w14:textId="051B364A" w:rsidR="00AB7D85" w:rsidRPr="005B54EE" w:rsidRDefault="00C73940">
      <w:pPr>
        <w:pStyle w:val="TableofFigures"/>
        <w:tabs>
          <w:tab w:val="right" w:leader="dot" w:pos="9854"/>
        </w:tabs>
        <w:rPr>
          <w:rFonts w:eastAsiaTheme="minorEastAsia" w:cstheme="minorBidi"/>
          <w:i w:val="0"/>
          <w:noProof/>
          <w:sz w:val="22"/>
        </w:rPr>
      </w:pPr>
      <w:hyperlink w:anchor="_Toc124153732" w:history="1">
        <w:r w:rsidR="00AB7D85" w:rsidRPr="005B54EE">
          <w:rPr>
            <w:rStyle w:val="Hyperlink"/>
            <w:noProof/>
          </w:rPr>
          <w:t>Tableau 18</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CO</w:t>
        </w:r>
        <w:r w:rsidR="00AB7D85" w:rsidRPr="005B54EE">
          <w:rPr>
            <w:rStyle w:val="Hyperlink"/>
            <w:noProof/>
            <w:vertAlign w:val="subscript"/>
          </w:rPr>
          <w:t>2</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_Toc124153732 \h </w:instrText>
        </w:r>
        <w:r w:rsidR="00AB7D85" w:rsidRPr="005B54EE">
          <w:rPr>
            <w:noProof/>
            <w:webHidden/>
          </w:rPr>
        </w:r>
        <w:r w:rsidR="00AB7D85" w:rsidRPr="005B54EE">
          <w:rPr>
            <w:noProof/>
            <w:webHidden/>
          </w:rPr>
          <w:fldChar w:fldCharType="separate"/>
        </w:r>
        <w:r w:rsidR="005B1C45">
          <w:rPr>
            <w:noProof/>
            <w:webHidden/>
          </w:rPr>
          <w:t>98</w:t>
        </w:r>
        <w:r w:rsidR="00AB7D85" w:rsidRPr="005B54EE">
          <w:rPr>
            <w:noProof/>
            <w:webHidden/>
          </w:rPr>
          <w:fldChar w:fldCharType="end"/>
        </w:r>
      </w:hyperlink>
    </w:p>
    <w:p w14:paraId="15FA5EE6" w14:textId="5F3B347A" w:rsidR="00AB7D85" w:rsidRPr="005B54EE" w:rsidRDefault="00C73940">
      <w:pPr>
        <w:pStyle w:val="TableofFigures"/>
        <w:tabs>
          <w:tab w:val="right" w:leader="dot" w:pos="9854"/>
        </w:tabs>
        <w:rPr>
          <w:rFonts w:eastAsiaTheme="minorEastAsia" w:cstheme="minorBidi"/>
          <w:i w:val="0"/>
          <w:noProof/>
          <w:sz w:val="22"/>
        </w:rPr>
      </w:pPr>
      <w:hyperlink w:anchor="_Toc124153733" w:history="1">
        <w:r w:rsidR="00AB7D85" w:rsidRPr="005B54EE">
          <w:rPr>
            <w:rStyle w:val="Hyperlink"/>
            <w:noProof/>
          </w:rPr>
          <w:t>Tableau 19</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CH</w:t>
        </w:r>
        <w:r w:rsidR="00AB7D85" w:rsidRPr="005B54EE">
          <w:rPr>
            <w:rStyle w:val="Hyperlink"/>
            <w:noProof/>
            <w:vertAlign w:val="subscript"/>
          </w:rPr>
          <w:t>4</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_Toc124153733 \h </w:instrText>
        </w:r>
        <w:r w:rsidR="00AB7D85" w:rsidRPr="005B54EE">
          <w:rPr>
            <w:noProof/>
            <w:webHidden/>
          </w:rPr>
        </w:r>
        <w:r w:rsidR="00AB7D85" w:rsidRPr="005B54EE">
          <w:rPr>
            <w:noProof/>
            <w:webHidden/>
          </w:rPr>
          <w:fldChar w:fldCharType="separate"/>
        </w:r>
        <w:r w:rsidR="005B1C45">
          <w:rPr>
            <w:noProof/>
            <w:webHidden/>
          </w:rPr>
          <w:t>98</w:t>
        </w:r>
        <w:r w:rsidR="00AB7D85" w:rsidRPr="005B54EE">
          <w:rPr>
            <w:noProof/>
            <w:webHidden/>
          </w:rPr>
          <w:fldChar w:fldCharType="end"/>
        </w:r>
      </w:hyperlink>
    </w:p>
    <w:p w14:paraId="41174D0F" w14:textId="60336C2E" w:rsidR="00AB7D85" w:rsidRPr="005B54EE" w:rsidRDefault="00C73940">
      <w:pPr>
        <w:pStyle w:val="TableofFigures"/>
        <w:tabs>
          <w:tab w:val="right" w:leader="dot" w:pos="9854"/>
        </w:tabs>
        <w:rPr>
          <w:rFonts w:eastAsiaTheme="minorEastAsia" w:cstheme="minorBidi"/>
          <w:i w:val="0"/>
          <w:noProof/>
          <w:sz w:val="22"/>
        </w:rPr>
      </w:pPr>
      <w:hyperlink w:anchor="_Toc124153734" w:history="1">
        <w:r w:rsidR="00AB7D85" w:rsidRPr="005B54EE">
          <w:rPr>
            <w:rStyle w:val="Hyperlink"/>
            <w:noProof/>
          </w:rPr>
          <w:t>Tableau 20</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N</w:t>
        </w:r>
        <w:r w:rsidR="00AB7D85" w:rsidRPr="005B54EE">
          <w:rPr>
            <w:rStyle w:val="Hyperlink"/>
            <w:noProof/>
            <w:vertAlign w:val="subscript"/>
          </w:rPr>
          <w:t>2</w:t>
        </w:r>
        <w:r w:rsidR="00AB7D85" w:rsidRPr="005B54EE">
          <w:rPr>
            <w:rStyle w:val="Hyperlink"/>
            <w:noProof/>
          </w:rPr>
          <w:t>O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_Toc124153734 \h </w:instrText>
        </w:r>
        <w:r w:rsidR="00AB7D85" w:rsidRPr="005B54EE">
          <w:rPr>
            <w:noProof/>
            <w:webHidden/>
          </w:rPr>
        </w:r>
        <w:r w:rsidR="00AB7D85" w:rsidRPr="005B54EE">
          <w:rPr>
            <w:noProof/>
            <w:webHidden/>
          </w:rPr>
          <w:fldChar w:fldCharType="separate"/>
        </w:r>
        <w:r w:rsidR="005B1C45">
          <w:rPr>
            <w:noProof/>
            <w:webHidden/>
          </w:rPr>
          <w:t>99</w:t>
        </w:r>
        <w:r w:rsidR="00AB7D85" w:rsidRPr="005B54EE">
          <w:rPr>
            <w:noProof/>
            <w:webHidden/>
          </w:rPr>
          <w:fldChar w:fldCharType="end"/>
        </w:r>
      </w:hyperlink>
    </w:p>
    <w:p w14:paraId="35F4186F" w14:textId="7383BA8C" w:rsidR="00AB7D85" w:rsidRPr="005B54EE" w:rsidRDefault="00C73940">
      <w:pPr>
        <w:pStyle w:val="TableofFigures"/>
        <w:tabs>
          <w:tab w:val="right" w:leader="dot" w:pos="9854"/>
        </w:tabs>
        <w:rPr>
          <w:rFonts w:eastAsiaTheme="minorEastAsia" w:cstheme="minorBidi"/>
          <w:i w:val="0"/>
          <w:noProof/>
          <w:sz w:val="22"/>
        </w:rPr>
      </w:pPr>
      <w:hyperlink w:anchor="_Toc124153735" w:history="1">
        <w:r w:rsidR="00AB7D85" w:rsidRPr="005B54EE">
          <w:rPr>
            <w:rStyle w:val="Hyperlink"/>
            <w:noProof/>
          </w:rPr>
          <w:t>Tableau 21</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HFC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_Toc124153735 \h </w:instrText>
        </w:r>
        <w:r w:rsidR="00AB7D85" w:rsidRPr="005B54EE">
          <w:rPr>
            <w:noProof/>
            <w:webHidden/>
          </w:rPr>
        </w:r>
        <w:r w:rsidR="00AB7D85" w:rsidRPr="005B54EE">
          <w:rPr>
            <w:noProof/>
            <w:webHidden/>
          </w:rPr>
          <w:fldChar w:fldCharType="separate"/>
        </w:r>
        <w:r w:rsidR="005B1C45">
          <w:rPr>
            <w:noProof/>
            <w:webHidden/>
          </w:rPr>
          <w:t>99</w:t>
        </w:r>
        <w:r w:rsidR="00AB7D85" w:rsidRPr="005B54EE">
          <w:rPr>
            <w:noProof/>
            <w:webHidden/>
          </w:rPr>
          <w:fldChar w:fldCharType="end"/>
        </w:r>
      </w:hyperlink>
    </w:p>
    <w:p w14:paraId="705A27F3" w14:textId="36ED58A7" w:rsidR="00AB7D85" w:rsidRPr="005B54EE" w:rsidRDefault="00C73940">
      <w:pPr>
        <w:pStyle w:val="TableofFigures"/>
        <w:tabs>
          <w:tab w:val="right" w:leader="dot" w:pos="9854"/>
        </w:tabs>
        <w:rPr>
          <w:rFonts w:eastAsiaTheme="minorEastAsia" w:cstheme="minorBidi"/>
          <w:i w:val="0"/>
          <w:noProof/>
          <w:sz w:val="22"/>
        </w:rPr>
      </w:pPr>
      <w:hyperlink w:anchor="_Toc124153736" w:history="1">
        <w:r w:rsidR="00AB7D85" w:rsidRPr="005B54EE">
          <w:rPr>
            <w:rStyle w:val="Hyperlink"/>
            <w:noProof/>
          </w:rPr>
          <w:t>Tableau 22</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PFC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_Toc124153736 \h </w:instrText>
        </w:r>
        <w:r w:rsidR="00AB7D85" w:rsidRPr="005B54EE">
          <w:rPr>
            <w:noProof/>
            <w:webHidden/>
          </w:rPr>
        </w:r>
        <w:r w:rsidR="00AB7D85" w:rsidRPr="005B54EE">
          <w:rPr>
            <w:noProof/>
            <w:webHidden/>
          </w:rPr>
          <w:fldChar w:fldCharType="separate"/>
        </w:r>
        <w:r w:rsidR="005B1C45">
          <w:rPr>
            <w:noProof/>
            <w:webHidden/>
          </w:rPr>
          <w:t>100</w:t>
        </w:r>
        <w:r w:rsidR="00AB7D85" w:rsidRPr="005B54EE">
          <w:rPr>
            <w:noProof/>
            <w:webHidden/>
          </w:rPr>
          <w:fldChar w:fldCharType="end"/>
        </w:r>
      </w:hyperlink>
    </w:p>
    <w:p w14:paraId="4DBB7602" w14:textId="1669C7F3" w:rsidR="00AB7D85" w:rsidRPr="005B54EE" w:rsidRDefault="00C73940">
      <w:pPr>
        <w:pStyle w:val="TableofFigures"/>
        <w:tabs>
          <w:tab w:val="right" w:leader="dot" w:pos="9854"/>
        </w:tabs>
        <w:rPr>
          <w:rFonts w:eastAsiaTheme="minorEastAsia" w:cstheme="minorBidi"/>
          <w:i w:val="0"/>
          <w:noProof/>
          <w:sz w:val="22"/>
        </w:rPr>
      </w:pPr>
      <w:hyperlink w:anchor="_Toc124153737" w:history="1">
        <w:r w:rsidR="00AB7D85" w:rsidRPr="005B54EE">
          <w:rPr>
            <w:rStyle w:val="Hyperlink"/>
            <w:noProof/>
          </w:rPr>
          <w:t>Tableau 23</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SF</w:t>
        </w:r>
        <w:r w:rsidR="00AB7D85" w:rsidRPr="005B54EE">
          <w:rPr>
            <w:rStyle w:val="Hyperlink"/>
            <w:noProof/>
            <w:vertAlign w:val="subscript"/>
          </w:rPr>
          <w:t>6</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_Toc124153737 \h </w:instrText>
        </w:r>
        <w:r w:rsidR="00AB7D85" w:rsidRPr="005B54EE">
          <w:rPr>
            <w:noProof/>
            <w:webHidden/>
          </w:rPr>
        </w:r>
        <w:r w:rsidR="00AB7D85" w:rsidRPr="005B54EE">
          <w:rPr>
            <w:noProof/>
            <w:webHidden/>
          </w:rPr>
          <w:fldChar w:fldCharType="separate"/>
        </w:r>
        <w:r w:rsidR="005B1C45">
          <w:rPr>
            <w:noProof/>
            <w:webHidden/>
          </w:rPr>
          <w:t>100</w:t>
        </w:r>
        <w:r w:rsidR="00AB7D85" w:rsidRPr="005B54EE">
          <w:rPr>
            <w:noProof/>
            <w:webHidden/>
          </w:rPr>
          <w:fldChar w:fldCharType="end"/>
        </w:r>
      </w:hyperlink>
    </w:p>
    <w:p w14:paraId="2BAB17C0" w14:textId="70DA1F30" w:rsidR="00AB7D85" w:rsidRPr="005B54EE" w:rsidRDefault="00C73940">
      <w:pPr>
        <w:pStyle w:val="TableofFigures"/>
        <w:tabs>
          <w:tab w:val="right" w:leader="dot" w:pos="9854"/>
        </w:tabs>
        <w:rPr>
          <w:rFonts w:eastAsiaTheme="minorEastAsia" w:cstheme="minorBidi"/>
          <w:i w:val="0"/>
          <w:noProof/>
          <w:sz w:val="22"/>
        </w:rPr>
      </w:pPr>
      <w:hyperlink w:anchor="_Toc124153738" w:history="1">
        <w:r w:rsidR="00AB7D85" w:rsidRPr="005B54EE">
          <w:rPr>
            <w:rStyle w:val="Hyperlink"/>
            <w:noProof/>
          </w:rPr>
          <w:t>Tableau 24</w:t>
        </w:r>
        <w:r w:rsidR="00AB7D85" w:rsidRPr="005B54EE">
          <w:rPr>
            <w:rStyle w:val="Hyperlink"/>
            <w:rFonts w:ascii="Calibri" w:hAnsi="Calibri" w:cs="Calibri"/>
            <w:noProof/>
          </w:rPr>
          <w:t> </w:t>
        </w:r>
        <w:r w:rsidR="00AB7D85" w:rsidRPr="005B54EE">
          <w:rPr>
            <w:rStyle w:val="Hyperlink"/>
            <w:noProof/>
          </w:rPr>
          <w:t>: Projections d</w:t>
        </w:r>
        <w:r w:rsidR="00AB7D85" w:rsidRPr="005B54EE">
          <w:rPr>
            <w:rStyle w:val="Hyperlink"/>
            <w:rFonts w:ascii="Marianne" w:hAnsi="Marianne" w:cs="Marianne"/>
            <w:noProof/>
          </w:rPr>
          <w:t>’é</w:t>
        </w:r>
        <w:r w:rsidR="00AB7D85" w:rsidRPr="005B54EE">
          <w:rPr>
            <w:rStyle w:val="Hyperlink"/>
            <w:noProof/>
          </w:rPr>
          <w:t>missions de NF</w:t>
        </w:r>
        <w:r w:rsidR="00AB7D85" w:rsidRPr="005B54EE">
          <w:rPr>
            <w:rStyle w:val="Hyperlink"/>
            <w:noProof/>
            <w:vertAlign w:val="subscript"/>
          </w:rPr>
          <w:t>3</w:t>
        </w:r>
        <w:r w:rsidR="00AB7D85" w:rsidRPr="005B54EE">
          <w:rPr>
            <w:rStyle w:val="Hyperlink"/>
            <w:noProof/>
          </w:rPr>
          <w:t xml:space="preserve"> (en ktCO</w:t>
        </w:r>
        <w:r w:rsidR="00AB7D85" w:rsidRPr="005B54EE">
          <w:rPr>
            <w:rStyle w:val="Hyperlink"/>
            <w:noProof/>
            <w:vertAlign w:val="subscript"/>
          </w:rPr>
          <w:t>2e</w:t>
        </w:r>
        <w:r w:rsidR="00AB7D85" w:rsidRPr="005B54EE">
          <w:rPr>
            <w:rStyle w:val="Hyperlink"/>
            <w:noProof/>
          </w:rPr>
          <w:t>) au périmètre Kyoto dans le scénario AMS 2018 (avec mesures supplémentaires)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_Toc124153738 \h </w:instrText>
        </w:r>
        <w:r w:rsidR="00AB7D85" w:rsidRPr="005B54EE">
          <w:rPr>
            <w:noProof/>
            <w:webHidden/>
          </w:rPr>
        </w:r>
        <w:r w:rsidR="00AB7D85" w:rsidRPr="005B54EE">
          <w:rPr>
            <w:noProof/>
            <w:webHidden/>
          </w:rPr>
          <w:fldChar w:fldCharType="separate"/>
        </w:r>
        <w:r w:rsidR="005B1C45">
          <w:rPr>
            <w:noProof/>
            <w:webHidden/>
          </w:rPr>
          <w:t>100</w:t>
        </w:r>
        <w:r w:rsidR="00AB7D85" w:rsidRPr="005B54EE">
          <w:rPr>
            <w:noProof/>
            <w:webHidden/>
          </w:rPr>
          <w:fldChar w:fldCharType="end"/>
        </w:r>
      </w:hyperlink>
    </w:p>
    <w:p w14:paraId="5DBADF3D" w14:textId="3317E9A8" w:rsidR="00AB7D85" w:rsidRPr="005B54EE" w:rsidRDefault="00C73940">
      <w:pPr>
        <w:pStyle w:val="TableofFigures"/>
        <w:tabs>
          <w:tab w:val="right" w:leader="dot" w:pos="9854"/>
        </w:tabs>
        <w:rPr>
          <w:rFonts w:eastAsiaTheme="minorEastAsia" w:cstheme="minorBidi"/>
          <w:i w:val="0"/>
          <w:noProof/>
          <w:sz w:val="22"/>
        </w:rPr>
      </w:pPr>
      <w:hyperlink w:anchor="_Toc124153739" w:history="1">
        <w:r w:rsidR="00AB7D85" w:rsidRPr="005B54EE">
          <w:rPr>
            <w:rStyle w:val="Hyperlink"/>
            <w:noProof/>
          </w:rPr>
          <w:t>Tableau 25</w:t>
        </w:r>
        <w:r w:rsidR="00AB7D85" w:rsidRPr="005B54EE">
          <w:rPr>
            <w:rStyle w:val="Hyperlink"/>
            <w:rFonts w:ascii="Calibri" w:hAnsi="Calibri" w:cs="Calibri"/>
            <w:noProof/>
          </w:rPr>
          <w:t> </w:t>
        </w:r>
        <w:r w:rsidR="00AB7D85" w:rsidRPr="005B54EE">
          <w:rPr>
            <w:rStyle w:val="Hyperlink"/>
            <w:noProof/>
          </w:rPr>
          <w:t>: D</w:t>
        </w:r>
        <w:r w:rsidR="00AB7D85" w:rsidRPr="005B54EE">
          <w:rPr>
            <w:rStyle w:val="Hyperlink"/>
            <w:rFonts w:ascii="Marianne" w:hAnsi="Marianne" w:cs="Marianne"/>
            <w:noProof/>
          </w:rPr>
          <w:t>é</w:t>
        </w:r>
        <w:r w:rsidR="00AB7D85" w:rsidRPr="005B54EE">
          <w:rPr>
            <w:rStyle w:val="Hyperlink"/>
            <w:noProof/>
          </w:rPr>
          <w:t>tail des outils et mod</w:t>
        </w:r>
        <w:r w:rsidR="00AB7D85" w:rsidRPr="005B54EE">
          <w:rPr>
            <w:rStyle w:val="Hyperlink"/>
            <w:rFonts w:ascii="Marianne" w:hAnsi="Marianne" w:cs="Marianne"/>
            <w:noProof/>
          </w:rPr>
          <w:t>è</w:t>
        </w:r>
        <w:r w:rsidR="00AB7D85" w:rsidRPr="005B54EE">
          <w:rPr>
            <w:rStyle w:val="Hyperlink"/>
            <w:noProof/>
          </w:rPr>
          <w:t>les utilis</w:t>
        </w:r>
        <w:r w:rsidR="00AB7D85" w:rsidRPr="005B54EE">
          <w:rPr>
            <w:rStyle w:val="Hyperlink"/>
            <w:rFonts w:ascii="Marianne" w:hAnsi="Marianne" w:cs="Marianne"/>
            <w:noProof/>
          </w:rPr>
          <w:t>é</w:t>
        </w:r>
        <w:r w:rsidR="00AB7D85" w:rsidRPr="005B54EE">
          <w:rPr>
            <w:rStyle w:val="Hyperlink"/>
            <w:noProof/>
          </w:rPr>
          <w:t>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_Toc124153739 \h </w:instrText>
        </w:r>
        <w:r w:rsidR="00AB7D85" w:rsidRPr="005B54EE">
          <w:rPr>
            <w:noProof/>
            <w:webHidden/>
          </w:rPr>
        </w:r>
        <w:r w:rsidR="00AB7D85" w:rsidRPr="005B54EE">
          <w:rPr>
            <w:noProof/>
            <w:webHidden/>
          </w:rPr>
          <w:fldChar w:fldCharType="separate"/>
        </w:r>
        <w:r w:rsidR="005B1C45">
          <w:rPr>
            <w:noProof/>
            <w:webHidden/>
          </w:rPr>
          <w:t>103</w:t>
        </w:r>
        <w:r w:rsidR="00AB7D85" w:rsidRPr="005B54EE">
          <w:rPr>
            <w:noProof/>
            <w:webHidden/>
          </w:rPr>
          <w:fldChar w:fldCharType="end"/>
        </w:r>
      </w:hyperlink>
    </w:p>
    <w:p w14:paraId="651313BB" w14:textId="38D599E0" w:rsidR="00AB7D85" w:rsidRPr="005B54EE" w:rsidRDefault="00C73940">
      <w:pPr>
        <w:pStyle w:val="TableofFigures"/>
        <w:tabs>
          <w:tab w:val="right" w:leader="dot" w:pos="9854"/>
        </w:tabs>
        <w:rPr>
          <w:rFonts w:eastAsiaTheme="minorEastAsia" w:cstheme="minorBidi"/>
          <w:i w:val="0"/>
          <w:noProof/>
          <w:sz w:val="22"/>
        </w:rPr>
      </w:pPr>
      <w:hyperlink w:anchor="_Toc124153740" w:history="1">
        <w:r w:rsidR="00AB7D85" w:rsidRPr="005B54EE">
          <w:rPr>
            <w:rStyle w:val="Hyperlink"/>
            <w:noProof/>
          </w:rPr>
          <w:t>Tableau 26</w:t>
        </w:r>
        <w:r w:rsidR="00AB7D85" w:rsidRPr="005B54EE">
          <w:rPr>
            <w:rStyle w:val="Hyperlink"/>
            <w:rFonts w:ascii="Calibri" w:hAnsi="Calibri" w:cs="Calibri"/>
            <w:noProof/>
          </w:rPr>
          <w:t> </w:t>
        </w:r>
        <w:r w:rsidR="00AB7D85" w:rsidRPr="005B54EE">
          <w:rPr>
            <w:rStyle w:val="Hyperlink"/>
            <w:noProof/>
          </w:rPr>
          <w:t>: Hypoth</w:t>
        </w:r>
        <w:r w:rsidR="00AB7D85" w:rsidRPr="005B54EE">
          <w:rPr>
            <w:rStyle w:val="Hyperlink"/>
            <w:rFonts w:ascii="Marianne" w:hAnsi="Marianne" w:cs="Marianne"/>
            <w:noProof/>
          </w:rPr>
          <w:t>è</w:t>
        </w:r>
        <w:r w:rsidR="00AB7D85" w:rsidRPr="005B54EE">
          <w:rPr>
            <w:rStyle w:val="Hyperlink"/>
            <w:noProof/>
          </w:rPr>
          <w:t xml:space="preserve">ses de prix des </w:t>
        </w:r>
        <w:r w:rsidR="00AB7D85" w:rsidRPr="005B54EE">
          <w:rPr>
            <w:rStyle w:val="Hyperlink"/>
            <w:rFonts w:ascii="Marianne" w:hAnsi="Marianne" w:cs="Marianne"/>
            <w:noProof/>
          </w:rPr>
          <w:t>é</w:t>
        </w:r>
        <w:r w:rsidR="00AB7D85" w:rsidRPr="005B54EE">
          <w:rPr>
            <w:rStyle w:val="Hyperlink"/>
            <w:noProof/>
          </w:rPr>
          <w:t>nergies import</w:t>
        </w:r>
        <w:r w:rsidR="00AB7D85" w:rsidRPr="005B54EE">
          <w:rPr>
            <w:rStyle w:val="Hyperlink"/>
            <w:rFonts w:ascii="Marianne" w:hAnsi="Marianne" w:cs="Marianne"/>
            <w:noProof/>
          </w:rPr>
          <w:t>é</w:t>
        </w:r>
        <w:r w:rsidR="00AB7D85" w:rsidRPr="005B54EE">
          <w:rPr>
            <w:rStyle w:val="Hyperlink"/>
            <w:noProof/>
          </w:rPr>
          <w:t xml:space="preserve">es (en </w:t>
        </w:r>
        <w:r w:rsidR="00AB7D85" w:rsidRPr="005B54EE">
          <w:rPr>
            <w:rStyle w:val="Hyperlink"/>
            <w:rFonts w:ascii="Marianne" w:hAnsi="Marianne" w:cs="Marianne"/>
            <w:noProof/>
          </w:rPr>
          <w:t>€</w:t>
        </w:r>
        <w:r w:rsidR="00AB7D85" w:rsidRPr="005B54EE">
          <w:rPr>
            <w:rStyle w:val="Hyperlink"/>
            <w:noProof/>
          </w:rPr>
          <w:t xml:space="preserve"> 2013/boe) dans l</w:t>
        </w:r>
        <w:r w:rsidR="00AB7D85" w:rsidRPr="005B54EE">
          <w:rPr>
            <w:rStyle w:val="Hyperlink"/>
            <w:rFonts w:ascii="Marianne" w:hAnsi="Marianne" w:cs="Marianne"/>
            <w:noProof/>
          </w:rPr>
          <w:t>’</w:t>
        </w:r>
        <w:r w:rsidR="00AB7D85" w:rsidRPr="005B54EE">
          <w:rPr>
            <w:rStyle w:val="Hyperlink"/>
            <w:noProof/>
          </w:rPr>
          <w:t>AME 21 et l’AMS 18</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_Toc124153740 \h </w:instrText>
        </w:r>
        <w:r w:rsidR="00AB7D85" w:rsidRPr="005B54EE">
          <w:rPr>
            <w:noProof/>
            <w:webHidden/>
          </w:rPr>
        </w:r>
        <w:r w:rsidR="00AB7D85" w:rsidRPr="005B54EE">
          <w:rPr>
            <w:noProof/>
            <w:webHidden/>
          </w:rPr>
          <w:fldChar w:fldCharType="separate"/>
        </w:r>
        <w:r w:rsidR="005B1C45">
          <w:rPr>
            <w:noProof/>
            <w:webHidden/>
          </w:rPr>
          <w:t>105</w:t>
        </w:r>
        <w:r w:rsidR="00AB7D85" w:rsidRPr="005B54EE">
          <w:rPr>
            <w:noProof/>
            <w:webHidden/>
          </w:rPr>
          <w:fldChar w:fldCharType="end"/>
        </w:r>
      </w:hyperlink>
    </w:p>
    <w:p w14:paraId="27E8CE58" w14:textId="548731CB" w:rsidR="00AB7D85" w:rsidRPr="005B54EE" w:rsidRDefault="00C73940">
      <w:pPr>
        <w:pStyle w:val="TableofFigures"/>
        <w:tabs>
          <w:tab w:val="right" w:leader="dot" w:pos="9854"/>
        </w:tabs>
        <w:rPr>
          <w:rFonts w:eastAsiaTheme="minorEastAsia" w:cstheme="minorBidi"/>
          <w:i w:val="0"/>
          <w:noProof/>
          <w:sz w:val="22"/>
        </w:rPr>
      </w:pPr>
      <w:hyperlink w:anchor="_Toc124153741" w:history="1">
        <w:r w:rsidR="00AB7D85" w:rsidRPr="005B54EE">
          <w:rPr>
            <w:rStyle w:val="Hyperlink"/>
            <w:noProof/>
          </w:rPr>
          <w:t>Tableau 27</w:t>
        </w:r>
        <w:r w:rsidR="00AB7D85" w:rsidRPr="005B54EE">
          <w:rPr>
            <w:rStyle w:val="Hyperlink"/>
            <w:rFonts w:ascii="Calibri" w:hAnsi="Calibri" w:cs="Calibri"/>
            <w:noProof/>
          </w:rPr>
          <w:t> </w:t>
        </w:r>
        <w:r w:rsidR="00AB7D85" w:rsidRPr="005B54EE">
          <w:rPr>
            <w:rStyle w:val="Hyperlink"/>
            <w:noProof/>
          </w:rPr>
          <w:t>: Hypoth</w:t>
        </w:r>
        <w:r w:rsidR="00AB7D85" w:rsidRPr="005B54EE">
          <w:rPr>
            <w:rStyle w:val="Hyperlink"/>
            <w:rFonts w:ascii="Marianne" w:hAnsi="Marianne" w:cs="Marianne"/>
            <w:noProof/>
          </w:rPr>
          <w:t>è</w:t>
        </w:r>
        <w:r w:rsidR="00AB7D85" w:rsidRPr="005B54EE">
          <w:rPr>
            <w:rStyle w:val="Hyperlink"/>
            <w:noProof/>
          </w:rPr>
          <w:t>ses de prix du carbone sous l'ETS</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_Toc124153741 \h </w:instrText>
        </w:r>
        <w:r w:rsidR="00AB7D85" w:rsidRPr="005B54EE">
          <w:rPr>
            <w:noProof/>
            <w:webHidden/>
          </w:rPr>
        </w:r>
        <w:r w:rsidR="00AB7D85" w:rsidRPr="005B54EE">
          <w:rPr>
            <w:noProof/>
            <w:webHidden/>
          </w:rPr>
          <w:fldChar w:fldCharType="separate"/>
        </w:r>
        <w:r w:rsidR="005B1C45">
          <w:rPr>
            <w:noProof/>
            <w:webHidden/>
          </w:rPr>
          <w:t>105</w:t>
        </w:r>
        <w:r w:rsidR="00AB7D85" w:rsidRPr="005B54EE">
          <w:rPr>
            <w:noProof/>
            <w:webHidden/>
          </w:rPr>
          <w:fldChar w:fldCharType="end"/>
        </w:r>
      </w:hyperlink>
    </w:p>
    <w:p w14:paraId="2940BE8B" w14:textId="24713EE3" w:rsidR="00AB7D85" w:rsidRPr="005B54EE" w:rsidRDefault="00C73940">
      <w:pPr>
        <w:pStyle w:val="TableofFigures"/>
        <w:tabs>
          <w:tab w:val="right" w:leader="dot" w:pos="9854"/>
        </w:tabs>
        <w:rPr>
          <w:rFonts w:eastAsiaTheme="minorEastAsia" w:cstheme="minorBidi"/>
          <w:i w:val="0"/>
          <w:noProof/>
          <w:sz w:val="22"/>
        </w:rPr>
      </w:pPr>
      <w:hyperlink w:anchor="_Toc124153742" w:history="1">
        <w:r w:rsidR="00AB7D85" w:rsidRPr="005B54EE">
          <w:rPr>
            <w:rStyle w:val="Hyperlink"/>
            <w:noProof/>
          </w:rPr>
          <w:t>Tableau 28</w:t>
        </w:r>
        <w:r w:rsidR="00AB7D85" w:rsidRPr="005B54EE">
          <w:rPr>
            <w:rStyle w:val="Hyperlink"/>
            <w:rFonts w:ascii="Calibri" w:hAnsi="Calibri" w:cs="Calibri"/>
            <w:noProof/>
          </w:rPr>
          <w:t> </w:t>
        </w:r>
        <w:r w:rsidR="00AB7D85" w:rsidRPr="005B54EE">
          <w:rPr>
            <w:rStyle w:val="Hyperlink"/>
            <w:noProof/>
          </w:rPr>
          <w:t>: Hypoth</w:t>
        </w:r>
        <w:r w:rsidR="00AB7D85" w:rsidRPr="005B54EE">
          <w:rPr>
            <w:rStyle w:val="Hyperlink"/>
            <w:rFonts w:ascii="Marianne" w:hAnsi="Marianne" w:cs="Marianne"/>
            <w:noProof/>
          </w:rPr>
          <w:t>è</w:t>
        </w:r>
        <w:r w:rsidR="00AB7D85" w:rsidRPr="005B54EE">
          <w:rPr>
            <w:rStyle w:val="Hyperlink"/>
            <w:noProof/>
          </w:rPr>
          <w:t>ses de croissance de la population pour l</w:t>
        </w:r>
        <w:r w:rsidR="00AB7D85" w:rsidRPr="005B54EE">
          <w:rPr>
            <w:rStyle w:val="Hyperlink"/>
            <w:rFonts w:ascii="Marianne" w:hAnsi="Marianne" w:cs="Marianne"/>
            <w:noProof/>
          </w:rPr>
          <w:t>’</w:t>
        </w:r>
        <w:r w:rsidR="00AB7D85" w:rsidRPr="005B54EE">
          <w:rPr>
            <w:rStyle w:val="Hyperlink"/>
            <w:noProof/>
          </w:rPr>
          <w:t>AME 2021</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_Toc124153742 \h </w:instrText>
        </w:r>
        <w:r w:rsidR="00AB7D85" w:rsidRPr="005B54EE">
          <w:rPr>
            <w:noProof/>
            <w:webHidden/>
          </w:rPr>
        </w:r>
        <w:r w:rsidR="00AB7D85" w:rsidRPr="005B54EE">
          <w:rPr>
            <w:noProof/>
            <w:webHidden/>
          </w:rPr>
          <w:fldChar w:fldCharType="separate"/>
        </w:r>
        <w:r w:rsidR="005B1C45">
          <w:rPr>
            <w:noProof/>
            <w:webHidden/>
          </w:rPr>
          <w:t>105</w:t>
        </w:r>
        <w:r w:rsidR="00AB7D85" w:rsidRPr="005B54EE">
          <w:rPr>
            <w:noProof/>
            <w:webHidden/>
          </w:rPr>
          <w:fldChar w:fldCharType="end"/>
        </w:r>
      </w:hyperlink>
    </w:p>
    <w:p w14:paraId="33DA934B" w14:textId="67C32D07" w:rsidR="00AB7D85" w:rsidRPr="005B54EE" w:rsidRDefault="00C73940">
      <w:pPr>
        <w:pStyle w:val="TableofFigures"/>
        <w:tabs>
          <w:tab w:val="right" w:leader="dot" w:pos="9854"/>
        </w:tabs>
        <w:rPr>
          <w:rFonts w:eastAsiaTheme="minorEastAsia" w:cstheme="minorBidi"/>
          <w:i w:val="0"/>
          <w:noProof/>
          <w:sz w:val="22"/>
        </w:rPr>
      </w:pPr>
      <w:hyperlink w:anchor="_Toc124153743" w:history="1">
        <w:r w:rsidR="00AB7D85" w:rsidRPr="005B54EE">
          <w:rPr>
            <w:rStyle w:val="Hyperlink"/>
            <w:noProof/>
          </w:rPr>
          <w:t>Tableau 29</w:t>
        </w:r>
        <w:r w:rsidR="00AB7D85" w:rsidRPr="005B54EE">
          <w:rPr>
            <w:rStyle w:val="Hyperlink"/>
            <w:rFonts w:ascii="Calibri" w:hAnsi="Calibri" w:cs="Calibri"/>
            <w:noProof/>
          </w:rPr>
          <w:t> </w:t>
        </w:r>
        <w:r w:rsidR="00AB7D85" w:rsidRPr="005B54EE">
          <w:rPr>
            <w:rStyle w:val="Hyperlink"/>
            <w:noProof/>
          </w:rPr>
          <w:t>: Hypoth</w:t>
        </w:r>
        <w:r w:rsidR="00AB7D85" w:rsidRPr="005B54EE">
          <w:rPr>
            <w:rStyle w:val="Hyperlink"/>
            <w:rFonts w:ascii="Marianne" w:hAnsi="Marianne" w:cs="Marianne"/>
            <w:noProof/>
          </w:rPr>
          <w:t>è</w:t>
        </w:r>
        <w:r w:rsidR="00AB7D85" w:rsidRPr="005B54EE">
          <w:rPr>
            <w:rStyle w:val="Hyperlink"/>
            <w:noProof/>
          </w:rPr>
          <w:t>ses de croissance de la population pour l</w:t>
        </w:r>
        <w:r w:rsidR="00AB7D85" w:rsidRPr="005B54EE">
          <w:rPr>
            <w:rStyle w:val="Hyperlink"/>
            <w:rFonts w:ascii="Marianne" w:hAnsi="Marianne" w:cs="Marianne"/>
            <w:noProof/>
          </w:rPr>
          <w:t>’</w:t>
        </w:r>
        <w:r w:rsidR="00AB7D85" w:rsidRPr="005B54EE">
          <w:rPr>
            <w:rStyle w:val="Hyperlink"/>
            <w:noProof/>
          </w:rPr>
          <w:t>AMS 2018</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_Toc124153743 \h </w:instrText>
        </w:r>
        <w:r w:rsidR="00AB7D85" w:rsidRPr="005B54EE">
          <w:rPr>
            <w:noProof/>
            <w:webHidden/>
          </w:rPr>
        </w:r>
        <w:r w:rsidR="00AB7D85" w:rsidRPr="005B54EE">
          <w:rPr>
            <w:noProof/>
            <w:webHidden/>
          </w:rPr>
          <w:fldChar w:fldCharType="separate"/>
        </w:r>
        <w:r w:rsidR="005B1C45">
          <w:rPr>
            <w:noProof/>
            <w:webHidden/>
          </w:rPr>
          <w:t>106</w:t>
        </w:r>
        <w:r w:rsidR="00AB7D85" w:rsidRPr="005B54EE">
          <w:rPr>
            <w:noProof/>
            <w:webHidden/>
          </w:rPr>
          <w:fldChar w:fldCharType="end"/>
        </w:r>
      </w:hyperlink>
    </w:p>
    <w:p w14:paraId="635171F2" w14:textId="23645D09" w:rsidR="00AB7D85" w:rsidRPr="005B54EE" w:rsidRDefault="00C73940">
      <w:pPr>
        <w:pStyle w:val="TableofFigures"/>
        <w:tabs>
          <w:tab w:val="right" w:leader="dot" w:pos="9854"/>
        </w:tabs>
        <w:rPr>
          <w:rFonts w:eastAsiaTheme="minorEastAsia" w:cstheme="minorBidi"/>
          <w:i w:val="0"/>
          <w:noProof/>
          <w:sz w:val="22"/>
        </w:rPr>
      </w:pPr>
      <w:hyperlink w:anchor="_Toc124153744" w:history="1">
        <w:r w:rsidR="00AB7D85" w:rsidRPr="005B54EE">
          <w:rPr>
            <w:rStyle w:val="Hyperlink"/>
            <w:noProof/>
          </w:rPr>
          <w:t>Tableau 30</w:t>
        </w:r>
        <w:r w:rsidR="00AB7D85" w:rsidRPr="005B54EE">
          <w:rPr>
            <w:rStyle w:val="Hyperlink"/>
            <w:rFonts w:ascii="Calibri" w:hAnsi="Calibri" w:cs="Calibri"/>
            <w:noProof/>
          </w:rPr>
          <w:t> </w:t>
        </w:r>
        <w:r w:rsidR="00AB7D85" w:rsidRPr="005B54EE">
          <w:rPr>
            <w:rStyle w:val="Hyperlink"/>
            <w:noProof/>
          </w:rPr>
          <w:t>: Hypoth</w:t>
        </w:r>
        <w:r w:rsidR="00AB7D85" w:rsidRPr="005B54EE">
          <w:rPr>
            <w:rStyle w:val="Hyperlink"/>
            <w:rFonts w:ascii="Marianne" w:hAnsi="Marianne" w:cs="Marianne"/>
            <w:noProof/>
          </w:rPr>
          <w:t>è</w:t>
        </w:r>
        <w:r w:rsidR="00AB7D85" w:rsidRPr="005B54EE">
          <w:rPr>
            <w:rStyle w:val="Hyperlink"/>
            <w:noProof/>
          </w:rPr>
          <w:t>ses de croissance du PIB</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_Toc124153744 \h </w:instrText>
        </w:r>
        <w:r w:rsidR="00AB7D85" w:rsidRPr="005B54EE">
          <w:rPr>
            <w:noProof/>
            <w:webHidden/>
          </w:rPr>
        </w:r>
        <w:r w:rsidR="00AB7D85" w:rsidRPr="005B54EE">
          <w:rPr>
            <w:noProof/>
            <w:webHidden/>
          </w:rPr>
          <w:fldChar w:fldCharType="separate"/>
        </w:r>
        <w:r w:rsidR="005B1C45">
          <w:rPr>
            <w:noProof/>
            <w:webHidden/>
          </w:rPr>
          <w:t>106</w:t>
        </w:r>
        <w:r w:rsidR="00AB7D85" w:rsidRPr="005B54EE">
          <w:rPr>
            <w:noProof/>
            <w:webHidden/>
          </w:rPr>
          <w:fldChar w:fldCharType="end"/>
        </w:r>
      </w:hyperlink>
    </w:p>
    <w:p w14:paraId="468D389D" w14:textId="4A5993DE" w:rsidR="00AB7D85" w:rsidRPr="005B54EE" w:rsidRDefault="00C73940">
      <w:pPr>
        <w:pStyle w:val="TableofFigures"/>
        <w:tabs>
          <w:tab w:val="right" w:leader="dot" w:pos="9854"/>
        </w:tabs>
        <w:rPr>
          <w:rFonts w:eastAsiaTheme="minorEastAsia" w:cstheme="minorBidi"/>
          <w:i w:val="0"/>
          <w:noProof/>
          <w:sz w:val="22"/>
        </w:rPr>
      </w:pPr>
      <w:hyperlink w:anchor="_Toc124153745" w:history="1">
        <w:r w:rsidR="00AB7D85" w:rsidRPr="005B54EE">
          <w:rPr>
            <w:rStyle w:val="Hyperlink"/>
            <w:noProof/>
          </w:rPr>
          <w:t>Tableau 31</w:t>
        </w:r>
        <w:r w:rsidR="00AB7D85" w:rsidRPr="005B54EE">
          <w:rPr>
            <w:rStyle w:val="Hyperlink"/>
            <w:rFonts w:ascii="Calibri" w:hAnsi="Calibri" w:cs="Calibri"/>
            <w:noProof/>
          </w:rPr>
          <w:t> </w:t>
        </w:r>
        <w:r w:rsidR="00AB7D85" w:rsidRPr="005B54EE">
          <w:rPr>
            <w:rStyle w:val="Hyperlink"/>
            <w:noProof/>
          </w:rPr>
          <w:t>: Hypoth</w:t>
        </w:r>
        <w:r w:rsidR="00AB7D85" w:rsidRPr="005B54EE">
          <w:rPr>
            <w:rStyle w:val="Hyperlink"/>
            <w:rFonts w:ascii="Marianne" w:hAnsi="Marianne" w:cs="Marianne"/>
            <w:noProof/>
          </w:rPr>
          <w:t>è</w:t>
        </w:r>
        <w:r w:rsidR="00AB7D85" w:rsidRPr="005B54EE">
          <w:rPr>
            <w:rStyle w:val="Hyperlink"/>
            <w:noProof/>
          </w:rPr>
          <w:t>ses d</w:t>
        </w:r>
        <w:r w:rsidR="00AB7D85" w:rsidRPr="005B54EE">
          <w:rPr>
            <w:rStyle w:val="Hyperlink"/>
            <w:rFonts w:ascii="Marianne" w:hAnsi="Marianne" w:cs="Marianne"/>
            <w:noProof/>
          </w:rPr>
          <w:t>’é</w:t>
        </w:r>
        <w:r w:rsidR="00AB7D85" w:rsidRPr="005B54EE">
          <w:rPr>
            <w:rStyle w:val="Hyperlink"/>
            <w:noProof/>
          </w:rPr>
          <w:t>volutions de la valeur ajout</w:t>
        </w:r>
        <w:r w:rsidR="00AB7D85" w:rsidRPr="005B54EE">
          <w:rPr>
            <w:rStyle w:val="Hyperlink"/>
            <w:rFonts w:ascii="Marianne" w:hAnsi="Marianne" w:cs="Marianne"/>
            <w:noProof/>
          </w:rPr>
          <w:t>é</w:t>
        </w:r>
        <w:r w:rsidR="00AB7D85" w:rsidRPr="005B54EE">
          <w:rPr>
            <w:rStyle w:val="Hyperlink"/>
            <w:noProof/>
          </w:rPr>
          <w:t>e industrielle</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_Toc124153745 \h </w:instrText>
        </w:r>
        <w:r w:rsidR="00AB7D85" w:rsidRPr="005B54EE">
          <w:rPr>
            <w:noProof/>
            <w:webHidden/>
          </w:rPr>
        </w:r>
        <w:r w:rsidR="00AB7D85" w:rsidRPr="005B54EE">
          <w:rPr>
            <w:noProof/>
            <w:webHidden/>
          </w:rPr>
          <w:fldChar w:fldCharType="separate"/>
        </w:r>
        <w:r w:rsidR="005B1C45">
          <w:rPr>
            <w:noProof/>
            <w:webHidden/>
          </w:rPr>
          <w:t>107</w:t>
        </w:r>
        <w:r w:rsidR="00AB7D85" w:rsidRPr="005B54EE">
          <w:rPr>
            <w:noProof/>
            <w:webHidden/>
          </w:rPr>
          <w:fldChar w:fldCharType="end"/>
        </w:r>
      </w:hyperlink>
    </w:p>
    <w:p w14:paraId="32C1C7DC" w14:textId="05043D7F" w:rsidR="00AB7D85" w:rsidRPr="005B54EE" w:rsidRDefault="00C73940">
      <w:pPr>
        <w:pStyle w:val="TableofFigures"/>
        <w:tabs>
          <w:tab w:val="right" w:leader="dot" w:pos="9854"/>
        </w:tabs>
        <w:rPr>
          <w:rFonts w:eastAsiaTheme="minorEastAsia" w:cstheme="minorBidi"/>
          <w:i w:val="0"/>
          <w:noProof/>
          <w:sz w:val="22"/>
        </w:rPr>
      </w:pPr>
      <w:hyperlink w:anchor="_Toc124153746" w:history="1">
        <w:r w:rsidR="00AB7D85" w:rsidRPr="005B54EE">
          <w:rPr>
            <w:rStyle w:val="Hyperlink"/>
            <w:noProof/>
          </w:rPr>
          <w:t>Tableau 32</w:t>
        </w:r>
        <w:r w:rsidR="00AB7D85" w:rsidRPr="005B54EE">
          <w:rPr>
            <w:rStyle w:val="Hyperlink"/>
            <w:rFonts w:ascii="Calibri" w:hAnsi="Calibri" w:cs="Calibri"/>
            <w:noProof/>
          </w:rPr>
          <w:t> </w:t>
        </w:r>
        <w:r w:rsidR="00AB7D85" w:rsidRPr="005B54EE">
          <w:rPr>
            <w:rStyle w:val="Hyperlink"/>
            <w:noProof/>
          </w:rPr>
          <w:t>: Table CTF9</w:t>
        </w:r>
        <w:r w:rsidR="00AB7D85" w:rsidRPr="005B54EE">
          <w:rPr>
            <w:rStyle w:val="Hyperlink"/>
            <w:rFonts w:ascii="Calibri" w:hAnsi="Calibri" w:cs="Calibri"/>
            <w:noProof/>
          </w:rPr>
          <w:t> </w:t>
        </w:r>
        <w:r w:rsidR="00AB7D85" w:rsidRPr="005B54EE">
          <w:rPr>
            <w:rStyle w:val="Hyperlink"/>
            <w:rFonts w:ascii="Marianne" w:hAnsi="Marianne" w:cs="Marianne"/>
            <w:noProof/>
          </w:rPr>
          <w:t>–</w:t>
        </w:r>
        <w:r w:rsidR="00AB7D85" w:rsidRPr="005B54EE">
          <w:rPr>
            <w:rStyle w:val="Hyperlink"/>
            <w:noProof/>
          </w:rPr>
          <w:t xml:space="preserve"> Programme et projets de renforcement de capacit</w:t>
        </w:r>
        <w:r w:rsidR="00AB7D85" w:rsidRPr="005B54EE">
          <w:rPr>
            <w:rStyle w:val="Hyperlink"/>
            <w:rFonts w:ascii="Marianne" w:hAnsi="Marianne" w:cs="Marianne"/>
            <w:noProof/>
          </w:rPr>
          <w:t>é</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_Toc124153746 \h </w:instrText>
        </w:r>
        <w:r w:rsidR="00AB7D85" w:rsidRPr="005B54EE">
          <w:rPr>
            <w:noProof/>
            <w:webHidden/>
          </w:rPr>
        </w:r>
        <w:r w:rsidR="00AB7D85" w:rsidRPr="005B54EE">
          <w:rPr>
            <w:noProof/>
            <w:webHidden/>
          </w:rPr>
          <w:fldChar w:fldCharType="separate"/>
        </w:r>
        <w:r w:rsidR="005B1C45">
          <w:rPr>
            <w:noProof/>
            <w:webHidden/>
          </w:rPr>
          <w:t>120</w:t>
        </w:r>
        <w:r w:rsidR="00AB7D85" w:rsidRPr="005B54EE">
          <w:rPr>
            <w:noProof/>
            <w:webHidden/>
          </w:rPr>
          <w:fldChar w:fldCharType="end"/>
        </w:r>
      </w:hyperlink>
    </w:p>
    <w:p w14:paraId="4F1D212E" w14:textId="3F517224" w:rsidR="00AB7D85" w:rsidRPr="005B54EE" w:rsidRDefault="00C73940">
      <w:pPr>
        <w:pStyle w:val="TableofFigures"/>
        <w:tabs>
          <w:tab w:val="right" w:leader="dot" w:pos="9854"/>
        </w:tabs>
        <w:rPr>
          <w:rFonts w:eastAsiaTheme="minorEastAsia" w:cstheme="minorBidi"/>
          <w:i w:val="0"/>
          <w:noProof/>
          <w:sz w:val="22"/>
        </w:rPr>
      </w:pPr>
      <w:hyperlink w:anchor="_Toc124153747" w:history="1">
        <w:r w:rsidR="00AB7D85" w:rsidRPr="005B54EE">
          <w:rPr>
            <w:rStyle w:val="Hyperlink"/>
            <w:noProof/>
          </w:rPr>
          <w:t>Tableau 33</w:t>
        </w:r>
        <w:r w:rsidR="00AB7D85" w:rsidRPr="005B54EE">
          <w:rPr>
            <w:rStyle w:val="Hyperlink"/>
            <w:rFonts w:ascii="Calibri" w:hAnsi="Calibri" w:cs="Calibri"/>
            <w:noProof/>
          </w:rPr>
          <w:t> </w:t>
        </w:r>
        <w:r w:rsidR="00AB7D85" w:rsidRPr="005B54EE">
          <w:rPr>
            <w:rStyle w:val="Hyperlink"/>
            <w:noProof/>
          </w:rPr>
          <w:t>: Emissions par secteur en 2020 pour le p</w:t>
        </w:r>
        <w:r w:rsidR="00AB7D85" w:rsidRPr="005B54EE">
          <w:rPr>
            <w:rStyle w:val="Hyperlink"/>
            <w:rFonts w:ascii="Marianne" w:hAnsi="Marianne" w:cs="Marianne"/>
            <w:noProof/>
          </w:rPr>
          <w:t>é</w:t>
        </w:r>
        <w:r w:rsidR="00AB7D85" w:rsidRPr="005B54EE">
          <w:rPr>
            <w:rStyle w:val="Hyperlink"/>
            <w:noProof/>
          </w:rPr>
          <w:t>rim</w:t>
        </w:r>
        <w:r w:rsidR="00AB7D85" w:rsidRPr="005B54EE">
          <w:rPr>
            <w:rStyle w:val="Hyperlink"/>
            <w:rFonts w:ascii="Marianne" w:hAnsi="Marianne" w:cs="Marianne"/>
            <w:noProof/>
          </w:rPr>
          <w:t>è</w:t>
        </w:r>
        <w:r w:rsidR="00AB7D85" w:rsidRPr="005B54EE">
          <w:rPr>
            <w:rStyle w:val="Hyperlink"/>
            <w:noProof/>
          </w:rPr>
          <w:t>tre Convention (Table Summary 2)</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_Toc124153747 \h </w:instrText>
        </w:r>
        <w:r w:rsidR="00AB7D85" w:rsidRPr="005B54EE">
          <w:rPr>
            <w:noProof/>
            <w:webHidden/>
          </w:rPr>
        </w:r>
        <w:r w:rsidR="00AB7D85" w:rsidRPr="005B54EE">
          <w:rPr>
            <w:noProof/>
            <w:webHidden/>
          </w:rPr>
          <w:fldChar w:fldCharType="separate"/>
        </w:r>
        <w:r w:rsidR="005B1C45">
          <w:rPr>
            <w:noProof/>
            <w:webHidden/>
          </w:rPr>
          <w:t>124</w:t>
        </w:r>
        <w:r w:rsidR="00AB7D85" w:rsidRPr="005B54EE">
          <w:rPr>
            <w:noProof/>
            <w:webHidden/>
          </w:rPr>
          <w:fldChar w:fldCharType="end"/>
        </w:r>
      </w:hyperlink>
    </w:p>
    <w:p w14:paraId="2B8ECEE2" w14:textId="09413227" w:rsidR="00AB7D85" w:rsidRPr="005B54EE" w:rsidRDefault="00C73940">
      <w:pPr>
        <w:pStyle w:val="TableofFigures"/>
        <w:tabs>
          <w:tab w:val="right" w:leader="dot" w:pos="9854"/>
        </w:tabs>
        <w:rPr>
          <w:rFonts w:eastAsiaTheme="minorEastAsia" w:cstheme="minorBidi"/>
          <w:i w:val="0"/>
          <w:noProof/>
          <w:sz w:val="22"/>
        </w:rPr>
      </w:pPr>
      <w:hyperlink w:anchor="_Toc124153748" w:history="1">
        <w:r w:rsidR="00AB7D85" w:rsidRPr="005B54EE">
          <w:rPr>
            <w:rStyle w:val="Hyperlink"/>
            <w:noProof/>
          </w:rPr>
          <w:t>Tableau 34</w:t>
        </w:r>
        <w:r w:rsidR="00AB7D85" w:rsidRPr="005B54EE">
          <w:rPr>
            <w:rStyle w:val="Hyperlink"/>
            <w:rFonts w:ascii="Calibri" w:hAnsi="Calibri" w:cs="Calibri"/>
            <w:noProof/>
          </w:rPr>
          <w:t> </w:t>
        </w:r>
        <w:r w:rsidR="00AB7D85" w:rsidRPr="005B54EE">
          <w:rPr>
            <w:rStyle w:val="Hyperlink"/>
            <w:noProof/>
          </w:rPr>
          <w:t>: Emissions par secteur en 2020 pour le p</w:t>
        </w:r>
        <w:r w:rsidR="00AB7D85" w:rsidRPr="005B54EE">
          <w:rPr>
            <w:rStyle w:val="Hyperlink"/>
            <w:rFonts w:ascii="Marianne" w:hAnsi="Marianne" w:cs="Marianne"/>
            <w:noProof/>
          </w:rPr>
          <w:t>é</w:t>
        </w:r>
        <w:r w:rsidR="00AB7D85" w:rsidRPr="005B54EE">
          <w:rPr>
            <w:rStyle w:val="Hyperlink"/>
            <w:noProof/>
          </w:rPr>
          <w:t>rim</w:t>
        </w:r>
        <w:r w:rsidR="00AB7D85" w:rsidRPr="005B54EE">
          <w:rPr>
            <w:rStyle w:val="Hyperlink"/>
            <w:rFonts w:ascii="Marianne" w:hAnsi="Marianne" w:cs="Marianne"/>
            <w:noProof/>
          </w:rPr>
          <w:t>è</w:t>
        </w:r>
        <w:r w:rsidR="00AB7D85" w:rsidRPr="005B54EE">
          <w:rPr>
            <w:rStyle w:val="Hyperlink"/>
            <w:noProof/>
          </w:rPr>
          <w:t>tre Kyoto (Table Summary 2)</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_Toc124153748 \h </w:instrText>
        </w:r>
        <w:r w:rsidR="00AB7D85" w:rsidRPr="005B54EE">
          <w:rPr>
            <w:noProof/>
            <w:webHidden/>
          </w:rPr>
        </w:r>
        <w:r w:rsidR="00AB7D85" w:rsidRPr="005B54EE">
          <w:rPr>
            <w:noProof/>
            <w:webHidden/>
          </w:rPr>
          <w:fldChar w:fldCharType="separate"/>
        </w:r>
        <w:r w:rsidR="005B1C45">
          <w:rPr>
            <w:noProof/>
            <w:webHidden/>
          </w:rPr>
          <w:t>127</w:t>
        </w:r>
        <w:r w:rsidR="00AB7D85" w:rsidRPr="005B54EE">
          <w:rPr>
            <w:noProof/>
            <w:webHidden/>
          </w:rPr>
          <w:fldChar w:fldCharType="end"/>
        </w:r>
      </w:hyperlink>
    </w:p>
    <w:p w14:paraId="20A38088" w14:textId="686CEC48" w:rsidR="00AB7D85" w:rsidRPr="005B54EE" w:rsidRDefault="00C73940">
      <w:pPr>
        <w:pStyle w:val="TableofFigures"/>
        <w:tabs>
          <w:tab w:val="right" w:leader="dot" w:pos="9854"/>
        </w:tabs>
        <w:rPr>
          <w:rFonts w:eastAsiaTheme="minorEastAsia" w:cstheme="minorBidi"/>
          <w:i w:val="0"/>
          <w:noProof/>
          <w:sz w:val="22"/>
        </w:rPr>
      </w:pPr>
      <w:hyperlink w:anchor="_Toc124153749" w:history="1">
        <w:r w:rsidR="00AB7D85" w:rsidRPr="005B54EE">
          <w:rPr>
            <w:rStyle w:val="Hyperlink"/>
            <w:noProof/>
          </w:rPr>
          <w:t>Tableau 35</w:t>
        </w:r>
        <w:r w:rsidR="00AB7D85" w:rsidRPr="005B54EE">
          <w:rPr>
            <w:rStyle w:val="Hyperlink"/>
            <w:rFonts w:ascii="Calibri" w:hAnsi="Calibri" w:cs="Calibri"/>
            <w:noProof/>
          </w:rPr>
          <w:t> </w:t>
        </w:r>
        <w:r w:rsidR="00AB7D85" w:rsidRPr="005B54EE">
          <w:rPr>
            <w:rStyle w:val="Hyperlink"/>
            <w:noProof/>
          </w:rPr>
          <w:t>: R</w:t>
        </w:r>
        <w:r w:rsidR="00AB7D85" w:rsidRPr="005B54EE">
          <w:rPr>
            <w:rStyle w:val="Hyperlink"/>
            <w:rFonts w:ascii="Marianne" w:hAnsi="Marianne" w:cs="Marianne"/>
            <w:noProof/>
          </w:rPr>
          <w:t>é</w:t>
        </w:r>
        <w:r w:rsidR="00AB7D85" w:rsidRPr="005B54EE">
          <w:rPr>
            <w:rStyle w:val="Hyperlink"/>
            <w:noProof/>
          </w:rPr>
          <w:t>sum</w:t>
        </w:r>
        <w:r w:rsidR="00AB7D85" w:rsidRPr="005B54EE">
          <w:rPr>
            <w:rStyle w:val="Hyperlink"/>
            <w:rFonts w:ascii="Marianne" w:hAnsi="Marianne" w:cs="Marianne"/>
            <w:noProof/>
          </w:rPr>
          <w:t>é</w:t>
        </w:r>
        <w:r w:rsidR="00AB7D85" w:rsidRPr="005B54EE">
          <w:rPr>
            <w:rStyle w:val="Hyperlink"/>
            <w:noProof/>
          </w:rPr>
          <w:t xml:space="preserve"> de l'apport de soutien financier et technologique aux pays en voie de d</w:t>
        </w:r>
        <w:r w:rsidR="00AB7D85" w:rsidRPr="005B54EE">
          <w:rPr>
            <w:rStyle w:val="Hyperlink"/>
            <w:rFonts w:ascii="Marianne" w:hAnsi="Marianne" w:cs="Marianne"/>
            <w:noProof/>
          </w:rPr>
          <w:t>é</w:t>
        </w:r>
        <w:r w:rsidR="00AB7D85" w:rsidRPr="005B54EE">
          <w:rPr>
            <w:rStyle w:val="Hyperlink"/>
            <w:noProof/>
          </w:rPr>
          <w:t>veloppement en 2019</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_Toc124153749 \h </w:instrText>
        </w:r>
        <w:r w:rsidR="00AB7D85" w:rsidRPr="005B54EE">
          <w:rPr>
            <w:noProof/>
            <w:webHidden/>
          </w:rPr>
        </w:r>
        <w:r w:rsidR="00AB7D85" w:rsidRPr="005B54EE">
          <w:rPr>
            <w:noProof/>
            <w:webHidden/>
          </w:rPr>
          <w:fldChar w:fldCharType="separate"/>
        </w:r>
        <w:r w:rsidR="005B1C45">
          <w:rPr>
            <w:noProof/>
            <w:webHidden/>
          </w:rPr>
          <w:t>128</w:t>
        </w:r>
        <w:r w:rsidR="00AB7D85" w:rsidRPr="005B54EE">
          <w:rPr>
            <w:noProof/>
            <w:webHidden/>
          </w:rPr>
          <w:fldChar w:fldCharType="end"/>
        </w:r>
      </w:hyperlink>
    </w:p>
    <w:p w14:paraId="3B869F5F" w14:textId="71800283" w:rsidR="00AB7D85" w:rsidRPr="005B54EE" w:rsidRDefault="00C73940">
      <w:pPr>
        <w:pStyle w:val="TableofFigures"/>
        <w:tabs>
          <w:tab w:val="right" w:leader="dot" w:pos="9854"/>
        </w:tabs>
        <w:rPr>
          <w:rFonts w:eastAsiaTheme="minorEastAsia" w:cstheme="minorBidi"/>
          <w:i w:val="0"/>
          <w:noProof/>
          <w:sz w:val="22"/>
        </w:rPr>
      </w:pPr>
      <w:hyperlink w:anchor="_Toc124153750" w:history="1">
        <w:r w:rsidR="00AB7D85" w:rsidRPr="005B54EE">
          <w:rPr>
            <w:rStyle w:val="Hyperlink"/>
            <w:noProof/>
          </w:rPr>
          <w:t>Tableau 36</w:t>
        </w:r>
        <w:r w:rsidR="00AB7D85" w:rsidRPr="005B54EE">
          <w:rPr>
            <w:rStyle w:val="Hyperlink"/>
            <w:rFonts w:ascii="Calibri" w:hAnsi="Calibri" w:cs="Calibri"/>
            <w:noProof/>
          </w:rPr>
          <w:t> </w:t>
        </w:r>
        <w:r w:rsidR="00AB7D85" w:rsidRPr="005B54EE">
          <w:rPr>
            <w:rStyle w:val="Hyperlink"/>
            <w:noProof/>
          </w:rPr>
          <w:t>: R</w:t>
        </w:r>
        <w:r w:rsidR="00AB7D85" w:rsidRPr="005B54EE">
          <w:rPr>
            <w:rStyle w:val="Hyperlink"/>
            <w:rFonts w:ascii="Marianne" w:hAnsi="Marianne" w:cs="Marianne"/>
            <w:noProof/>
          </w:rPr>
          <w:t>é</w:t>
        </w:r>
        <w:r w:rsidR="00AB7D85" w:rsidRPr="005B54EE">
          <w:rPr>
            <w:rStyle w:val="Hyperlink"/>
            <w:noProof/>
          </w:rPr>
          <w:t>sum</w:t>
        </w:r>
        <w:r w:rsidR="00AB7D85" w:rsidRPr="005B54EE">
          <w:rPr>
            <w:rStyle w:val="Hyperlink"/>
            <w:rFonts w:ascii="Marianne" w:hAnsi="Marianne" w:cs="Marianne"/>
            <w:noProof/>
          </w:rPr>
          <w:t>é</w:t>
        </w:r>
        <w:r w:rsidR="00AB7D85" w:rsidRPr="005B54EE">
          <w:rPr>
            <w:rStyle w:val="Hyperlink"/>
            <w:noProof/>
          </w:rPr>
          <w:t xml:space="preserve"> de l'apport de soutien financier et technologique aux pays en voie de d</w:t>
        </w:r>
        <w:r w:rsidR="00AB7D85" w:rsidRPr="005B54EE">
          <w:rPr>
            <w:rStyle w:val="Hyperlink"/>
            <w:rFonts w:ascii="Marianne" w:hAnsi="Marianne" w:cs="Marianne"/>
            <w:noProof/>
          </w:rPr>
          <w:t>é</w:t>
        </w:r>
        <w:r w:rsidR="00AB7D85" w:rsidRPr="005B54EE">
          <w:rPr>
            <w:rStyle w:val="Hyperlink"/>
            <w:noProof/>
          </w:rPr>
          <w:t>veloppement en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_Toc124153750 \h </w:instrText>
        </w:r>
        <w:r w:rsidR="00AB7D85" w:rsidRPr="005B54EE">
          <w:rPr>
            <w:noProof/>
            <w:webHidden/>
          </w:rPr>
        </w:r>
        <w:r w:rsidR="00AB7D85" w:rsidRPr="005B54EE">
          <w:rPr>
            <w:noProof/>
            <w:webHidden/>
          </w:rPr>
          <w:fldChar w:fldCharType="separate"/>
        </w:r>
        <w:r w:rsidR="005B1C45">
          <w:rPr>
            <w:noProof/>
            <w:webHidden/>
          </w:rPr>
          <w:t>129</w:t>
        </w:r>
        <w:r w:rsidR="00AB7D85" w:rsidRPr="005B54EE">
          <w:rPr>
            <w:noProof/>
            <w:webHidden/>
          </w:rPr>
          <w:fldChar w:fldCharType="end"/>
        </w:r>
      </w:hyperlink>
    </w:p>
    <w:p w14:paraId="369CE1AB" w14:textId="6915A171" w:rsidR="00AB7D85" w:rsidRPr="005B54EE" w:rsidRDefault="00C73940">
      <w:pPr>
        <w:pStyle w:val="TableofFigures"/>
        <w:tabs>
          <w:tab w:val="right" w:leader="dot" w:pos="9854"/>
        </w:tabs>
        <w:rPr>
          <w:rFonts w:eastAsiaTheme="minorEastAsia" w:cstheme="minorBidi"/>
          <w:i w:val="0"/>
          <w:noProof/>
          <w:sz w:val="22"/>
        </w:rPr>
      </w:pPr>
      <w:hyperlink w:anchor="_Toc124153751" w:history="1">
        <w:r w:rsidR="00AB7D85" w:rsidRPr="005B54EE">
          <w:rPr>
            <w:rStyle w:val="Hyperlink"/>
            <w:noProof/>
          </w:rPr>
          <w:t>Tableau 37</w:t>
        </w:r>
        <w:r w:rsidR="00AB7D85" w:rsidRPr="005B54EE">
          <w:rPr>
            <w:rStyle w:val="Hyperlink"/>
            <w:rFonts w:ascii="Calibri" w:hAnsi="Calibri" w:cs="Calibri"/>
            <w:noProof/>
          </w:rPr>
          <w:t> </w:t>
        </w:r>
        <w:r w:rsidR="00AB7D85" w:rsidRPr="005B54EE">
          <w:rPr>
            <w:rStyle w:val="Hyperlink"/>
            <w:noProof/>
          </w:rPr>
          <w:t xml:space="preserve">: Table CTF 7a </w:t>
        </w:r>
        <w:r w:rsidR="00AB7D85" w:rsidRPr="005B54EE">
          <w:rPr>
            <w:rStyle w:val="Hyperlink"/>
            <w:rFonts w:ascii="Marianne" w:hAnsi="Marianne" w:cs="Marianne"/>
            <w:noProof/>
          </w:rPr>
          <w:t>–</w:t>
        </w:r>
        <w:r w:rsidR="00AB7D85" w:rsidRPr="005B54EE">
          <w:rPr>
            <w:rStyle w:val="Hyperlink"/>
            <w:noProof/>
          </w:rPr>
          <w:t xml:space="preserve"> R</w:t>
        </w:r>
        <w:r w:rsidR="00AB7D85" w:rsidRPr="005B54EE">
          <w:rPr>
            <w:rStyle w:val="Hyperlink"/>
            <w:rFonts w:ascii="Marianne" w:hAnsi="Marianne" w:cs="Marianne"/>
            <w:noProof/>
          </w:rPr>
          <w:t>é</w:t>
        </w:r>
        <w:r w:rsidR="00AB7D85" w:rsidRPr="005B54EE">
          <w:rPr>
            <w:rStyle w:val="Hyperlink"/>
            <w:noProof/>
          </w:rPr>
          <w:t>sum</w:t>
        </w:r>
        <w:r w:rsidR="00AB7D85" w:rsidRPr="005B54EE">
          <w:rPr>
            <w:rStyle w:val="Hyperlink"/>
            <w:rFonts w:ascii="Marianne" w:hAnsi="Marianne" w:cs="Marianne"/>
            <w:noProof/>
          </w:rPr>
          <w:t>é</w:t>
        </w:r>
        <w:r w:rsidR="00AB7D85" w:rsidRPr="005B54EE">
          <w:rPr>
            <w:rStyle w:val="Hyperlink"/>
            <w:noProof/>
          </w:rPr>
          <w:t xml:space="preserve"> du soutien financier multilat</w:t>
        </w:r>
        <w:r w:rsidR="00AB7D85" w:rsidRPr="005B54EE">
          <w:rPr>
            <w:rStyle w:val="Hyperlink"/>
            <w:rFonts w:ascii="Marianne" w:hAnsi="Marianne" w:cs="Marianne"/>
            <w:noProof/>
          </w:rPr>
          <w:t>é</w:t>
        </w:r>
        <w:r w:rsidR="00AB7D85" w:rsidRPr="005B54EE">
          <w:rPr>
            <w:rStyle w:val="Hyperlink"/>
            <w:noProof/>
          </w:rPr>
          <w:t>ral aux pays en d</w:t>
        </w:r>
        <w:r w:rsidR="00AB7D85" w:rsidRPr="005B54EE">
          <w:rPr>
            <w:rStyle w:val="Hyperlink"/>
            <w:rFonts w:ascii="Marianne" w:hAnsi="Marianne" w:cs="Marianne"/>
            <w:noProof/>
          </w:rPr>
          <w:t>é</w:t>
        </w:r>
        <w:r w:rsidR="00AB7D85" w:rsidRPr="005B54EE">
          <w:rPr>
            <w:rStyle w:val="Hyperlink"/>
            <w:noProof/>
          </w:rPr>
          <w:t>veloppement en 2019</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_Toc124153751 \h </w:instrText>
        </w:r>
        <w:r w:rsidR="00AB7D85" w:rsidRPr="005B54EE">
          <w:rPr>
            <w:noProof/>
            <w:webHidden/>
          </w:rPr>
        </w:r>
        <w:r w:rsidR="00AB7D85" w:rsidRPr="005B54EE">
          <w:rPr>
            <w:noProof/>
            <w:webHidden/>
          </w:rPr>
          <w:fldChar w:fldCharType="separate"/>
        </w:r>
        <w:r w:rsidR="005B1C45">
          <w:rPr>
            <w:noProof/>
            <w:webHidden/>
          </w:rPr>
          <w:t>129</w:t>
        </w:r>
        <w:r w:rsidR="00AB7D85" w:rsidRPr="005B54EE">
          <w:rPr>
            <w:noProof/>
            <w:webHidden/>
          </w:rPr>
          <w:fldChar w:fldCharType="end"/>
        </w:r>
      </w:hyperlink>
    </w:p>
    <w:p w14:paraId="3B8A3503" w14:textId="7CD3479B" w:rsidR="00AB7D85" w:rsidRPr="005B54EE" w:rsidRDefault="00C73940">
      <w:pPr>
        <w:pStyle w:val="TableofFigures"/>
        <w:tabs>
          <w:tab w:val="right" w:leader="dot" w:pos="9854"/>
        </w:tabs>
        <w:rPr>
          <w:rFonts w:eastAsiaTheme="minorEastAsia" w:cstheme="minorBidi"/>
          <w:i w:val="0"/>
          <w:noProof/>
          <w:sz w:val="22"/>
        </w:rPr>
      </w:pPr>
      <w:hyperlink w:anchor="_Toc124153752" w:history="1">
        <w:r w:rsidR="00AB7D85" w:rsidRPr="005B54EE">
          <w:rPr>
            <w:rStyle w:val="Hyperlink"/>
            <w:noProof/>
          </w:rPr>
          <w:t>Tableau 38</w:t>
        </w:r>
        <w:r w:rsidR="00AB7D85" w:rsidRPr="005B54EE">
          <w:rPr>
            <w:rStyle w:val="Hyperlink"/>
            <w:rFonts w:ascii="Calibri" w:hAnsi="Calibri" w:cs="Calibri"/>
            <w:noProof/>
          </w:rPr>
          <w:t> </w:t>
        </w:r>
        <w:r w:rsidR="00AB7D85" w:rsidRPr="005B54EE">
          <w:rPr>
            <w:rStyle w:val="Hyperlink"/>
            <w:noProof/>
          </w:rPr>
          <w:t xml:space="preserve">: Table CTF 7a </w:t>
        </w:r>
        <w:r w:rsidR="00AB7D85" w:rsidRPr="005B54EE">
          <w:rPr>
            <w:rStyle w:val="Hyperlink"/>
            <w:rFonts w:ascii="Marianne" w:hAnsi="Marianne" w:cs="Marianne"/>
            <w:noProof/>
          </w:rPr>
          <w:t>–</w:t>
        </w:r>
        <w:r w:rsidR="00AB7D85" w:rsidRPr="005B54EE">
          <w:rPr>
            <w:rStyle w:val="Hyperlink"/>
            <w:noProof/>
          </w:rPr>
          <w:t xml:space="preserve"> R</w:t>
        </w:r>
        <w:r w:rsidR="00AB7D85" w:rsidRPr="005B54EE">
          <w:rPr>
            <w:rStyle w:val="Hyperlink"/>
            <w:rFonts w:ascii="Marianne" w:hAnsi="Marianne" w:cs="Marianne"/>
            <w:noProof/>
          </w:rPr>
          <w:t>é</w:t>
        </w:r>
        <w:r w:rsidR="00AB7D85" w:rsidRPr="005B54EE">
          <w:rPr>
            <w:rStyle w:val="Hyperlink"/>
            <w:noProof/>
          </w:rPr>
          <w:t>sum</w:t>
        </w:r>
        <w:r w:rsidR="00AB7D85" w:rsidRPr="005B54EE">
          <w:rPr>
            <w:rStyle w:val="Hyperlink"/>
            <w:rFonts w:ascii="Marianne" w:hAnsi="Marianne" w:cs="Marianne"/>
            <w:noProof/>
          </w:rPr>
          <w:t>é</w:t>
        </w:r>
        <w:r w:rsidR="00AB7D85" w:rsidRPr="005B54EE">
          <w:rPr>
            <w:rStyle w:val="Hyperlink"/>
            <w:noProof/>
          </w:rPr>
          <w:t xml:space="preserve"> du soutien financier multilat</w:t>
        </w:r>
        <w:r w:rsidR="00AB7D85" w:rsidRPr="005B54EE">
          <w:rPr>
            <w:rStyle w:val="Hyperlink"/>
            <w:rFonts w:ascii="Marianne" w:hAnsi="Marianne" w:cs="Marianne"/>
            <w:noProof/>
          </w:rPr>
          <w:t>é</w:t>
        </w:r>
        <w:r w:rsidR="00AB7D85" w:rsidRPr="005B54EE">
          <w:rPr>
            <w:rStyle w:val="Hyperlink"/>
            <w:noProof/>
          </w:rPr>
          <w:t>ral aux pays en d</w:t>
        </w:r>
        <w:r w:rsidR="00AB7D85" w:rsidRPr="005B54EE">
          <w:rPr>
            <w:rStyle w:val="Hyperlink"/>
            <w:rFonts w:ascii="Marianne" w:hAnsi="Marianne" w:cs="Marianne"/>
            <w:noProof/>
          </w:rPr>
          <w:t>é</w:t>
        </w:r>
        <w:r w:rsidR="00AB7D85" w:rsidRPr="005B54EE">
          <w:rPr>
            <w:rStyle w:val="Hyperlink"/>
            <w:noProof/>
          </w:rPr>
          <w:t>veloppement en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_Toc124153752 \h </w:instrText>
        </w:r>
        <w:r w:rsidR="00AB7D85" w:rsidRPr="005B54EE">
          <w:rPr>
            <w:noProof/>
            <w:webHidden/>
          </w:rPr>
        </w:r>
        <w:r w:rsidR="00AB7D85" w:rsidRPr="005B54EE">
          <w:rPr>
            <w:noProof/>
            <w:webHidden/>
          </w:rPr>
          <w:fldChar w:fldCharType="separate"/>
        </w:r>
        <w:r w:rsidR="005B1C45">
          <w:rPr>
            <w:noProof/>
            <w:webHidden/>
          </w:rPr>
          <w:t>131</w:t>
        </w:r>
        <w:r w:rsidR="00AB7D85" w:rsidRPr="005B54EE">
          <w:rPr>
            <w:noProof/>
            <w:webHidden/>
          </w:rPr>
          <w:fldChar w:fldCharType="end"/>
        </w:r>
      </w:hyperlink>
    </w:p>
    <w:p w14:paraId="40209067" w14:textId="4B6A6469" w:rsidR="00AB7D85" w:rsidRPr="005B54EE" w:rsidRDefault="00C73940">
      <w:pPr>
        <w:pStyle w:val="TableofFigures"/>
        <w:tabs>
          <w:tab w:val="right" w:leader="dot" w:pos="9854"/>
        </w:tabs>
        <w:rPr>
          <w:rFonts w:eastAsiaTheme="minorEastAsia" w:cstheme="minorBidi"/>
          <w:i w:val="0"/>
          <w:noProof/>
          <w:sz w:val="22"/>
        </w:rPr>
      </w:pPr>
      <w:hyperlink w:anchor="_Toc124153753" w:history="1">
        <w:r w:rsidR="00AB7D85" w:rsidRPr="005B54EE">
          <w:rPr>
            <w:rStyle w:val="Hyperlink"/>
            <w:noProof/>
          </w:rPr>
          <w:t>Tableau 39</w:t>
        </w:r>
        <w:r w:rsidR="00AB7D85" w:rsidRPr="005B54EE">
          <w:rPr>
            <w:rStyle w:val="Hyperlink"/>
            <w:rFonts w:ascii="Calibri" w:hAnsi="Calibri" w:cs="Calibri"/>
            <w:noProof/>
          </w:rPr>
          <w:t> </w:t>
        </w:r>
        <w:r w:rsidR="00AB7D85" w:rsidRPr="005B54EE">
          <w:rPr>
            <w:rStyle w:val="Hyperlink"/>
            <w:noProof/>
          </w:rPr>
          <w:t>: Table CTF 7b - Contributions bilat</w:t>
        </w:r>
        <w:r w:rsidR="00AB7D85" w:rsidRPr="005B54EE">
          <w:rPr>
            <w:rStyle w:val="Hyperlink"/>
            <w:rFonts w:ascii="Marianne" w:hAnsi="Marianne" w:cs="Marianne"/>
            <w:noProof/>
          </w:rPr>
          <w:t>é</w:t>
        </w:r>
        <w:r w:rsidR="00AB7D85" w:rsidRPr="005B54EE">
          <w:rPr>
            <w:rStyle w:val="Hyperlink"/>
            <w:noProof/>
          </w:rPr>
          <w:t>rales, r</w:t>
        </w:r>
        <w:r w:rsidR="00AB7D85" w:rsidRPr="005B54EE">
          <w:rPr>
            <w:rStyle w:val="Hyperlink"/>
            <w:rFonts w:ascii="Marianne" w:hAnsi="Marianne" w:cs="Marianne"/>
            <w:noProof/>
          </w:rPr>
          <w:t>é</w:t>
        </w:r>
        <w:r w:rsidR="00AB7D85" w:rsidRPr="005B54EE">
          <w:rPr>
            <w:rStyle w:val="Hyperlink"/>
            <w:noProof/>
          </w:rPr>
          <w:t>gionales et autres en 2019</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_Toc124153753 \h </w:instrText>
        </w:r>
        <w:r w:rsidR="00AB7D85" w:rsidRPr="005B54EE">
          <w:rPr>
            <w:noProof/>
            <w:webHidden/>
          </w:rPr>
        </w:r>
        <w:r w:rsidR="00AB7D85" w:rsidRPr="005B54EE">
          <w:rPr>
            <w:noProof/>
            <w:webHidden/>
          </w:rPr>
          <w:fldChar w:fldCharType="separate"/>
        </w:r>
        <w:r w:rsidR="005B1C45">
          <w:rPr>
            <w:noProof/>
            <w:webHidden/>
          </w:rPr>
          <w:t>132</w:t>
        </w:r>
        <w:r w:rsidR="00AB7D85" w:rsidRPr="005B54EE">
          <w:rPr>
            <w:noProof/>
            <w:webHidden/>
          </w:rPr>
          <w:fldChar w:fldCharType="end"/>
        </w:r>
      </w:hyperlink>
    </w:p>
    <w:p w14:paraId="3C5090DE" w14:textId="0FF866C4" w:rsidR="00AB7D85" w:rsidRPr="005B54EE" w:rsidRDefault="00C73940">
      <w:pPr>
        <w:pStyle w:val="TableofFigures"/>
        <w:tabs>
          <w:tab w:val="right" w:leader="dot" w:pos="9854"/>
        </w:tabs>
        <w:rPr>
          <w:rFonts w:eastAsiaTheme="minorEastAsia" w:cstheme="minorBidi"/>
          <w:i w:val="0"/>
          <w:noProof/>
          <w:sz w:val="22"/>
        </w:rPr>
      </w:pPr>
      <w:hyperlink w:anchor="_Toc124153754" w:history="1">
        <w:r w:rsidR="00AB7D85" w:rsidRPr="005B54EE">
          <w:rPr>
            <w:rStyle w:val="Hyperlink"/>
            <w:noProof/>
          </w:rPr>
          <w:t>Tableau 40</w:t>
        </w:r>
        <w:r w:rsidR="00AB7D85" w:rsidRPr="005B54EE">
          <w:rPr>
            <w:rStyle w:val="Hyperlink"/>
            <w:rFonts w:ascii="Calibri" w:hAnsi="Calibri" w:cs="Calibri"/>
            <w:noProof/>
          </w:rPr>
          <w:t> </w:t>
        </w:r>
        <w:r w:rsidR="00AB7D85" w:rsidRPr="005B54EE">
          <w:rPr>
            <w:rStyle w:val="Hyperlink"/>
            <w:noProof/>
          </w:rPr>
          <w:t>: Table CTF 7b - Contributions bilat</w:t>
        </w:r>
        <w:r w:rsidR="00AB7D85" w:rsidRPr="005B54EE">
          <w:rPr>
            <w:rStyle w:val="Hyperlink"/>
            <w:rFonts w:ascii="Marianne" w:hAnsi="Marianne" w:cs="Marianne"/>
            <w:noProof/>
          </w:rPr>
          <w:t>é</w:t>
        </w:r>
        <w:r w:rsidR="00AB7D85" w:rsidRPr="005B54EE">
          <w:rPr>
            <w:rStyle w:val="Hyperlink"/>
            <w:noProof/>
          </w:rPr>
          <w:t>rales, r</w:t>
        </w:r>
        <w:r w:rsidR="00AB7D85" w:rsidRPr="005B54EE">
          <w:rPr>
            <w:rStyle w:val="Hyperlink"/>
            <w:rFonts w:ascii="Marianne" w:hAnsi="Marianne" w:cs="Marianne"/>
            <w:noProof/>
          </w:rPr>
          <w:t>é</w:t>
        </w:r>
        <w:r w:rsidR="00AB7D85" w:rsidRPr="005B54EE">
          <w:rPr>
            <w:rStyle w:val="Hyperlink"/>
            <w:noProof/>
          </w:rPr>
          <w:t>gionales et autres en 2020</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_Toc124153754 \h </w:instrText>
        </w:r>
        <w:r w:rsidR="00AB7D85" w:rsidRPr="005B54EE">
          <w:rPr>
            <w:noProof/>
            <w:webHidden/>
          </w:rPr>
        </w:r>
        <w:r w:rsidR="00AB7D85" w:rsidRPr="005B54EE">
          <w:rPr>
            <w:noProof/>
            <w:webHidden/>
          </w:rPr>
          <w:fldChar w:fldCharType="separate"/>
        </w:r>
        <w:r w:rsidR="005B1C45">
          <w:rPr>
            <w:noProof/>
            <w:webHidden/>
          </w:rPr>
          <w:t>157</w:t>
        </w:r>
        <w:r w:rsidR="00AB7D85" w:rsidRPr="005B54EE">
          <w:rPr>
            <w:noProof/>
            <w:webHidden/>
          </w:rPr>
          <w:fldChar w:fldCharType="end"/>
        </w:r>
      </w:hyperlink>
    </w:p>
    <w:p w14:paraId="79D25921" w14:textId="41CA49DB" w:rsidR="00AB7D85" w:rsidRPr="005B54EE" w:rsidRDefault="00C73940">
      <w:pPr>
        <w:pStyle w:val="TableofFigures"/>
        <w:tabs>
          <w:tab w:val="right" w:leader="dot" w:pos="9854"/>
        </w:tabs>
        <w:rPr>
          <w:rFonts w:eastAsiaTheme="minorEastAsia" w:cstheme="minorBidi"/>
          <w:i w:val="0"/>
          <w:noProof/>
          <w:sz w:val="22"/>
        </w:rPr>
      </w:pPr>
      <w:hyperlink w:anchor="_Toc124153755" w:history="1">
        <w:r w:rsidR="00AB7D85" w:rsidRPr="005B54EE">
          <w:rPr>
            <w:rStyle w:val="Hyperlink"/>
            <w:noProof/>
          </w:rPr>
          <w:t>Tableau 41</w:t>
        </w:r>
        <w:r w:rsidR="00AB7D85" w:rsidRPr="005B54EE">
          <w:rPr>
            <w:rStyle w:val="Hyperlink"/>
            <w:rFonts w:ascii="Calibri" w:hAnsi="Calibri" w:cs="Calibri"/>
            <w:noProof/>
          </w:rPr>
          <w:t> </w:t>
        </w:r>
        <w:r w:rsidR="00AB7D85" w:rsidRPr="005B54EE">
          <w:rPr>
            <w:rStyle w:val="Hyperlink"/>
            <w:noProof/>
          </w:rPr>
          <w:t>: Table CTF3</w:t>
        </w:r>
        <w:r w:rsidR="00AB7D85" w:rsidRPr="005B54EE">
          <w:rPr>
            <w:rStyle w:val="Hyperlink"/>
            <w:rFonts w:ascii="Calibri" w:hAnsi="Calibri" w:cs="Calibri"/>
            <w:noProof/>
          </w:rPr>
          <w:t> </w:t>
        </w:r>
        <w:r w:rsidR="00AB7D85" w:rsidRPr="005B54EE">
          <w:rPr>
            <w:rStyle w:val="Hyperlink"/>
            <w:rFonts w:ascii="Marianne" w:hAnsi="Marianne" w:cs="Marianne"/>
            <w:noProof/>
          </w:rPr>
          <w:t>–</w:t>
        </w:r>
        <w:r w:rsidR="00AB7D85" w:rsidRPr="005B54EE">
          <w:rPr>
            <w:rStyle w:val="Hyperlink"/>
            <w:noProof/>
          </w:rPr>
          <w:t xml:space="preserve"> Politiques et mesures pour les ann</w:t>
        </w:r>
        <w:r w:rsidR="00AB7D85" w:rsidRPr="005B54EE">
          <w:rPr>
            <w:rStyle w:val="Hyperlink"/>
            <w:rFonts w:ascii="Marianne" w:hAnsi="Marianne" w:cs="Marianne"/>
            <w:noProof/>
          </w:rPr>
          <w:t>é</w:t>
        </w:r>
        <w:r w:rsidR="00AB7D85" w:rsidRPr="005B54EE">
          <w:rPr>
            <w:rStyle w:val="Hyperlink"/>
            <w:noProof/>
          </w:rPr>
          <w:t>es 2019, 2020, 2021 et 2022</w:t>
        </w:r>
        <w:r w:rsidR="00AB7D85" w:rsidRPr="005B54EE">
          <w:rPr>
            <w:noProof/>
            <w:webHidden/>
          </w:rPr>
          <w:tab/>
        </w:r>
        <w:r w:rsidR="00AB7D85" w:rsidRPr="005B54EE">
          <w:rPr>
            <w:noProof/>
            <w:webHidden/>
          </w:rPr>
          <w:fldChar w:fldCharType="begin"/>
        </w:r>
        <w:r w:rsidR="00AB7D85" w:rsidRPr="005B54EE">
          <w:rPr>
            <w:noProof/>
            <w:webHidden/>
          </w:rPr>
          <w:instrText xml:space="preserve"> PAGEREF _Toc124153755 \h </w:instrText>
        </w:r>
        <w:r w:rsidR="00AB7D85" w:rsidRPr="005B54EE">
          <w:rPr>
            <w:noProof/>
            <w:webHidden/>
          </w:rPr>
        </w:r>
        <w:r w:rsidR="00AB7D85" w:rsidRPr="005B54EE">
          <w:rPr>
            <w:noProof/>
            <w:webHidden/>
          </w:rPr>
          <w:fldChar w:fldCharType="separate"/>
        </w:r>
        <w:r w:rsidR="005B1C45">
          <w:rPr>
            <w:noProof/>
            <w:webHidden/>
          </w:rPr>
          <w:t>184</w:t>
        </w:r>
        <w:r w:rsidR="00AB7D85" w:rsidRPr="005B54EE">
          <w:rPr>
            <w:noProof/>
            <w:webHidden/>
          </w:rPr>
          <w:fldChar w:fldCharType="end"/>
        </w:r>
      </w:hyperlink>
    </w:p>
    <w:p w14:paraId="36905E26" w14:textId="15B247F1" w:rsidR="00811B0F" w:rsidRPr="005B54EE" w:rsidRDefault="00811B0F" w:rsidP="00811B0F">
      <w:pPr>
        <w:jc w:val="left"/>
        <w:rPr>
          <w:rFonts w:eastAsiaTheme="majorEastAsia" w:cstheme="majorBidi"/>
          <w:sz w:val="48"/>
        </w:rPr>
      </w:pPr>
      <w:r w:rsidRPr="005B54EE">
        <w:fldChar w:fldCharType="end"/>
      </w:r>
      <w:r w:rsidRPr="005B54EE">
        <w:br w:type="page"/>
      </w:r>
    </w:p>
    <w:p w14:paraId="4E4B36D8" w14:textId="09950FEB" w:rsidR="00081C08" w:rsidRPr="005B54EE" w:rsidRDefault="005D5AA6" w:rsidP="007C589E">
      <w:pPr>
        <w:pStyle w:val="Titre1Niveau1"/>
      </w:pPr>
      <w:bookmarkStart w:id="1" w:name="_Toc138344650"/>
      <w:r w:rsidRPr="005B54EE">
        <w:lastRenderedPageBreak/>
        <w:t>Chapter I - The greenhouse gas emissions inventory</w:t>
      </w:r>
      <w:bookmarkEnd w:id="1"/>
    </w:p>
    <w:p w14:paraId="5425DBF7" w14:textId="2A4DD6BF" w:rsidR="004F7142" w:rsidRPr="005B54EE" w:rsidRDefault="00CF4DB7" w:rsidP="00C246BC">
      <w:pPr>
        <w:pStyle w:val="Titre2Niveau2"/>
      </w:pPr>
      <w:bookmarkStart w:id="2" w:name="_Toc138344651"/>
      <w:r w:rsidRPr="005B54EE">
        <w:t>Developments since 1990</w:t>
      </w:r>
      <w:bookmarkEnd w:id="2"/>
    </w:p>
    <w:p w14:paraId="51BC934F" w14:textId="74C1CB23" w:rsidR="004F7142" w:rsidRPr="005B54EE" w:rsidRDefault="004F7142" w:rsidP="00503085">
      <w:r w:rsidRPr="005B54EE">
        <w:t>As part of its obligations under the United Nations Framework Convention on Climate Change (UNFCCC), France is required to submit greenhouse gas inventories for two separate geographical areas:</w:t>
      </w:r>
    </w:p>
    <w:p w14:paraId="52F55634" w14:textId="247F72A5" w:rsidR="004F7142" w:rsidRPr="005B54EE" w:rsidRDefault="004F7142" w:rsidP="00D05B43">
      <w:pPr>
        <w:pStyle w:val="ListParagraph"/>
        <w:numPr>
          <w:ilvl w:val="0"/>
          <w:numId w:val="64"/>
        </w:numPr>
      </w:pPr>
      <w:r w:rsidRPr="005B54EE">
        <w:t>The ‘Kyoto’ area, which includes all French territories that are also considered as European Union territories. In addition to mainland France (including Corsica), this includes the seven French outermost regions: French Guiana, Guadeloupe, Saint-Martin (since 2012), Martinique, Reunion and Mayotte (since 2014). These are the regions included in the implementation of the Kyoto Protocol.</w:t>
      </w:r>
    </w:p>
    <w:p w14:paraId="499AE74A" w14:textId="4407628C" w:rsidR="004F7142" w:rsidRPr="005B54EE" w:rsidRDefault="004F7142" w:rsidP="00D05B43">
      <w:pPr>
        <w:pStyle w:val="ListParagraph"/>
        <w:numPr>
          <w:ilvl w:val="0"/>
          <w:numId w:val="64"/>
        </w:numPr>
      </w:pPr>
      <w:r w:rsidRPr="005B54EE">
        <w:t>The ‘Convention’ area, which covers the whole of France: in addition to the ‘Kyoto’ area, there are the Overseas Countries and Territories (OCTs): New Caledonia, French Polynesia, Wallis and Futuna, Saint Barthélemy and Saint-Pierre-et-Miquelon.</w:t>
      </w:r>
    </w:p>
    <w:p w14:paraId="66211CC9" w14:textId="5FB4A430" w:rsidR="00B52CA8" w:rsidRPr="005B54EE" w:rsidRDefault="00B52CA8" w:rsidP="00B52CA8"/>
    <w:p w14:paraId="28B46AB4" w14:textId="1BCEE3EF" w:rsidR="003A1EE9" w:rsidRPr="005B54EE" w:rsidRDefault="003A1EE9" w:rsidP="003A1EE9">
      <w:r w:rsidRPr="005B54EE">
        <w:t>The National Inventory Report (NIR) submitted every year to the UNFCCC Secretariat contains an analysis of emission trends.</w:t>
      </w:r>
    </w:p>
    <w:p w14:paraId="32D2421B" w14:textId="54ABD230" w:rsidR="00CF4DB7" w:rsidRPr="005B54EE" w:rsidRDefault="00117FAB" w:rsidP="00B04A7C">
      <w:pPr>
        <w:pStyle w:val="Titre3Niveau3"/>
      </w:pPr>
      <w:bookmarkStart w:id="3" w:name="_Toc138344652"/>
      <w:r w:rsidRPr="005B54EE">
        <w:t>Emissions within the Convention area from 1990 to 2020</w:t>
      </w:r>
      <w:bookmarkEnd w:id="3"/>
    </w:p>
    <w:p w14:paraId="5893566B" w14:textId="53697A24" w:rsidR="00D54378" w:rsidRPr="005B54EE" w:rsidRDefault="00B53473" w:rsidP="00B53473">
      <w:r w:rsidRPr="005B54EE">
        <w:t>In 2020, greenhouse gas emissions within the Convention area are estimated at 399.4 MtCO</w:t>
      </w:r>
      <w:r w:rsidRPr="005B54EE">
        <w:rPr>
          <w:vertAlign w:val="subscript"/>
        </w:rPr>
        <w:t>2eq</w:t>
      </w:r>
      <w:r w:rsidRPr="005B54EE">
        <w:t xml:space="preserve"> excluding the land sector (384.8 MtCO</w:t>
      </w:r>
      <w:r w:rsidRPr="005B54EE">
        <w:rPr>
          <w:vertAlign w:val="subscript"/>
        </w:rPr>
        <w:t>2eq</w:t>
      </w:r>
      <w:r w:rsidRPr="005B54EE">
        <w:t xml:space="preserve"> including it). Excluding LULUCF (Land Use, Land Use Change and Forestry), emissions have decreased by 27.0% since 1990, and by 26.5% including LULUCF. After relative emissions stability in the 1990s, there was a sharp decrease from 2005 onwards. Emissions increased again between 2014 and 2018: this is the result of, in addition to a higher climate severity index, economic growth, low fuel prices and the non-availability of some nuclear power plants due to maintenance work. This non-availability resulted in an increased use of fossil fuels (oil, gas, coal). Emissions started to decrease again in France from 2018 onwards. The strong decrease observed in 2020 (-9.6% excluding LULUCF vs 2019) is largely due to the measures put in place to fight the Covid-19 pandemic. </w:t>
      </w:r>
    </w:p>
    <w:p w14:paraId="1BC478BD" w14:textId="434D3E58" w:rsidR="00E13412" w:rsidRPr="005B54EE" w:rsidRDefault="00E13412" w:rsidP="00503085">
      <w:pPr>
        <w:jc w:val="center"/>
      </w:pPr>
      <w:r w:rsidRPr="005B54EE">
        <w:rPr>
          <w:noProof/>
          <w:lang w:val="fr-FR"/>
        </w:rPr>
        <w:lastRenderedPageBreak/>
        <w:drawing>
          <wp:inline distT="0" distB="0" distL="0" distR="0" wp14:anchorId="7F47904B" wp14:editId="2AFCBECC">
            <wp:extent cx="6038850" cy="4010025"/>
            <wp:effectExtent l="0" t="0" r="0" b="9525"/>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2C7CC4" w14:textId="6568E06A" w:rsidR="00E80ECE" w:rsidRPr="005B54EE" w:rsidRDefault="00E80ECE" w:rsidP="00E80ECE">
      <w:pPr>
        <w:pStyle w:val="Caption"/>
      </w:pPr>
      <w:bookmarkStart w:id="4" w:name="_Toc124153756"/>
      <w:r w:rsidRPr="005B54EE">
        <w:t xml:space="preserve">Figure </w:t>
      </w:r>
      <w:r w:rsidR="00C73940">
        <w:fldChar w:fldCharType="begin"/>
      </w:r>
      <w:r w:rsidR="00C73940">
        <w:instrText xml:space="preserve"> SEQ Figure \* ARABIC </w:instrText>
      </w:r>
      <w:r w:rsidR="00C73940">
        <w:fldChar w:fldCharType="separate"/>
      </w:r>
      <w:r w:rsidR="003402E2">
        <w:rPr>
          <w:noProof/>
        </w:rPr>
        <w:t>1</w:t>
      </w:r>
      <w:r w:rsidR="00C73940">
        <w:rPr>
          <w:noProof/>
        </w:rPr>
        <w:fldChar w:fldCharType="end"/>
      </w:r>
      <w:r w:rsidRPr="005B54EE">
        <w:t>: Change in French emissions within the Convention area from 1990 to 2020</w:t>
      </w:r>
      <w:bookmarkEnd w:id="4"/>
    </w:p>
    <w:p w14:paraId="58DC6FF3" w14:textId="07187426" w:rsidR="00503085" w:rsidRPr="005B54EE" w:rsidRDefault="00503085" w:rsidP="00E80ECE">
      <w:pPr>
        <w:pStyle w:val="Caption"/>
      </w:pPr>
      <w:r w:rsidRPr="005B54EE">
        <w:t>Source: Citepa/MTE inventory, UNFCCC submitted April 2022, Convention area</w:t>
      </w:r>
    </w:p>
    <w:p w14:paraId="6782A397" w14:textId="3233D611" w:rsidR="00503085" w:rsidRPr="005B54EE" w:rsidRDefault="00503085" w:rsidP="00503085"/>
    <w:p w14:paraId="56A5E28C" w14:textId="332F568F" w:rsidR="00EC09B7" w:rsidRPr="005B54EE" w:rsidRDefault="003A1EE9" w:rsidP="003A1EE9">
      <w:r w:rsidRPr="005B54EE">
        <w:t>The decrease observed since 1990 in the energy sector is largely attributed to the evolution of the energy mix with the gradual phasing out of coal capacity, which has been replaced by natural gas with lower emissions, and renewable energies. Climatic conditions also have an impact on the emissions from this sector, both in terms of the level of production from hydraulic sites and heating requirements.</w:t>
      </w:r>
    </w:p>
    <w:p w14:paraId="59D657D8" w14:textId="77777777" w:rsidR="00117FAB" w:rsidRPr="005B54EE" w:rsidRDefault="00117FAB" w:rsidP="003A1EE9"/>
    <w:p w14:paraId="1EFBDF42" w14:textId="3A187634" w:rsidR="003A1EE9" w:rsidRPr="005B54EE" w:rsidRDefault="003A1EE9" w:rsidP="003A1EE9">
      <w:r w:rsidRPr="005B54EE">
        <w:t>In industry, it is the improvement of industrial processes and the progressive tertiarisation of the French economy that are responsible for the decrease in emissions. Sectoral mitigation policies (see part III) have allowed an uncoupling of GDP and population growth (+50% since 1990) with that of emissions: thus emissions per unit of GDP have been halved since 1990.</w:t>
      </w:r>
    </w:p>
    <w:p w14:paraId="09A82046" w14:textId="4C6D70F4" w:rsidR="00503085" w:rsidRPr="005B54EE" w:rsidRDefault="00503085" w:rsidP="00503085"/>
    <w:p w14:paraId="4BD1A31D" w14:textId="6FE0DAE6" w:rsidR="00132B40" w:rsidRPr="005B54EE" w:rsidRDefault="00132B40" w:rsidP="00132B40">
      <w:r w:rsidRPr="005B54EE">
        <w:t>Energy use is the largest source of greenhouse gas emissions in France (CRF1.A), accounting for 67.7% of emissions in 2020 (270.5 MtCO</w:t>
      </w:r>
      <w:r w:rsidRPr="005B54EE">
        <w:rPr>
          <w:vertAlign w:val="subscript"/>
        </w:rPr>
        <w:t>2eq</w:t>
      </w:r>
      <w:r w:rsidRPr="005B54EE">
        <w:t>). For emissions from energy combustion, the transport sector is the largest contributor (40.9% of the national total), followed by residential/tertiary and agricultural buildings (26.4%), manufacturing industry and construction (17%) and energy industries (14%).</w:t>
      </w:r>
    </w:p>
    <w:p w14:paraId="1D9324F9" w14:textId="2F5C8E56" w:rsidR="00132B40" w:rsidRPr="005B54EE" w:rsidRDefault="00132B40" w:rsidP="00503085"/>
    <w:p w14:paraId="07E6DFB5" w14:textId="0E9C8AEA" w:rsidR="00B52CA8" w:rsidRPr="005B54EE" w:rsidRDefault="00CF4DB7" w:rsidP="00B04A7C">
      <w:pPr>
        <w:pStyle w:val="Titre3Niveau3"/>
      </w:pPr>
      <w:bookmarkStart w:id="5" w:name="_Toc138344653"/>
      <w:r w:rsidRPr="005B54EE">
        <w:t>Emissions within the ‘Kyoto’ area from 1990 to 2020</w:t>
      </w:r>
      <w:bookmarkEnd w:id="5"/>
    </w:p>
    <w:p w14:paraId="627ABB89" w14:textId="2FED4578" w:rsidR="00B52CA8" w:rsidRPr="005B54EE" w:rsidRDefault="00B52CA8" w:rsidP="00B52CA8">
      <w:r w:rsidRPr="005B54EE">
        <w:t>In 2020, French greenhouse gas emissions within the ‘Kyoto’ area were estimated at 392.9 MtCO</w:t>
      </w:r>
      <w:r w:rsidRPr="005B54EE">
        <w:rPr>
          <w:vertAlign w:val="subscript"/>
        </w:rPr>
        <w:t>2eq</w:t>
      </w:r>
      <w:r w:rsidRPr="005B54EE">
        <w:t xml:space="preserve"> excluding the land sector (378.9 MtCO</w:t>
      </w:r>
      <w:r w:rsidRPr="005B54EE">
        <w:rPr>
          <w:vertAlign w:val="subscript"/>
        </w:rPr>
        <w:t>2eq</w:t>
      </w:r>
      <w:r w:rsidRPr="005B54EE">
        <w:t xml:space="preserve"> including it). Considering the small contribution to total emissions from territories outside the European Union in the national emissions, the same trends are observed, with the same factors, as for the Convention area.</w:t>
      </w:r>
    </w:p>
    <w:p w14:paraId="21954DA9" w14:textId="105A54FE" w:rsidR="004811D4" w:rsidRPr="005B54EE" w:rsidRDefault="004811D4" w:rsidP="00F62319">
      <w:pPr>
        <w:jc w:val="center"/>
      </w:pPr>
    </w:p>
    <w:p w14:paraId="7C6C4450" w14:textId="204E8B59" w:rsidR="003A1EE9" w:rsidRPr="005B54EE" w:rsidRDefault="003A1EE9" w:rsidP="00F62319">
      <w:pPr>
        <w:jc w:val="center"/>
      </w:pPr>
      <w:r w:rsidRPr="005B54EE">
        <w:rPr>
          <w:noProof/>
          <w:lang w:val="fr-FR"/>
        </w:rPr>
        <w:lastRenderedPageBreak/>
        <w:drawing>
          <wp:inline distT="0" distB="0" distL="0" distR="0" wp14:anchorId="0044AA74" wp14:editId="1EC4E2F5">
            <wp:extent cx="5895975" cy="3705226"/>
            <wp:effectExtent l="0" t="0" r="9525" b="9525"/>
            <wp:docPr id="2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B75E9A" w14:textId="3B5DD8B2" w:rsidR="00E80ECE" w:rsidRPr="005B54EE" w:rsidRDefault="00E80ECE" w:rsidP="00E80ECE">
      <w:pPr>
        <w:pStyle w:val="Caption"/>
      </w:pPr>
      <w:bookmarkStart w:id="6" w:name="_Toc124153757"/>
      <w:r w:rsidRPr="005B54EE">
        <w:t xml:space="preserve">Figure </w:t>
      </w:r>
      <w:r w:rsidR="00C73940">
        <w:fldChar w:fldCharType="begin"/>
      </w:r>
      <w:r w:rsidR="00C73940">
        <w:instrText xml:space="preserve"> SEQ Figure \* ARABIC </w:instrText>
      </w:r>
      <w:r w:rsidR="00C73940">
        <w:fldChar w:fldCharType="separate"/>
      </w:r>
      <w:r w:rsidR="003402E2">
        <w:rPr>
          <w:noProof/>
        </w:rPr>
        <w:t>2</w:t>
      </w:r>
      <w:r w:rsidR="00C73940">
        <w:rPr>
          <w:noProof/>
        </w:rPr>
        <w:fldChar w:fldCharType="end"/>
      </w:r>
      <w:r w:rsidRPr="005B54EE">
        <w:t>: Trends in French emissions within the ‘Kyoto’ area</w:t>
      </w:r>
      <w:bookmarkEnd w:id="6"/>
    </w:p>
    <w:p w14:paraId="26A5F106" w14:textId="4EA4C21B" w:rsidR="004811D4" w:rsidRPr="005B54EE" w:rsidRDefault="004811D4" w:rsidP="00E80ECE">
      <w:pPr>
        <w:pStyle w:val="Caption"/>
      </w:pPr>
      <w:r w:rsidRPr="005B54EE">
        <w:t>Source: Citepa/MTE inventory, UNFCCC submitted April 2022, Kyoto area</w:t>
      </w:r>
    </w:p>
    <w:p w14:paraId="53081CB5" w14:textId="75D98C80" w:rsidR="00F62319" w:rsidRPr="005B54EE" w:rsidRDefault="00F62319" w:rsidP="00B52CA8"/>
    <w:p w14:paraId="35F006F5" w14:textId="51396159" w:rsidR="00F62319" w:rsidRPr="005B54EE" w:rsidRDefault="00F62319" w:rsidP="00B52CA8">
      <w:r w:rsidRPr="005B54EE">
        <w:t>Energy use is the largest source of greenhouse gas emissions in France (CRF1.A), accounting for 66.5% of emissions in 2020 (261.5 MtCO</w:t>
      </w:r>
      <w:r w:rsidRPr="005B54EE">
        <w:rPr>
          <w:vertAlign w:val="subscript"/>
        </w:rPr>
        <w:t>2eq</w:t>
      </w:r>
      <w:r w:rsidRPr="005B54EE">
        <w:t>). For emissions from energy combustion, the transport sector is the largest contributor (41.8% of the national total), followed by residential/tertiary and agricultural buildings (27.2%), manufacturing industry and construction (16.1%) and energy industries (14.2%).</w:t>
      </w:r>
    </w:p>
    <w:p w14:paraId="661E8D3A" w14:textId="77777777" w:rsidR="00716DC8" w:rsidRPr="005B54EE" w:rsidRDefault="00716DC8" w:rsidP="00B52CA8"/>
    <w:p w14:paraId="38218D36" w14:textId="75C46368" w:rsidR="00716DC8" w:rsidRPr="005B54EE" w:rsidRDefault="00716DC8" w:rsidP="00716DC8">
      <w:r w:rsidRPr="005B54EE">
        <w:rPr>
          <w:b/>
        </w:rPr>
        <w:t>Between 1990 and 2020, France's greenhouse gas emissions (Kyoto Protocol area) excluding LULUCF decreased by 27.8% compared to 1990, while at the same time its population increased by 16.2%. Within the ‘Kyoto’ area, the emissions per capita thus decreased from 9.4 tCO</w:t>
      </w:r>
      <w:r w:rsidRPr="005B54EE">
        <w:rPr>
          <w:b/>
          <w:vertAlign w:val="subscript"/>
        </w:rPr>
        <w:t>2eq</w:t>
      </w:r>
      <w:r w:rsidRPr="005B54EE">
        <w:rPr>
          <w:b/>
        </w:rPr>
        <w:t xml:space="preserve"> to 5.93 tCO</w:t>
      </w:r>
      <w:r w:rsidRPr="005B54EE">
        <w:rPr>
          <w:b/>
          <w:vertAlign w:val="subscript"/>
        </w:rPr>
        <w:t>2eq</w:t>
      </w:r>
      <w:r w:rsidRPr="005B54EE">
        <w:rPr>
          <w:b/>
        </w:rPr>
        <w:t>, i.e. a decrease of 37%. Over the same period, the level of emissions per unit of GDP fell by 65%.</w:t>
      </w:r>
    </w:p>
    <w:p w14:paraId="49EBFB95" w14:textId="0D47A298" w:rsidR="00EC09B7" w:rsidRPr="005B54EE" w:rsidRDefault="00E330BB" w:rsidP="00C246BC">
      <w:pPr>
        <w:pStyle w:val="Titre2Niveau2"/>
      </w:pPr>
      <w:bookmarkStart w:id="7" w:name="_Toc138344654"/>
      <w:r w:rsidRPr="005B54EE">
        <w:t>Trends by type of gas since 1990 within the Kyoto area</w:t>
      </w:r>
      <w:bookmarkEnd w:id="7"/>
    </w:p>
    <w:p w14:paraId="18E3C054" w14:textId="70EB05F1" w:rsidR="00380A1C" w:rsidRPr="005B54EE" w:rsidRDefault="00380A1C" w:rsidP="00380A1C">
      <w:r w:rsidRPr="005B54EE">
        <w:t>In 2020, CO</w:t>
      </w:r>
      <w:r w:rsidRPr="005B54EE">
        <w:rPr>
          <w:vertAlign w:val="subscript"/>
        </w:rPr>
        <w:t>2</w:t>
      </w:r>
      <w:r w:rsidRPr="005B54EE">
        <w:t xml:space="preserve"> accounted for 73.6% of total emissions excluding LULUCF, i.e. 289.4 MtCO</w:t>
      </w:r>
      <w:r w:rsidRPr="005B54EE">
        <w:rPr>
          <w:vertAlign w:val="subscript"/>
        </w:rPr>
        <w:t>2eq</w:t>
      </w:r>
      <w:r w:rsidRPr="005B54EE">
        <w:t>; CH4 for 13.9% (54.6 MtCO</w:t>
      </w:r>
      <w:r w:rsidRPr="005B54EE">
        <w:rPr>
          <w:vertAlign w:val="subscript"/>
        </w:rPr>
        <w:t>2eq</w:t>
      </w:r>
      <w:r w:rsidRPr="005B54EE">
        <w:t>); N</w:t>
      </w:r>
      <w:r w:rsidRPr="005B54EE">
        <w:rPr>
          <w:vertAlign w:val="subscript"/>
        </w:rPr>
        <w:t>2</w:t>
      </w:r>
      <w:r w:rsidRPr="005B54EE">
        <w:t>O for 9.2% (36.3 MtCO</w:t>
      </w:r>
      <w:r w:rsidRPr="005B54EE">
        <w:rPr>
          <w:vertAlign w:val="subscript"/>
        </w:rPr>
        <w:t>2eq</w:t>
      </w:r>
      <w:r w:rsidRPr="005B54EE">
        <w:t>); and HFC/PFC emissions for 3.12% (12.3 MtCO</w:t>
      </w:r>
      <w:r w:rsidRPr="005B54EE">
        <w:rPr>
          <w:vertAlign w:val="subscript"/>
        </w:rPr>
        <w:t>2eq</w:t>
      </w:r>
      <w:r w:rsidRPr="005B54EE">
        <w:t>).</w:t>
      </w:r>
    </w:p>
    <w:p w14:paraId="220727AA" w14:textId="43A772B4" w:rsidR="00AF450A" w:rsidRPr="005B54EE" w:rsidRDefault="00AF450A" w:rsidP="00380A1C"/>
    <w:p w14:paraId="09E837FD" w14:textId="0F807D22" w:rsidR="00235933" w:rsidRPr="005B54EE" w:rsidRDefault="009F364F" w:rsidP="00380A1C">
      <w:r w:rsidRPr="005B54EE">
        <w:rPr>
          <w:noProof/>
          <w:lang w:val="fr-FR"/>
        </w:rPr>
        <w:lastRenderedPageBreak/>
        <w:drawing>
          <wp:inline distT="0" distB="0" distL="0" distR="0" wp14:anchorId="4F4D4589" wp14:editId="56448E12">
            <wp:extent cx="6318250" cy="4053840"/>
            <wp:effectExtent l="0" t="0" r="6350" b="381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507B7F" w14:textId="0E975FB8" w:rsidR="005963A4" w:rsidRPr="005B54EE" w:rsidRDefault="005963A4" w:rsidP="005963A4">
      <w:pPr>
        <w:pStyle w:val="Caption"/>
        <w:rPr>
          <w:vertAlign w:val="subscript"/>
        </w:rPr>
      </w:pPr>
      <w:bookmarkStart w:id="8" w:name="_Toc124153758"/>
      <w:r w:rsidRPr="005B54EE">
        <w:t xml:space="preserve">Figure </w:t>
      </w:r>
      <w:r w:rsidR="00C73940">
        <w:fldChar w:fldCharType="begin"/>
      </w:r>
      <w:r w:rsidR="00C73940">
        <w:instrText xml:space="preserve"> SEQ Figure \* ARAB</w:instrText>
      </w:r>
      <w:r w:rsidR="00C73940">
        <w:instrText xml:space="preserve">IC </w:instrText>
      </w:r>
      <w:r w:rsidR="00C73940">
        <w:fldChar w:fldCharType="separate"/>
      </w:r>
      <w:r w:rsidR="003402E2">
        <w:rPr>
          <w:noProof/>
        </w:rPr>
        <w:t>3</w:t>
      </w:r>
      <w:r w:rsidR="00C73940">
        <w:rPr>
          <w:noProof/>
        </w:rPr>
        <w:fldChar w:fldCharType="end"/>
      </w:r>
      <w:r w:rsidRPr="005B54EE">
        <w:t>: Emissions of CO</w:t>
      </w:r>
      <w:r w:rsidRPr="005B54EE">
        <w:rPr>
          <w:vertAlign w:val="subscript"/>
        </w:rPr>
        <w:t>2</w:t>
      </w:r>
      <w:r w:rsidRPr="005B54EE">
        <w:t>, CH</w:t>
      </w:r>
      <w:r w:rsidRPr="005B54EE">
        <w:rPr>
          <w:vertAlign w:val="subscript"/>
        </w:rPr>
        <w:t>4</w:t>
      </w:r>
      <w:r w:rsidRPr="005B54EE">
        <w:t>, N</w:t>
      </w:r>
      <w:r w:rsidRPr="005B54EE">
        <w:rPr>
          <w:vertAlign w:val="subscript"/>
        </w:rPr>
        <w:t>2</w:t>
      </w:r>
      <w:r w:rsidRPr="005B54EE">
        <w:t>O, HFCs and PFCs since 1990 in thousands of tons of CO</w:t>
      </w:r>
      <w:r w:rsidRPr="005B54EE">
        <w:rPr>
          <w:vertAlign w:val="subscript"/>
        </w:rPr>
        <w:t>2</w:t>
      </w:r>
      <w:r w:rsidRPr="005B54EE">
        <w:t xml:space="preserve"> equivalent</w:t>
      </w:r>
      <w:bookmarkEnd w:id="8"/>
    </w:p>
    <w:p w14:paraId="277D3ACD" w14:textId="5AC435CA" w:rsidR="00235933" w:rsidRPr="005B54EE" w:rsidRDefault="00235933" w:rsidP="005963A4">
      <w:pPr>
        <w:pStyle w:val="Caption"/>
      </w:pPr>
      <w:r w:rsidRPr="005B54EE">
        <w:t>Source: Citepa/MTE inventory, UNFCCC submitted April 2022, for the Kyoto area.</w:t>
      </w:r>
    </w:p>
    <w:p w14:paraId="4E47B7DE" w14:textId="20790FA5" w:rsidR="00324188" w:rsidRPr="005B54EE" w:rsidRDefault="00324188" w:rsidP="00235933"/>
    <w:p w14:paraId="5F5A0282" w14:textId="18E09117" w:rsidR="009F364F" w:rsidRPr="005B54EE" w:rsidRDefault="009F364F" w:rsidP="00235933">
      <w:r w:rsidRPr="005B54EE">
        <w:t>Between 1990 and 2020, CO</w:t>
      </w:r>
      <w:r w:rsidRPr="005B54EE">
        <w:rPr>
          <w:vertAlign w:val="subscript"/>
        </w:rPr>
        <w:t>2</w:t>
      </w:r>
      <w:r w:rsidRPr="005B54EE">
        <w:t xml:space="preserve"> emissions decreased by 27.4%: emissions remained relatively stable until 2007 (+2%) and then decreased sharply with the financial crisis. The decrease continued after 2008, indicating that the policies and measures put in place prevented a rebound in emissions.</w:t>
      </w:r>
    </w:p>
    <w:p w14:paraId="4C28A648" w14:textId="6DA6E154" w:rsidR="009F364F" w:rsidRPr="005B54EE" w:rsidRDefault="009F364F" w:rsidP="00235933">
      <w:r w:rsidRPr="005B54EE">
        <w:t>N</w:t>
      </w:r>
      <w:r w:rsidRPr="005B54EE">
        <w:rPr>
          <w:vertAlign w:val="subscript"/>
        </w:rPr>
        <w:t>2</w:t>
      </w:r>
      <w:r w:rsidRPr="005B54EE">
        <w:t>O and CH</w:t>
      </w:r>
      <w:r w:rsidRPr="005B54EE">
        <w:rPr>
          <w:vertAlign w:val="subscript"/>
        </w:rPr>
        <w:t>4</w:t>
      </w:r>
      <w:r w:rsidRPr="005B54EE">
        <w:t xml:space="preserve"> emissions, excluding the land sector, fell by 30.5% and 9.2% respectively. These reductions are mainly due to measures in the waste sector promoting the recovery of landfill gas, as well as the reduction of agricultural inputs.</w:t>
      </w:r>
    </w:p>
    <w:p w14:paraId="39EEA8CD" w14:textId="00ADD578" w:rsidR="00456B83" w:rsidRPr="005B54EE" w:rsidRDefault="00456B83" w:rsidP="00235933">
      <w:r w:rsidRPr="005B54EE">
        <w:t>Fluorinated gas emissions have increased by 7.3% since 1990: initially there was a decrease between 1990 and 1997 (-21%), followed by an increase up to 2011 (+57% vs 1990), followed by a further decrease (-32% vs 2011). This small overall reduction masks a change in the distribution of emissions between the different fluorinated gases; SF</w:t>
      </w:r>
      <w:r w:rsidRPr="005B54EE">
        <w:rPr>
          <w:vertAlign w:val="subscript"/>
        </w:rPr>
        <w:t>6</w:t>
      </w:r>
      <w:r w:rsidRPr="005B54EE">
        <w:t xml:space="preserve"> emissions have fallen sharply since 1995 (-86%), having been replaced by emissions of other HFCs and PFCs.</w:t>
      </w:r>
    </w:p>
    <w:p w14:paraId="00348345" w14:textId="52470161" w:rsidR="00324188" w:rsidRPr="005B54EE" w:rsidRDefault="00324188" w:rsidP="00235933">
      <w:r w:rsidRPr="005B54EE">
        <w:rPr>
          <w:noProof/>
          <w:lang w:val="fr-FR"/>
        </w:rPr>
        <w:lastRenderedPageBreak/>
        <w:drawing>
          <wp:inline distT="0" distB="0" distL="0" distR="0" wp14:anchorId="1F93F872" wp14:editId="08939D51">
            <wp:extent cx="6318250" cy="4047490"/>
            <wp:effectExtent l="0" t="0" r="6350" b="1016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5E13E6" w14:textId="160BEED5" w:rsidR="005963A4" w:rsidRPr="005B54EE" w:rsidRDefault="005963A4" w:rsidP="005963A4">
      <w:pPr>
        <w:pStyle w:val="Caption"/>
      </w:pPr>
      <w:bookmarkStart w:id="9" w:name="_Toc124153759"/>
      <w:r w:rsidRPr="005B54EE">
        <w:t xml:space="preserve">Figure </w:t>
      </w:r>
      <w:r w:rsidR="00C73940">
        <w:fldChar w:fldCharType="begin"/>
      </w:r>
      <w:r w:rsidR="00C73940">
        <w:instrText xml:space="preserve"> SEQ Figure \* ARABIC </w:instrText>
      </w:r>
      <w:r w:rsidR="00C73940">
        <w:fldChar w:fldCharType="separate"/>
      </w:r>
      <w:r w:rsidR="003402E2">
        <w:rPr>
          <w:noProof/>
        </w:rPr>
        <w:t>4</w:t>
      </w:r>
      <w:r w:rsidR="00C73940">
        <w:rPr>
          <w:noProof/>
        </w:rPr>
        <w:fldChar w:fldCharType="end"/>
      </w:r>
      <w:r w:rsidRPr="005B54EE">
        <w:t>: Trends in the proportions of different fluorinated gases since 1990</w:t>
      </w:r>
      <w:bookmarkEnd w:id="9"/>
    </w:p>
    <w:p w14:paraId="090CBC1C" w14:textId="4A4EE96F" w:rsidR="009F364F" w:rsidRPr="005B54EE" w:rsidRDefault="009F364F" w:rsidP="005963A4">
      <w:pPr>
        <w:pStyle w:val="Caption"/>
      </w:pPr>
      <w:r w:rsidRPr="005B54EE">
        <w:t>Source: Citepa/MTE inventory, UNFCCC submitted April 2022, for the Kyoto area.</w:t>
      </w:r>
    </w:p>
    <w:p w14:paraId="4B8F3A60" w14:textId="4EAD396E" w:rsidR="006C7946" w:rsidRPr="005B54EE" w:rsidRDefault="006C7946" w:rsidP="009F364F"/>
    <w:p w14:paraId="6BAB923F" w14:textId="5B3FA083" w:rsidR="005F3EA0" w:rsidRPr="005B54EE" w:rsidRDefault="003B1AB1" w:rsidP="00B04A7C">
      <w:pPr>
        <w:pStyle w:val="Titre3Niveau3"/>
      </w:pPr>
      <w:bookmarkStart w:id="10" w:name="_Toc138344655"/>
      <w:r w:rsidRPr="005B54EE">
        <w:t>CO</w:t>
      </w:r>
      <w:r w:rsidRPr="005B54EE">
        <w:rPr>
          <w:vertAlign w:val="subscript"/>
        </w:rPr>
        <w:t>2</w:t>
      </w:r>
      <w:r w:rsidRPr="005B54EE">
        <w:t xml:space="preserve"> Emissions</w:t>
      </w:r>
      <w:bookmarkEnd w:id="10"/>
    </w:p>
    <w:p w14:paraId="20048FFF" w14:textId="621BE419" w:rsidR="005F3EA0" w:rsidRPr="005B54EE" w:rsidRDefault="005F3EA0" w:rsidP="009F364F">
      <w:r w:rsidRPr="005B54EE">
        <w:t>CO</w:t>
      </w:r>
      <w:r w:rsidRPr="005B54EE">
        <w:rPr>
          <w:vertAlign w:val="subscript"/>
        </w:rPr>
        <w:t>2</w:t>
      </w:r>
      <w:r w:rsidRPr="005B54EE">
        <w:t xml:space="preserve"> emissions are mainly attributable to energy use: in 2020 emissions excluding LULUCF were 289.4 MtCO</w:t>
      </w:r>
      <w:r w:rsidRPr="005B54EE">
        <w:rPr>
          <w:vertAlign w:val="subscript"/>
        </w:rPr>
        <w:t>2eq</w:t>
      </w:r>
      <w:r w:rsidRPr="005B54EE">
        <w:t>, i.e. 73.6% of total emissions (393 MtCO</w:t>
      </w:r>
      <w:r w:rsidRPr="005B54EE">
        <w:rPr>
          <w:vertAlign w:val="subscript"/>
        </w:rPr>
        <w:t>2eq</w:t>
      </w:r>
      <w:r w:rsidRPr="005B54EE">
        <w:t>).</w:t>
      </w:r>
    </w:p>
    <w:p w14:paraId="518EF70C" w14:textId="1BFE842C" w:rsidR="005F3EA0" w:rsidRPr="005B54EE" w:rsidRDefault="005F3EA0" w:rsidP="009F364F">
      <w:r w:rsidRPr="005B54EE">
        <w:t>Transport is the sector with the highest CO</w:t>
      </w:r>
      <w:r w:rsidRPr="005B54EE">
        <w:rPr>
          <w:vertAlign w:val="subscript"/>
        </w:rPr>
        <w:t>2</w:t>
      </w:r>
      <w:r w:rsidRPr="005B54EE">
        <w:t xml:space="preserve"> emissions (37.7%), followed by the manufacturing industry (23.5%) and the residential-tertiary sector (20.9%). These percentages have changed very little, even though in 2020 industry moved ahead of the residential-tertiary sector.</w:t>
      </w:r>
    </w:p>
    <w:p w14:paraId="7E07D6B5" w14:textId="54893CB5" w:rsidR="00C5348E" w:rsidRPr="005B54EE" w:rsidRDefault="00C5348E" w:rsidP="009F364F">
      <w:r w:rsidRPr="005B54EE">
        <w:rPr>
          <w:noProof/>
          <w:lang w:val="fr-FR"/>
        </w:rPr>
        <w:lastRenderedPageBreak/>
        <w:drawing>
          <wp:inline distT="0" distB="0" distL="0" distR="0" wp14:anchorId="2FEAC452" wp14:editId="587EDE69">
            <wp:extent cx="5791200" cy="3629025"/>
            <wp:effectExtent l="0" t="0" r="0" b="9525"/>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9675C8" w14:textId="2407CE84" w:rsidR="00CF4F89" w:rsidRPr="005B54EE" w:rsidRDefault="00CF4F89" w:rsidP="00CF4F89">
      <w:pPr>
        <w:pStyle w:val="Caption"/>
      </w:pPr>
      <w:bookmarkStart w:id="11" w:name="_Toc124153760"/>
      <w:r w:rsidRPr="005B54EE">
        <w:t xml:space="preserve">Figure </w:t>
      </w:r>
      <w:r w:rsidR="00C73940">
        <w:fldChar w:fldCharType="begin"/>
      </w:r>
      <w:r w:rsidR="00C73940">
        <w:instrText xml:space="preserve"> SEQ Figure \* ARABIC </w:instrText>
      </w:r>
      <w:r w:rsidR="00C73940">
        <w:fldChar w:fldCharType="separate"/>
      </w:r>
      <w:r w:rsidR="003402E2">
        <w:rPr>
          <w:noProof/>
        </w:rPr>
        <w:t>5</w:t>
      </w:r>
      <w:r w:rsidR="00C73940">
        <w:rPr>
          <w:noProof/>
        </w:rPr>
        <w:fldChar w:fldCharType="end"/>
      </w:r>
      <w:r w:rsidRPr="005B54EE">
        <w:t>: Trends in CO</w:t>
      </w:r>
      <w:r w:rsidRPr="005B54EE">
        <w:rPr>
          <w:vertAlign w:val="subscript"/>
        </w:rPr>
        <w:t>2</w:t>
      </w:r>
      <w:r w:rsidRPr="005B54EE">
        <w:t xml:space="preserve"> emissions for the main contributing sectors (in kt) from 1990 to 2020</w:t>
      </w:r>
      <w:bookmarkEnd w:id="11"/>
    </w:p>
    <w:p w14:paraId="3A436C59" w14:textId="6EEF3A24" w:rsidR="000713CC" w:rsidRPr="005B54EE" w:rsidRDefault="000713CC" w:rsidP="00CF4F89">
      <w:pPr>
        <w:pStyle w:val="Caption"/>
      </w:pPr>
      <w:r w:rsidRPr="005B54EE">
        <w:t>Source: Citepa/MTE inventory, UNFCCC submitted April 2022, for the Kyoto area.</w:t>
      </w:r>
    </w:p>
    <w:p w14:paraId="255A0567" w14:textId="13FB74FC" w:rsidR="00B3263B" w:rsidRPr="005B54EE" w:rsidRDefault="00B3263B" w:rsidP="009F364F"/>
    <w:p w14:paraId="30C3AD4E" w14:textId="71E168D6" w:rsidR="00ED42B1" w:rsidRPr="005B54EE" w:rsidRDefault="00ED42B1" w:rsidP="009F364F">
      <w:r w:rsidRPr="005B54EE">
        <w:t>CO</w:t>
      </w:r>
      <w:r w:rsidRPr="005B54EE">
        <w:rPr>
          <w:vertAlign w:val="subscript"/>
        </w:rPr>
        <w:t>2</w:t>
      </w:r>
      <w:r w:rsidRPr="005B54EE">
        <w:t xml:space="preserve"> emissions decreased by 27.4% compared to 1990, excluding the land sector.</w:t>
      </w:r>
    </w:p>
    <w:p w14:paraId="1D416FF8" w14:textId="0C412EB9" w:rsidR="00C20719" w:rsidRPr="005B54EE" w:rsidRDefault="00ED42B1" w:rsidP="00B04A7C">
      <w:pPr>
        <w:pStyle w:val="Titre3Niveau3"/>
      </w:pPr>
      <w:bookmarkStart w:id="12" w:name="_Toc138344656"/>
      <w:r w:rsidRPr="005B54EE">
        <w:t>Methane (CH</w:t>
      </w:r>
      <w:r w:rsidRPr="005B54EE">
        <w:rPr>
          <w:vertAlign w:val="subscript"/>
        </w:rPr>
        <w:t>4</w:t>
      </w:r>
      <w:r w:rsidRPr="005B54EE">
        <w:t>) emissions</w:t>
      </w:r>
      <w:bookmarkEnd w:id="12"/>
    </w:p>
    <w:p w14:paraId="33497244" w14:textId="71DD352D" w:rsidR="00A703F4" w:rsidRPr="005B54EE" w:rsidRDefault="00F87158" w:rsidP="00C20719">
      <w:r w:rsidRPr="005B54EE">
        <w:t>In 2020, methane emissions were 54.6 MtCO</w:t>
      </w:r>
      <w:r w:rsidRPr="005B54EE">
        <w:rPr>
          <w:vertAlign w:val="subscript"/>
        </w:rPr>
        <w:t>2eq</w:t>
      </w:r>
      <w:r w:rsidRPr="005B54EE">
        <w:t>, i.e. 13.9% of the national total. Agriculture (37 MtCO</w:t>
      </w:r>
      <w:r w:rsidRPr="005B54EE">
        <w:rPr>
          <w:vertAlign w:val="subscript"/>
        </w:rPr>
        <w:t>2eq</w:t>
      </w:r>
      <w:r w:rsidRPr="005B54EE">
        <w:t>) was responsible for 68% of methane emissions: 99.7% of the CH</w:t>
      </w:r>
      <w:r w:rsidRPr="005B54EE">
        <w:rPr>
          <w:vertAlign w:val="subscript"/>
        </w:rPr>
        <w:t>4</w:t>
      </w:r>
      <w:r w:rsidRPr="005B54EE">
        <w:t xml:space="preserve"> came from enteric fermentation and animal waste management. Waste treatment (12.9 MtCO</w:t>
      </w:r>
      <w:r w:rsidRPr="005B54EE">
        <w:rPr>
          <w:vertAlign w:val="subscript"/>
        </w:rPr>
        <w:t>2eq</w:t>
      </w:r>
      <w:r w:rsidRPr="005B54EE">
        <w:t>) is the second largest contributor to methane emissions.</w:t>
      </w:r>
    </w:p>
    <w:p w14:paraId="20373386" w14:textId="77777777" w:rsidR="00114C84" w:rsidRPr="005B54EE" w:rsidRDefault="00114C84" w:rsidP="00C20719"/>
    <w:p w14:paraId="59165130" w14:textId="7D304AD9" w:rsidR="002A03F0" w:rsidRPr="005B54EE" w:rsidRDefault="002A03F0" w:rsidP="002A03F0">
      <w:pPr>
        <w:jc w:val="center"/>
      </w:pPr>
      <w:r w:rsidRPr="005B54EE">
        <w:rPr>
          <w:noProof/>
          <w:lang w:val="fr-FR"/>
        </w:rPr>
        <w:drawing>
          <wp:inline distT="0" distB="0" distL="0" distR="0" wp14:anchorId="40B47186" wp14:editId="20C0D643">
            <wp:extent cx="5193102" cy="3062377"/>
            <wp:effectExtent l="0" t="0" r="7620" b="5080"/>
            <wp:docPr id="31" name="Graphique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B16819" w14:textId="59879093" w:rsidR="005D35AC" w:rsidRPr="005B54EE" w:rsidRDefault="005D35AC" w:rsidP="005D35AC">
      <w:pPr>
        <w:pStyle w:val="Caption"/>
      </w:pPr>
      <w:bookmarkStart w:id="13" w:name="_Toc124153761"/>
      <w:r w:rsidRPr="005B54EE">
        <w:t xml:space="preserve">Figure </w:t>
      </w:r>
      <w:r w:rsidR="00C73940">
        <w:fldChar w:fldCharType="begin"/>
      </w:r>
      <w:r w:rsidR="00C73940">
        <w:instrText xml:space="preserve"> SEQ Figure \* ARABIC </w:instrText>
      </w:r>
      <w:r w:rsidR="00C73940">
        <w:fldChar w:fldCharType="separate"/>
      </w:r>
      <w:r w:rsidR="003402E2">
        <w:rPr>
          <w:noProof/>
        </w:rPr>
        <w:t>6</w:t>
      </w:r>
      <w:r w:rsidR="00C73940">
        <w:rPr>
          <w:noProof/>
        </w:rPr>
        <w:fldChar w:fldCharType="end"/>
      </w:r>
      <w:r w:rsidRPr="005B54EE">
        <w:t>: Trend of CH</w:t>
      </w:r>
      <w:r w:rsidRPr="005B54EE">
        <w:rPr>
          <w:vertAlign w:val="subscript"/>
        </w:rPr>
        <w:t>4</w:t>
      </w:r>
      <w:r w:rsidRPr="005B54EE">
        <w:t xml:space="preserve"> emissions for the main contributing sectors (in ktCO</w:t>
      </w:r>
      <w:r w:rsidRPr="005B54EE">
        <w:rPr>
          <w:vertAlign w:val="subscript"/>
        </w:rPr>
        <w:t>2eq</w:t>
      </w:r>
      <w:r w:rsidRPr="005B54EE">
        <w:t>) from 1990 to 2020</w:t>
      </w:r>
      <w:bookmarkEnd w:id="13"/>
    </w:p>
    <w:p w14:paraId="0622AAE6" w14:textId="6C491EC6" w:rsidR="002E7E70" w:rsidRPr="005B54EE" w:rsidRDefault="00A84719" w:rsidP="001B7CC7">
      <w:pPr>
        <w:pStyle w:val="Caption"/>
      </w:pPr>
      <w:r w:rsidRPr="005B54EE">
        <w:t>Source: Citepa/MTE inventory, UNFCCC submitted in April 2022, Kyoto area.</w:t>
      </w:r>
    </w:p>
    <w:p w14:paraId="58C7EB50" w14:textId="77777777" w:rsidR="002E7E70" w:rsidRPr="005B54EE" w:rsidRDefault="002E7E70" w:rsidP="009F364F"/>
    <w:p w14:paraId="5DE6F4B5" w14:textId="6726F644" w:rsidR="00A703F4" w:rsidRPr="005B54EE" w:rsidRDefault="00A703F4" w:rsidP="00B04A7C">
      <w:pPr>
        <w:pStyle w:val="Titre3Niveau3"/>
      </w:pPr>
      <w:bookmarkStart w:id="14" w:name="_Toc138344657"/>
      <w:r w:rsidRPr="005B54EE">
        <w:lastRenderedPageBreak/>
        <w:t>Breakdown of nitrous oxide (N</w:t>
      </w:r>
      <w:r w:rsidRPr="005B54EE">
        <w:rPr>
          <w:vertAlign w:val="subscript"/>
        </w:rPr>
        <w:t>2</w:t>
      </w:r>
      <w:r w:rsidRPr="005B54EE">
        <w:t>O) emissions by sector</w:t>
      </w:r>
      <w:bookmarkEnd w:id="14"/>
    </w:p>
    <w:p w14:paraId="411FCEC8" w14:textId="77777777" w:rsidR="00CC7947" w:rsidRPr="005B54EE" w:rsidRDefault="00CC7947" w:rsidP="00A703F4"/>
    <w:p w14:paraId="6CB0AE2C" w14:textId="1F99E6F0" w:rsidR="005E12DA" w:rsidRPr="005B54EE" w:rsidRDefault="00CC7947" w:rsidP="00A703F4">
      <w:r w:rsidRPr="005B54EE">
        <w:t>N</w:t>
      </w:r>
      <w:r w:rsidRPr="005B54EE">
        <w:rPr>
          <w:vertAlign w:val="subscript"/>
        </w:rPr>
        <w:t>2</w:t>
      </w:r>
      <w:r w:rsidRPr="005B54EE">
        <w:t>O emissions excluding LULUCF for the Kyoto area were 36.3 MtCO</w:t>
      </w:r>
      <w:r w:rsidRPr="005B54EE">
        <w:rPr>
          <w:vertAlign w:val="subscript"/>
        </w:rPr>
        <w:t>2eq</w:t>
      </w:r>
      <w:r w:rsidRPr="005B54EE">
        <w:t xml:space="preserve"> in 2020, i.e. 9.2% of France's emissions. 90% of N</w:t>
      </w:r>
      <w:r w:rsidRPr="005B54EE">
        <w:rPr>
          <w:vertAlign w:val="subscript"/>
        </w:rPr>
        <w:t>2</w:t>
      </w:r>
      <w:r w:rsidRPr="005B54EE">
        <w:t>O emissions come from the agricultural sector, and in particular from fertiliser spreading for soil improvement, and from animal manure. This proportion has been increasing since 2010, despite the fall in overall N</w:t>
      </w:r>
      <w:r w:rsidRPr="005B54EE">
        <w:rPr>
          <w:vertAlign w:val="subscript"/>
        </w:rPr>
        <w:t>2</w:t>
      </w:r>
      <w:r w:rsidRPr="005B54EE">
        <w:t>O emissions. The contribution to N</w:t>
      </w:r>
      <w:r w:rsidRPr="005B54EE">
        <w:rPr>
          <w:vertAlign w:val="subscript"/>
        </w:rPr>
        <w:t>2</w:t>
      </w:r>
      <w:r w:rsidRPr="005B54EE">
        <w:t>O emissions from industry is relatively stable, even if emissions from this sub-sector continue to decrease and have dropped by 95% since 1990.</w:t>
      </w:r>
    </w:p>
    <w:p w14:paraId="459779BA" w14:textId="483F6D5E" w:rsidR="00A84719" w:rsidRPr="005B54EE" w:rsidRDefault="00A84719" w:rsidP="00A84719">
      <w:pPr>
        <w:jc w:val="center"/>
      </w:pPr>
      <w:r w:rsidRPr="005B54EE">
        <w:rPr>
          <w:noProof/>
          <w:lang w:val="fr-FR"/>
        </w:rPr>
        <w:drawing>
          <wp:inline distT="0" distB="0" distL="0" distR="0" wp14:anchorId="4453779B" wp14:editId="73EBD51E">
            <wp:extent cx="5305425" cy="3276600"/>
            <wp:effectExtent l="0" t="0" r="9525" b="0"/>
            <wp:docPr id="32" name="Graphique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A898C6" w14:textId="0AA6DCA1" w:rsidR="005E12DA" w:rsidRPr="005B54EE" w:rsidRDefault="005E12DA" w:rsidP="009F364F"/>
    <w:p w14:paraId="2FDDBF36" w14:textId="0F407621" w:rsidR="005D35AC" w:rsidRPr="005B54EE" w:rsidRDefault="005D35AC" w:rsidP="005D35AC">
      <w:pPr>
        <w:pStyle w:val="Caption"/>
      </w:pPr>
      <w:bookmarkStart w:id="15" w:name="_Toc124153762"/>
      <w:r w:rsidRPr="005B54EE">
        <w:t xml:space="preserve">Figure </w:t>
      </w:r>
      <w:r w:rsidR="00C73940">
        <w:fldChar w:fldCharType="begin"/>
      </w:r>
      <w:r w:rsidR="00C73940">
        <w:instrText xml:space="preserve"> SEQ Figure \* ARABIC </w:instrText>
      </w:r>
      <w:r w:rsidR="00C73940">
        <w:fldChar w:fldCharType="separate"/>
      </w:r>
      <w:r w:rsidR="003402E2">
        <w:rPr>
          <w:noProof/>
        </w:rPr>
        <w:t>7</w:t>
      </w:r>
      <w:r w:rsidR="00C73940">
        <w:rPr>
          <w:noProof/>
        </w:rPr>
        <w:fldChar w:fldCharType="end"/>
      </w:r>
      <w:r w:rsidRPr="005B54EE">
        <w:t>: Trends in N</w:t>
      </w:r>
      <w:r w:rsidRPr="005B54EE">
        <w:rPr>
          <w:vertAlign w:val="subscript"/>
        </w:rPr>
        <w:t>2</w:t>
      </w:r>
      <w:r w:rsidRPr="005B54EE">
        <w:t>O emissions for the main contributing sectors (in ktCO</w:t>
      </w:r>
      <w:r w:rsidRPr="005B54EE">
        <w:rPr>
          <w:vertAlign w:val="subscript"/>
        </w:rPr>
        <w:t>2eq</w:t>
      </w:r>
      <w:r w:rsidRPr="005B54EE">
        <w:t>) from 1990 to 2020</w:t>
      </w:r>
      <w:bookmarkEnd w:id="15"/>
    </w:p>
    <w:p w14:paraId="5E9B1AEB" w14:textId="6DC168C8" w:rsidR="005F5D6B" w:rsidRPr="005B54EE" w:rsidRDefault="00E62FF5" w:rsidP="005D35AC">
      <w:pPr>
        <w:pStyle w:val="Caption"/>
      </w:pPr>
      <w:r w:rsidRPr="005B54EE">
        <w:t>Source: Citepa/MTE inventory, UNFCCC submitted in April 2022, Kyoto area.</w:t>
      </w:r>
    </w:p>
    <w:p w14:paraId="1A339DEF" w14:textId="77777777" w:rsidR="005F5D6B" w:rsidRPr="005B54EE" w:rsidRDefault="005F5D6B" w:rsidP="009F364F"/>
    <w:p w14:paraId="70FEDF5F" w14:textId="14E8A946" w:rsidR="005E12DA" w:rsidRPr="005B54EE" w:rsidRDefault="005E12DA" w:rsidP="00B04A7C">
      <w:pPr>
        <w:pStyle w:val="Titre3Niveau3"/>
      </w:pPr>
      <w:bookmarkStart w:id="16" w:name="_Toc138344658"/>
      <w:r w:rsidRPr="005B54EE">
        <w:t>Breakdown of emissions by sector: fluorinated gases (PFCs, HFCs, SF</w:t>
      </w:r>
      <w:r w:rsidRPr="005B54EE">
        <w:rPr>
          <w:vertAlign w:val="subscript"/>
        </w:rPr>
        <w:t>6</w:t>
      </w:r>
      <w:r w:rsidRPr="005B54EE">
        <w:t xml:space="preserve"> and NF</w:t>
      </w:r>
      <w:r w:rsidRPr="005B54EE">
        <w:rPr>
          <w:vertAlign w:val="subscript"/>
        </w:rPr>
        <w:t>3</w:t>
      </w:r>
      <w:r w:rsidRPr="005B54EE">
        <w:t>)</w:t>
      </w:r>
      <w:bookmarkEnd w:id="16"/>
    </w:p>
    <w:p w14:paraId="0B74EB91" w14:textId="4B1CBE26" w:rsidR="005E12DA" w:rsidRPr="005B54EE" w:rsidRDefault="005E12DA" w:rsidP="009F364F"/>
    <w:p w14:paraId="28B78DE6" w14:textId="11ACFA48" w:rsidR="005E12DA" w:rsidRPr="005B54EE" w:rsidRDefault="00D2621B" w:rsidP="009F364F">
      <w:r w:rsidRPr="005B54EE">
        <w:t>In 2020, emissions of fluorinated gases (HFCs, PFCs, SF</w:t>
      </w:r>
      <w:r w:rsidRPr="005B54EE">
        <w:rPr>
          <w:vertAlign w:val="subscript"/>
        </w:rPr>
        <w:t>6</w:t>
      </w:r>
      <w:r w:rsidRPr="005B54EE">
        <w:t xml:space="preserve"> and NF</w:t>
      </w:r>
      <w:r w:rsidRPr="005B54EE">
        <w:rPr>
          <w:vertAlign w:val="subscript"/>
        </w:rPr>
        <w:t>3</w:t>
      </w:r>
      <w:r w:rsidRPr="005B54EE">
        <w:t>) for the Kyoto area totalled 12.6 MtCO</w:t>
      </w:r>
      <w:r w:rsidRPr="005B54EE">
        <w:rPr>
          <w:vertAlign w:val="subscript"/>
        </w:rPr>
        <w:t>2eq</w:t>
      </w:r>
      <w:r w:rsidRPr="005B54EE">
        <w:t>, i.e. 3.2% of national emissions. After a significant increase between 1990 and 2012 (+64%), emissions have decreased again and have almost returned to their 1990 level (+7.3%).</w:t>
      </w:r>
    </w:p>
    <w:p w14:paraId="68BDB3F6" w14:textId="2953F7B0" w:rsidR="00D2621B" w:rsidRPr="005B54EE" w:rsidRDefault="00D2621B" w:rsidP="009F364F">
      <w:r w:rsidRPr="005B54EE">
        <w:t>These emissions mainly originate in the following sectors:</w:t>
      </w:r>
    </w:p>
    <w:p w14:paraId="4C3F4A7B" w14:textId="210E4F3B" w:rsidR="00D2621B" w:rsidRPr="005B54EE" w:rsidRDefault="00445AB9" w:rsidP="004D2261">
      <w:pPr>
        <w:pStyle w:val="ListParagraph"/>
        <w:numPr>
          <w:ilvl w:val="0"/>
          <w:numId w:val="6"/>
        </w:numPr>
      </w:pPr>
      <w:r w:rsidRPr="005B54EE">
        <w:t>Residential-tertiary (air conditioning and commercial and domestic cooling systems): 51.2% of emissions (compared to 1.21% in 1990 and 54.4% in 2015).</w:t>
      </w:r>
    </w:p>
    <w:p w14:paraId="7E8E7E23" w14:textId="62D6704D" w:rsidR="00C616D1" w:rsidRPr="005B54EE" w:rsidRDefault="00C616D1" w:rsidP="004D2261">
      <w:pPr>
        <w:pStyle w:val="ListParagraph"/>
        <w:numPr>
          <w:ilvl w:val="0"/>
          <w:numId w:val="6"/>
        </w:numPr>
      </w:pPr>
      <w:r w:rsidRPr="005B54EE">
        <w:t>Industry: 25.8% of emissions (compared to 94.5% in 1990 and 23.75% in 2015). Emissions in the manufacturing industry are principally associated with the production of magnesium and the manufacture of high voltage circuit breakers.</w:t>
      </w:r>
    </w:p>
    <w:p w14:paraId="500FE578" w14:textId="4B02BD96" w:rsidR="00C616D1" w:rsidRPr="005B54EE" w:rsidRDefault="00C616D1" w:rsidP="004D2261">
      <w:pPr>
        <w:pStyle w:val="ListParagraph"/>
        <w:numPr>
          <w:ilvl w:val="0"/>
          <w:numId w:val="6"/>
        </w:numPr>
      </w:pPr>
      <w:r w:rsidRPr="005B54EE">
        <w:t>Transport (air conditioning): 20.4% of emissions (vs 19.7% in 2015).</w:t>
      </w:r>
    </w:p>
    <w:p w14:paraId="432FFBC2" w14:textId="1FA7448B" w:rsidR="00E5301A" w:rsidRPr="005B54EE" w:rsidRDefault="00E5301A" w:rsidP="00E5301A"/>
    <w:p w14:paraId="6EFD4449" w14:textId="0B7D9A9D" w:rsidR="00E5301A" w:rsidRPr="005B54EE" w:rsidRDefault="00E5301A" w:rsidP="00E5301A">
      <w:pPr>
        <w:jc w:val="center"/>
      </w:pPr>
      <w:r w:rsidRPr="005B54EE">
        <w:rPr>
          <w:noProof/>
          <w:lang w:val="fr-FR"/>
        </w:rPr>
        <w:lastRenderedPageBreak/>
        <w:drawing>
          <wp:inline distT="0" distB="0" distL="0" distR="0" wp14:anchorId="6CA1356D" wp14:editId="1939BF31">
            <wp:extent cx="5438775" cy="3171825"/>
            <wp:effectExtent l="0" t="0" r="9525" b="9525"/>
            <wp:docPr id="34" name="Graphique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AD42CA9" w14:textId="29240353" w:rsidR="005D35AC" w:rsidRPr="005B54EE" w:rsidRDefault="005D35AC" w:rsidP="005D35AC">
      <w:pPr>
        <w:pStyle w:val="Caption"/>
      </w:pPr>
      <w:bookmarkStart w:id="17" w:name="_Toc124153763"/>
      <w:r w:rsidRPr="005B54EE">
        <w:t xml:space="preserve">Figure </w:t>
      </w:r>
      <w:r w:rsidR="00C73940">
        <w:fldChar w:fldCharType="begin"/>
      </w:r>
      <w:r w:rsidR="00C73940">
        <w:instrText xml:space="preserve"> SEQ Figure \* ARABIC </w:instrText>
      </w:r>
      <w:r w:rsidR="00C73940">
        <w:fldChar w:fldCharType="separate"/>
      </w:r>
      <w:r w:rsidR="003402E2">
        <w:rPr>
          <w:noProof/>
        </w:rPr>
        <w:t>8</w:t>
      </w:r>
      <w:r w:rsidR="00C73940">
        <w:rPr>
          <w:noProof/>
        </w:rPr>
        <w:fldChar w:fldCharType="end"/>
      </w:r>
      <w:r w:rsidRPr="005B54EE">
        <w:t>: Trend in fluorinated gas emissions (in ktCO</w:t>
      </w:r>
      <w:r w:rsidRPr="005B54EE">
        <w:rPr>
          <w:vertAlign w:val="subscript"/>
        </w:rPr>
        <w:t>2eq</w:t>
      </w:r>
      <w:r w:rsidRPr="005B54EE">
        <w:t>) from 1990 to 2020</w:t>
      </w:r>
      <w:bookmarkEnd w:id="17"/>
    </w:p>
    <w:p w14:paraId="5E76A04B" w14:textId="02B0A0EA" w:rsidR="005A309C" w:rsidRPr="005B54EE" w:rsidRDefault="00E5301A" w:rsidP="005D35AC">
      <w:pPr>
        <w:pStyle w:val="Caption"/>
      </w:pPr>
      <w:r w:rsidRPr="005B54EE">
        <w:t>Source: Citepa/MTE inventory, UNFCCC submitted in April 2022, Kyoto area.</w:t>
      </w:r>
    </w:p>
    <w:p w14:paraId="5AAE8CC5" w14:textId="011C1368" w:rsidR="005B1232" w:rsidRPr="005B54EE" w:rsidRDefault="00E5301A" w:rsidP="00C246BC">
      <w:pPr>
        <w:pStyle w:val="Titre2Niveau2"/>
      </w:pPr>
      <w:bookmarkStart w:id="18" w:name="_Toc138344659"/>
      <w:r w:rsidRPr="005B54EE">
        <w:t>The national inventory system</w:t>
      </w:r>
      <w:bookmarkEnd w:id="18"/>
    </w:p>
    <w:p w14:paraId="7B26FECF" w14:textId="56F5773E" w:rsidR="00E5301A" w:rsidRPr="005B54EE" w:rsidRDefault="00E5301A" w:rsidP="00E5301A">
      <w:r w:rsidRPr="005B54EE">
        <w:t>France has not changed its national inventory system since the last biennial report. The national inventory system is in accordance with Article 5.1 of the Kyoto Protocol (for more details, see the description in the submitted national inventory reports). It is based on the regulatory provisions of the SNIEBA order issued on 24 August 2011.</w:t>
      </w:r>
      <w:r w:rsidR="00920B68">
        <w:t xml:space="preserve"> The national inventory arrangements is the same as the national inventory system.</w:t>
      </w:r>
    </w:p>
    <w:p w14:paraId="3FBACC0F" w14:textId="77777777" w:rsidR="00E5301A" w:rsidRPr="005B54EE" w:rsidRDefault="00E5301A" w:rsidP="00E5301A"/>
    <w:p w14:paraId="1C3A7C44" w14:textId="4F467D63" w:rsidR="00E5301A" w:rsidRPr="005B54EE" w:rsidRDefault="00E5301A" w:rsidP="00E5301A">
      <w:r w:rsidRPr="005B54EE">
        <w:t>Regarding the French national registry, there have been no changes since the last biennial report. The Caisse des Dépôts was appointed in 2004 by Decree No. 2004-1412 to administer the national register, and to develop information systems to operate the register and ensure its security. Nevertheless, traceability has been greatly improved with a view to greater transparency.</w:t>
      </w:r>
    </w:p>
    <w:p w14:paraId="277E5409" w14:textId="77777777" w:rsidR="00E5301A" w:rsidRPr="005B54EE" w:rsidRDefault="00E5301A" w:rsidP="00E5301A"/>
    <w:p w14:paraId="3C755348" w14:textId="77777777" w:rsidR="005D35AC" w:rsidRPr="005B54EE" w:rsidRDefault="00E5301A" w:rsidP="005D35AC">
      <w:r w:rsidRPr="005B54EE">
        <w:t>Since migration to the European Union registry in June 2012, it has been the responsibility of the European Commission to supply, maintain and secure the national registry information system in accordance with the commitments of European Member States as Parties to the Kyoto Protocol and to the Convention, and as participants in the European Union Emissions Trading Scheme for Greenhouse Gas Emission Quotas (EU ETS Registry).</w:t>
      </w:r>
    </w:p>
    <w:p w14:paraId="75722C0F" w14:textId="77777777" w:rsidR="005D35AC" w:rsidRPr="005B54EE" w:rsidRDefault="005D35AC">
      <w:pPr>
        <w:spacing w:line="240" w:lineRule="atLeast"/>
        <w:jc w:val="left"/>
      </w:pPr>
      <w:r w:rsidRPr="005B54EE">
        <w:br w:type="page"/>
      </w:r>
    </w:p>
    <w:p w14:paraId="40AB008A" w14:textId="77777777" w:rsidR="005D35AC" w:rsidRPr="005B54EE" w:rsidRDefault="005D35AC" w:rsidP="007C589E">
      <w:pPr>
        <w:pStyle w:val="Titre1Niveau1"/>
      </w:pPr>
      <w:bookmarkStart w:id="19" w:name="ChapII"/>
      <w:bookmarkStart w:id="20" w:name="_Toc120883267"/>
      <w:bookmarkStart w:id="21" w:name="_Toc138344660"/>
      <w:bookmarkEnd w:id="19"/>
      <w:r w:rsidRPr="005B54EE">
        <w:lastRenderedPageBreak/>
        <w:t>Chapter II - The quantified emission reduction targets</w:t>
      </w:r>
      <w:bookmarkEnd w:id="20"/>
      <w:bookmarkEnd w:id="21"/>
    </w:p>
    <w:p w14:paraId="7B4096CE" w14:textId="77777777" w:rsidR="005D35AC" w:rsidRPr="005B54EE" w:rsidRDefault="005D35AC" w:rsidP="00D8302C">
      <w:pPr>
        <w:pStyle w:val="Titre2Niveau2"/>
        <w:numPr>
          <w:ilvl w:val="0"/>
          <w:numId w:val="56"/>
        </w:numPr>
      </w:pPr>
      <w:bookmarkStart w:id="22" w:name="_Toc120883268"/>
      <w:bookmarkStart w:id="23" w:name="_Toc138344661"/>
      <w:r w:rsidRPr="005B54EE">
        <w:t>Overview of the target, gases and sectors included</w:t>
      </w:r>
      <w:bookmarkEnd w:id="22"/>
      <w:bookmarkEnd w:id="23"/>
    </w:p>
    <w:p w14:paraId="77E65385" w14:textId="77777777" w:rsidR="005D35AC" w:rsidRPr="005B54EE" w:rsidRDefault="005D35AC" w:rsidP="00B04A7C">
      <w:pPr>
        <w:pStyle w:val="Titre3Niveau3"/>
      </w:pPr>
      <w:bookmarkStart w:id="24" w:name="_Toc120883269"/>
      <w:bookmarkStart w:id="25" w:name="_Toc138344662"/>
      <w:r w:rsidRPr="005B54EE">
        <w:t>At European level</w:t>
      </w:r>
      <w:bookmarkEnd w:id="24"/>
      <w:bookmarkEnd w:id="25"/>
    </w:p>
    <w:p w14:paraId="5A1F0ABA" w14:textId="77777777" w:rsidR="005D35AC" w:rsidRPr="005B54EE" w:rsidRDefault="005D35AC" w:rsidP="004D2261">
      <w:pPr>
        <w:pStyle w:val="Titre4niveau4"/>
        <w:numPr>
          <w:ilvl w:val="2"/>
          <w:numId w:val="5"/>
        </w:numPr>
      </w:pPr>
      <w:r w:rsidRPr="005B54EE">
        <w:t>Joint commitment</w:t>
      </w:r>
    </w:p>
    <w:p w14:paraId="73EB73AF" w14:textId="577B82F4" w:rsidR="005D35AC" w:rsidRPr="005B54EE" w:rsidRDefault="005D35AC" w:rsidP="005D35AC">
      <w:r w:rsidRPr="005B54EE">
        <w:t>Under the UNFCCC, the EU and its Member States have committed to a common target of a quantified economy-wide reduction of greenhouse gas emissions of 20% below 1990 levels by 2020 (the ‘Cancun commitment’). This is a joint commitment, with no separate targets for Member States under the Convention. The UK remains part of the EU's common 2020 target with all 27 EU Member States.</w:t>
      </w:r>
    </w:p>
    <w:p w14:paraId="2AC1F2EB" w14:textId="77777777" w:rsidR="005D35AC" w:rsidRPr="005B54EE" w:rsidRDefault="005D35AC" w:rsidP="004D2261">
      <w:pPr>
        <w:pStyle w:val="Titre4niveau4"/>
        <w:numPr>
          <w:ilvl w:val="2"/>
          <w:numId w:val="5"/>
        </w:numPr>
      </w:pPr>
      <w:r w:rsidRPr="005B54EE">
        <w:t>Organisation for meeting European targets</w:t>
      </w:r>
    </w:p>
    <w:p w14:paraId="6D90DC0A" w14:textId="77777777" w:rsidR="005D35AC" w:rsidRPr="005B54EE" w:rsidRDefault="005D35AC" w:rsidP="005D35AC">
      <w:r w:rsidRPr="005B54EE">
        <w:t>The EU made a joint commitment to its target under the UNFCCC and implemented it internally through EU legislation in the EU 2020 climate and energy package. In this package, the EU introduced a clear approach to achieving the 20% reduction in total GHG emissions with respect to 1990 levels, dividing the effort between sectors covered by the EU Emissions Trading Scheme (ETS) and sectors covered by the Effort Sharing Decision (ESD). Binding national targets have been set for Member States under the Effort Sharing Decision. Achieving the EU's internal compliance under the 2020 climate and energy package, including national targets under the effort-sharing decision, is not subject to the UNFCCC's assessment of the EU's joint commitment under the Convention.</w:t>
      </w:r>
    </w:p>
    <w:p w14:paraId="576995A8" w14:textId="77777777" w:rsidR="00117FAB" w:rsidRPr="005B54EE" w:rsidRDefault="00117FAB" w:rsidP="004D2261">
      <w:pPr>
        <w:pStyle w:val="titreencadre"/>
        <w:numPr>
          <w:ilvl w:val="3"/>
          <w:numId w:val="5"/>
        </w:numPr>
      </w:pPr>
    </w:p>
    <w:p w14:paraId="69564E16" w14:textId="6355389C" w:rsidR="005D35AC" w:rsidRPr="005B54EE" w:rsidRDefault="005D35AC" w:rsidP="004D2261">
      <w:pPr>
        <w:pStyle w:val="titreencadre"/>
        <w:numPr>
          <w:ilvl w:val="3"/>
          <w:numId w:val="5"/>
        </w:numPr>
      </w:pPr>
      <w:r w:rsidRPr="005B54EE">
        <w:t>Horizon 2020: The Energy-Climate Package</w:t>
      </w:r>
    </w:p>
    <w:p w14:paraId="2EFE95E8" w14:textId="489C466A" w:rsidR="005D35AC" w:rsidRPr="005B54EE" w:rsidRDefault="00B47236" w:rsidP="005D35AC">
      <w:r w:rsidRPr="005B54EE">
        <w:t>In December 2008, the European Union adopted the legislative package known as the ‘energy-climate package’. This set of documents set out binding targets for 2020:</w:t>
      </w:r>
    </w:p>
    <w:p w14:paraId="77C9BF0B" w14:textId="77777777" w:rsidR="005D35AC" w:rsidRPr="005B54EE" w:rsidRDefault="005D35AC" w:rsidP="004D2261">
      <w:pPr>
        <w:pStyle w:val="ListParagraph"/>
        <w:numPr>
          <w:ilvl w:val="0"/>
          <w:numId w:val="8"/>
        </w:numPr>
      </w:pPr>
      <w:r w:rsidRPr="005B54EE">
        <w:t>A 20% reduction in greenhouse gas emissions from EU countries with respect to 1990 levels;</w:t>
      </w:r>
    </w:p>
    <w:p w14:paraId="11B2FA11" w14:textId="77777777" w:rsidR="005D35AC" w:rsidRPr="005B54EE" w:rsidRDefault="005D35AC" w:rsidP="004D2261">
      <w:pPr>
        <w:pStyle w:val="ListParagraph"/>
        <w:numPr>
          <w:ilvl w:val="0"/>
          <w:numId w:val="8"/>
        </w:numPr>
      </w:pPr>
      <w:r w:rsidRPr="005B54EE">
        <w:t>Achieve a proportion of 20% renewable energy in the European energy mix;</w:t>
      </w:r>
    </w:p>
    <w:p w14:paraId="1A301567" w14:textId="77777777" w:rsidR="005D35AC" w:rsidRPr="005B54EE" w:rsidRDefault="005D35AC" w:rsidP="004D2261">
      <w:pPr>
        <w:pStyle w:val="ListParagraph"/>
        <w:numPr>
          <w:ilvl w:val="0"/>
          <w:numId w:val="8"/>
        </w:numPr>
      </w:pPr>
      <w:r w:rsidRPr="005B54EE">
        <w:t>Improve energy efficiency by 20%.</w:t>
      </w:r>
    </w:p>
    <w:p w14:paraId="41B1BEE0" w14:textId="425DE393" w:rsidR="005D35AC" w:rsidRPr="005B54EE" w:rsidRDefault="005D35AC" w:rsidP="005D35AC">
      <w:r w:rsidRPr="005B54EE">
        <w:t>In order to achieve these targets, several directives have been ratified to improve energy efficiency and reduce greenhouse gas (GHG) emissions in different sectors (CO</w:t>
      </w:r>
      <w:r w:rsidRPr="005B54EE">
        <w:rPr>
          <w:vertAlign w:val="subscript"/>
        </w:rPr>
        <w:t>2</w:t>
      </w:r>
      <w:r w:rsidRPr="005B54EE">
        <w:t xml:space="preserve"> Emissions Trading Directive; Fuel Quality Directive; Regulation on CO</w:t>
      </w:r>
      <w:r w:rsidRPr="005B54EE">
        <w:rPr>
          <w:vertAlign w:val="subscript"/>
        </w:rPr>
        <w:t>2</w:t>
      </w:r>
      <w:r w:rsidRPr="005B54EE">
        <w:t xml:space="preserve"> emissions from new cars; Renewable Energy Directive; Effort Sharing Directive; Carbon Capture and Storage Directive, etc.).</w:t>
      </w:r>
    </w:p>
    <w:p w14:paraId="5AF46287" w14:textId="77777777" w:rsidR="005D35AC" w:rsidRPr="005B54EE" w:rsidRDefault="005D35AC" w:rsidP="005D35AC"/>
    <w:p w14:paraId="6C74B5FF" w14:textId="77777777" w:rsidR="005D35AC" w:rsidRPr="005B54EE" w:rsidRDefault="005D35AC" w:rsidP="005D35AC">
      <w:r w:rsidRPr="005B54EE">
        <w:t>The 2020 GHG emissions reduction target is also the EU's commitment under the UNFCCC: it is a joint target for all 28 (at the time of adoption of the legislative measures) EU Member States. Therefore, there is no single target for individual Member States under the UNFCCC.</w:t>
      </w:r>
    </w:p>
    <w:p w14:paraId="5F2DAC23" w14:textId="77777777" w:rsidR="00117FAB" w:rsidRPr="005B54EE" w:rsidRDefault="00117FAB" w:rsidP="005D35AC"/>
    <w:p w14:paraId="5476F97D" w14:textId="089F37D5" w:rsidR="005D35AC" w:rsidRPr="005B54EE" w:rsidRDefault="005D35AC" w:rsidP="005D35AC">
      <w:r w:rsidRPr="005B54EE">
        <w:t>The 20% GHG emissions reduction target is based on two sub-targets:</w:t>
      </w:r>
    </w:p>
    <w:p w14:paraId="734E0201" w14:textId="77777777" w:rsidR="005D35AC" w:rsidRPr="005B54EE" w:rsidRDefault="005D35AC" w:rsidP="004D2261">
      <w:pPr>
        <w:pStyle w:val="ListParagraph"/>
        <w:numPr>
          <w:ilvl w:val="0"/>
          <w:numId w:val="9"/>
        </w:numPr>
      </w:pPr>
      <w:r w:rsidRPr="005B54EE">
        <w:t>One for sectors that fall under the EU Emissions Trading Scheme (EU-ETS). The EU-ETS Directive covers the EU Member States and three participating non-Member States (Norway, Iceland and Liechtenstein). The directive sets a single emissions cap, which is reduced by 1.74% per year between 2013 and 2020.</w:t>
      </w:r>
    </w:p>
    <w:p w14:paraId="12AFD927" w14:textId="77777777" w:rsidR="005D35AC" w:rsidRPr="005B54EE" w:rsidRDefault="005D35AC" w:rsidP="004D2261">
      <w:pPr>
        <w:pStyle w:val="ListParagraph"/>
        <w:numPr>
          <w:ilvl w:val="0"/>
          <w:numId w:val="9"/>
        </w:numPr>
      </w:pPr>
      <w:r w:rsidRPr="005B54EE">
        <w:t>One for emissions not included in the EU-ETS, outside the maritime transport and land sectors, which are covered by the Effort Sharing Decision (ESD). These account for around 60% of EU emissions. Unlike the EU-ETS target, which must be achieved by the EU as a whole, the ESD target is differentiated between Member States.</w:t>
      </w:r>
    </w:p>
    <w:p w14:paraId="67BAF625" w14:textId="77777777" w:rsidR="00117FAB" w:rsidRPr="005B54EE" w:rsidRDefault="00117FAB" w:rsidP="004D2261">
      <w:pPr>
        <w:pStyle w:val="titreencadre"/>
        <w:numPr>
          <w:ilvl w:val="3"/>
          <w:numId w:val="5"/>
        </w:numPr>
      </w:pPr>
    </w:p>
    <w:p w14:paraId="7F2A5926" w14:textId="763198AC" w:rsidR="005D35AC" w:rsidRPr="005B54EE" w:rsidRDefault="005D35AC" w:rsidP="004D2261">
      <w:pPr>
        <w:pStyle w:val="titreencadre"/>
        <w:numPr>
          <w:ilvl w:val="3"/>
          <w:numId w:val="5"/>
        </w:numPr>
      </w:pPr>
      <w:r w:rsidRPr="005B54EE">
        <w:t>Horizon 2030: The European Green Pact</w:t>
      </w:r>
    </w:p>
    <w:p w14:paraId="16AAF88C" w14:textId="0A81C66E" w:rsidR="005D35AC" w:rsidRPr="005B54EE" w:rsidRDefault="005D35AC" w:rsidP="005D35AC">
      <w:r w:rsidRPr="005B54EE">
        <w:t xml:space="preserve">In October 2014, the European Council adopted the key framework elements of the 2030 energy-climate framework in its conclusions. This framework was reviewed in 2018 and sets the following targets: </w:t>
      </w:r>
    </w:p>
    <w:p w14:paraId="380DE282" w14:textId="77777777" w:rsidR="005D35AC" w:rsidRPr="005B54EE" w:rsidRDefault="005D35AC" w:rsidP="004D2261">
      <w:pPr>
        <w:pStyle w:val="ListParagraph"/>
        <w:numPr>
          <w:ilvl w:val="0"/>
          <w:numId w:val="10"/>
        </w:numPr>
      </w:pPr>
      <w:r w:rsidRPr="005B54EE">
        <w:t>A binding domestic GHG emissions reduction target of at least 40% by 2030 compared to 1990. This is the target that has been reported to the UNFCCC as the EU's Nationally Determined Contribution It is based on a 43% reduction in EU-ETS emissions with respect to 2005, and a 30% reduction in non-ETS emissions with respect to 2005.</w:t>
      </w:r>
    </w:p>
    <w:p w14:paraId="07B7724B" w14:textId="77777777" w:rsidR="005D35AC" w:rsidRPr="005B54EE" w:rsidRDefault="005D35AC" w:rsidP="004D2261">
      <w:pPr>
        <w:pStyle w:val="ListParagraph"/>
        <w:numPr>
          <w:ilvl w:val="0"/>
          <w:numId w:val="10"/>
        </w:numPr>
      </w:pPr>
      <w:r w:rsidRPr="005B54EE">
        <w:t>A binding target of at least 32% renewable energy sources in the EU's energy mix by 2030.</w:t>
      </w:r>
    </w:p>
    <w:p w14:paraId="23A84B4A" w14:textId="77777777" w:rsidR="005D35AC" w:rsidRPr="005B54EE" w:rsidRDefault="005D35AC" w:rsidP="004D2261">
      <w:pPr>
        <w:pStyle w:val="ListParagraph"/>
        <w:numPr>
          <w:ilvl w:val="0"/>
          <w:numId w:val="10"/>
        </w:numPr>
      </w:pPr>
      <w:r w:rsidRPr="005B54EE">
        <w:t>An indicative energy efficiency improvement target of at least 32.5% by 2030.</w:t>
      </w:r>
    </w:p>
    <w:p w14:paraId="0A5D1786" w14:textId="77777777" w:rsidR="005D35AC" w:rsidRPr="005B54EE" w:rsidRDefault="005D35AC" w:rsidP="004D2261">
      <w:pPr>
        <w:pStyle w:val="ListParagraph"/>
        <w:numPr>
          <w:ilvl w:val="0"/>
          <w:numId w:val="10"/>
        </w:numPr>
      </w:pPr>
      <w:r w:rsidRPr="005B54EE">
        <w:t>A 'no flow' rule for the land sector carbon sink by 2030, relative to a baseline period.</w:t>
      </w:r>
    </w:p>
    <w:p w14:paraId="305C27A7" w14:textId="77777777" w:rsidR="005D35AC" w:rsidRPr="005B54EE" w:rsidRDefault="005D35AC" w:rsidP="005D35AC"/>
    <w:p w14:paraId="5A69FF71" w14:textId="77777777" w:rsidR="005D35AC" w:rsidRPr="005B54EE" w:rsidRDefault="005D35AC" w:rsidP="005D35AC">
      <w:r w:rsidRPr="005B54EE">
        <w:rPr>
          <w:b/>
        </w:rPr>
        <w:t>In December 2019, the Commission unveiled a new roadmap, the 'European Green Deal', which is aimed at achieving carbon neutrality by 2050 and plans to increase the EU's ambition towards Horizon 2030. This neutrality target has been made compulsory by the European climate law, passed on 24 June 2021. This law sets a new medium-term target of reducing emissions by at least 55% by 2030 (replacing the previous target of 40%).</w:t>
      </w:r>
      <w:r w:rsidRPr="005B54EE">
        <w:t xml:space="preserve"> This new framework is underpinned by several pillars:</w:t>
      </w:r>
    </w:p>
    <w:p w14:paraId="2F7980B9" w14:textId="77777777" w:rsidR="005D35AC" w:rsidRPr="005B54EE" w:rsidRDefault="005D35AC" w:rsidP="004D2261">
      <w:pPr>
        <w:pStyle w:val="ListParagraph"/>
        <w:numPr>
          <w:ilvl w:val="0"/>
          <w:numId w:val="11"/>
        </w:numPr>
        <w:rPr>
          <w:b/>
        </w:rPr>
      </w:pPr>
      <w:r w:rsidRPr="005B54EE">
        <w:rPr>
          <w:b/>
        </w:rPr>
        <w:t>A more ambitious EU-ETS market</w:t>
      </w:r>
    </w:p>
    <w:p w14:paraId="634BF78C" w14:textId="77777777" w:rsidR="005D35AC" w:rsidRPr="005B54EE" w:rsidRDefault="005D35AC" w:rsidP="004D2261">
      <w:pPr>
        <w:pStyle w:val="ListParagraph"/>
        <w:numPr>
          <w:ilvl w:val="1"/>
          <w:numId w:val="11"/>
        </w:numPr>
      </w:pPr>
      <w:r w:rsidRPr="005B54EE">
        <w:t>Inclusion of maritime transport from 2023</w:t>
      </w:r>
    </w:p>
    <w:p w14:paraId="7464947E" w14:textId="77777777" w:rsidR="005D35AC" w:rsidRPr="005B54EE" w:rsidRDefault="005D35AC" w:rsidP="004D2261">
      <w:pPr>
        <w:pStyle w:val="ListParagraph"/>
        <w:numPr>
          <w:ilvl w:val="1"/>
          <w:numId w:val="11"/>
        </w:numPr>
      </w:pPr>
      <w:r w:rsidRPr="005B54EE">
        <w:t>Reduction of GHG emissions by 61% by 2030 with respect to 2005.</w:t>
      </w:r>
    </w:p>
    <w:p w14:paraId="51A18F6C" w14:textId="77777777" w:rsidR="005D35AC" w:rsidRPr="005B54EE" w:rsidRDefault="005D35AC" w:rsidP="004D2261">
      <w:pPr>
        <w:pStyle w:val="ListParagraph"/>
        <w:numPr>
          <w:ilvl w:val="0"/>
          <w:numId w:val="11"/>
        </w:numPr>
      </w:pPr>
      <w:r w:rsidRPr="005B54EE">
        <w:t xml:space="preserve">An updated </w:t>
      </w:r>
      <w:r w:rsidRPr="005B54EE">
        <w:rPr>
          <w:b/>
          <w:bCs/>
        </w:rPr>
        <w:t>effort-sharing</w:t>
      </w:r>
      <w:r w:rsidRPr="005B54EE">
        <w:t xml:space="preserve"> regulation (emissions not included in the ETS)</w:t>
      </w:r>
    </w:p>
    <w:p w14:paraId="3E080092" w14:textId="77777777" w:rsidR="005D35AC" w:rsidRPr="005B54EE" w:rsidRDefault="005D35AC" w:rsidP="004D2261">
      <w:pPr>
        <w:pStyle w:val="ListParagraph"/>
        <w:numPr>
          <w:ilvl w:val="1"/>
          <w:numId w:val="11"/>
        </w:numPr>
      </w:pPr>
      <w:r w:rsidRPr="005B54EE">
        <w:t>Reduction of these emissions by at least 40% by 2030 as compared to 2005.</w:t>
      </w:r>
    </w:p>
    <w:p w14:paraId="540AAED0" w14:textId="77777777" w:rsidR="005D35AC" w:rsidRPr="005B54EE" w:rsidRDefault="005D35AC" w:rsidP="004D2261">
      <w:pPr>
        <w:pStyle w:val="ListParagraph"/>
        <w:numPr>
          <w:ilvl w:val="0"/>
          <w:numId w:val="11"/>
        </w:numPr>
      </w:pPr>
      <w:r w:rsidRPr="005B54EE">
        <w:t xml:space="preserve">A </w:t>
      </w:r>
      <w:r w:rsidRPr="005B54EE">
        <w:rPr>
          <w:b/>
          <w:bCs/>
        </w:rPr>
        <w:t>separate EU-ETS market for transport and construction</w:t>
      </w:r>
    </w:p>
    <w:p w14:paraId="38E1503B" w14:textId="77777777" w:rsidR="005D35AC" w:rsidRPr="005B54EE" w:rsidRDefault="005D35AC" w:rsidP="004D2261">
      <w:pPr>
        <w:pStyle w:val="ListParagraph"/>
        <w:numPr>
          <w:ilvl w:val="1"/>
          <w:numId w:val="11"/>
        </w:numPr>
      </w:pPr>
      <w:r w:rsidRPr="005B54EE">
        <w:t>New system for distributors supplying fuels for use in the construction and road transport sectors</w:t>
      </w:r>
    </w:p>
    <w:p w14:paraId="36CFCC23" w14:textId="77777777" w:rsidR="005D35AC" w:rsidRPr="005B54EE" w:rsidRDefault="005D35AC" w:rsidP="004D2261">
      <w:pPr>
        <w:pStyle w:val="ListParagraph"/>
        <w:numPr>
          <w:ilvl w:val="1"/>
          <w:numId w:val="11"/>
        </w:numPr>
      </w:pPr>
      <w:r w:rsidRPr="005B54EE">
        <w:t>Allowances to be auctioned from 2027 and relinquished from 2028</w:t>
      </w:r>
    </w:p>
    <w:p w14:paraId="5CD73959" w14:textId="6DC3B0B3" w:rsidR="005D35AC" w:rsidRPr="005B54EE" w:rsidRDefault="005D35AC" w:rsidP="004D2261">
      <w:pPr>
        <w:pStyle w:val="ListParagraph"/>
        <w:numPr>
          <w:ilvl w:val="0"/>
          <w:numId w:val="11"/>
        </w:numPr>
      </w:pPr>
      <w:r w:rsidRPr="005B54EE">
        <w:t xml:space="preserve">A </w:t>
      </w:r>
      <w:r w:rsidRPr="005B54EE">
        <w:rPr>
          <w:b/>
          <w:bCs/>
        </w:rPr>
        <w:t>boost to carbon sinks by the land sector</w:t>
      </w:r>
      <w:r w:rsidRPr="005B54EE">
        <w:t>: at least 310 MtCO</w:t>
      </w:r>
      <w:r w:rsidRPr="005B54EE">
        <w:rPr>
          <w:vertAlign w:val="subscript"/>
        </w:rPr>
        <w:t>2eq</w:t>
      </w:r>
      <w:r w:rsidRPr="005B54EE">
        <w:t xml:space="preserve"> by 2030.</w:t>
      </w:r>
    </w:p>
    <w:p w14:paraId="47BFF4FB" w14:textId="77777777" w:rsidR="005D35AC" w:rsidRPr="005B54EE" w:rsidRDefault="005D35AC" w:rsidP="004D2261">
      <w:pPr>
        <w:pStyle w:val="ListParagraph"/>
        <w:numPr>
          <w:ilvl w:val="0"/>
          <w:numId w:val="11"/>
        </w:numPr>
      </w:pPr>
      <w:r w:rsidRPr="005B54EE">
        <w:t xml:space="preserve">A </w:t>
      </w:r>
      <w:r w:rsidRPr="005B54EE">
        <w:rPr>
          <w:b/>
          <w:bCs/>
        </w:rPr>
        <w:t>carbon adjustment mechanism at the EU's borders</w:t>
      </w:r>
      <w:r w:rsidRPr="005B54EE">
        <w:t xml:space="preserve"> to reduce the risks of carbon leakage.</w:t>
      </w:r>
    </w:p>
    <w:p w14:paraId="2A261F5F" w14:textId="77777777" w:rsidR="005D35AC" w:rsidRPr="005B54EE" w:rsidRDefault="005D35AC" w:rsidP="005D35AC"/>
    <w:p w14:paraId="138E3F5B" w14:textId="77777777" w:rsidR="005D35AC" w:rsidRPr="005B54EE" w:rsidRDefault="005D35AC" w:rsidP="005D35AC">
      <w:r w:rsidRPr="005B54EE">
        <w:t>The new regulations for the implementation of the European Green Deal will complement the regulations already adopted in 2018 on the governance of the Energy Union (Regulation 2018/1999), which provides for various intra-EU governance mechanisms to link European and national policies. Therefore, under this regulation, Member States must establish 10-year National Integrated Energy and Climate Plans (INECPs), which will allow the EU to collectively achieve the energy and climate targets set.</w:t>
      </w:r>
    </w:p>
    <w:p w14:paraId="5321303E" w14:textId="77777777" w:rsidR="005D35AC" w:rsidRPr="005B54EE" w:rsidRDefault="005D35AC" w:rsidP="005D35AC"/>
    <w:p w14:paraId="3B449E7A" w14:textId="2AAB2E80" w:rsidR="005D35AC" w:rsidRPr="005B54EE" w:rsidRDefault="005D35AC" w:rsidP="005D35AC">
      <w:r w:rsidRPr="005B54EE">
        <w:t xml:space="preserve">Under the Paris Agreement, the EU and its Member States have committed to a common quantified economy-wide greenhouse gas emission reduction target of 55% below 1990 levels by 2030 (see the EU NDC's updated submission of 17 December 2020). </w:t>
      </w:r>
    </w:p>
    <w:p w14:paraId="0423B80D" w14:textId="77777777" w:rsidR="00B47236" w:rsidRPr="005B54EE" w:rsidRDefault="00B47236" w:rsidP="005D35AC"/>
    <w:p w14:paraId="528093FF" w14:textId="77777777" w:rsidR="005D35AC" w:rsidRPr="005B54EE" w:rsidRDefault="005D35AC" w:rsidP="00B04A7C">
      <w:pPr>
        <w:pStyle w:val="Titre3Niveau3"/>
      </w:pPr>
      <w:bookmarkStart w:id="26" w:name="_Toc120883270"/>
      <w:bookmarkStart w:id="27" w:name="_Toc138344663"/>
      <w:r w:rsidRPr="005B54EE">
        <w:t>At national level</w:t>
      </w:r>
      <w:bookmarkEnd w:id="26"/>
      <w:bookmarkEnd w:id="27"/>
    </w:p>
    <w:p w14:paraId="7E3F9494" w14:textId="77777777" w:rsidR="006E0C3B" w:rsidRPr="005B54EE" w:rsidRDefault="006E0C3B" w:rsidP="006E0C3B">
      <w:pPr>
        <w:spacing w:before="240" w:after="240"/>
      </w:pPr>
      <w:r w:rsidRPr="005B54EE">
        <w:t>France's greenhouse gas emission reduction strategy has been tightened in recent years.</w:t>
      </w:r>
    </w:p>
    <w:p w14:paraId="6833E288" w14:textId="77777777" w:rsidR="006E0C3B" w:rsidRPr="005B54EE" w:rsidRDefault="006E0C3B" w:rsidP="006E0C3B">
      <w:pPr>
        <w:spacing w:before="240" w:after="240"/>
      </w:pPr>
      <w:r w:rsidRPr="005B54EE">
        <w:t>During the 2000s, the establishment of policies to combat climate change was underpinned by successive Climate Plans.</w:t>
      </w:r>
    </w:p>
    <w:p w14:paraId="2986637C" w14:textId="77777777" w:rsidR="006E0C3B" w:rsidRPr="005B54EE" w:rsidRDefault="006E0C3B" w:rsidP="006E0C3B">
      <w:pPr>
        <w:spacing w:before="240" w:after="240"/>
      </w:pPr>
      <w:r w:rsidRPr="005B54EE">
        <w:t>In 2009 and 2010, France committed to reducing its greenhouse gas emissions by 2050 to a quarter of their 1990 level (factor 4) through the Grenelle I and II laws.</w:t>
      </w:r>
    </w:p>
    <w:p w14:paraId="23A34AFD" w14:textId="77777777" w:rsidR="006E0C3B" w:rsidRPr="005B54EE" w:rsidRDefault="006E0C3B" w:rsidP="006E0C3B">
      <w:pPr>
        <w:spacing w:before="240" w:after="240"/>
      </w:pPr>
      <w:r w:rsidRPr="005B54EE">
        <w:t>In 2015, the law on the energy transition for green growth (LTECV) set a target of a 40% reduction in greenhouse gas emissions by 2030 with respect to 1990 and confirmed the ‘factor 4’. The LTECV also introduced the first National Low-Carbon Strategy (‘Stratégie Nationale Bas-Carbone’, SNBC), which defines the guidelines for combating climate change as well as carbon budgets, emission ceilings that must not be exceeded, which are set for five-year periods by decree. The first SNBC was issued in 2015.</w:t>
      </w:r>
    </w:p>
    <w:p w14:paraId="4A809590" w14:textId="77777777" w:rsidR="006E0C3B" w:rsidRPr="005B54EE" w:rsidRDefault="006E0C3B" w:rsidP="006E0C3B">
      <w:pPr>
        <w:spacing w:before="240" w:after="240"/>
      </w:pPr>
      <w:r w:rsidRPr="005B54EE">
        <w:t xml:space="preserve">The </w:t>
      </w:r>
      <w:r w:rsidRPr="005B54EE">
        <w:rPr>
          <w:b/>
          <w:bCs/>
        </w:rPr>
        <w:t>8 November 2019 law on energy and climate (LEC)</w:t>
      </w:r>
      <w:r w:rsidRPr="005B54EE">
        <w:t xml:space="preserve"> established in law the target of carbon neutrality by 2050, specifying that anthropogenic emissions must be reduced by a factor of at least 6, with residual emissions being offset by anthropogenic absorption. It confirms the 40% reduction in emissions by 2030 target. It also establishes a set of measures that address different areas of the energy transition, including the fight against thermal leakage in buildings and the creation or revision of instruments for steering, governing and assessing national climate policy.</w:t>
      </w:r>
    </w:p>
    <w:p w14:paraId="41F6A45B" w14:textId="77777777" w:rsidR="006E0C3B" w:rsidRPr="005B54EE" w:rsidRDefault="006E0C3B" w:rsidP="006E0C3B">
      <w:pPr>
        <w:spacing w:before="240" w:after="240"/>
      </w:pPr>
      <w:r w:rsidRPr="005B54EE">
        <w:t xml:space="preserve">The second </w:t>
      </w:r>
      <w:r w:rsidRPr="005B54EE">
        <w:rPr>
          <w:b/>
          <w:bCs/>
        </w:rPr>
        <w:t>National Low-Carbon Strategy (SNBC)</w:t>
      </w:r>
      <w:r w:rsidRPr="005B54EE">
        <w:t xml:space="preserve"> was enacted by Decree No. 2020-457 of 21 April 2020 This 2nd SNBC sets out to achieve carbon neutrality by 2050, while maintaining the 40% by 2030 compared to 1990 milestone. </w:t>
      </w:r>
    </w:p>
    <w:p w14:paraId="2E0C183E" w14:textId="77777777" w:rsidR="006E0C3B" w:rsidRPr="005B54EE" w:rsidRDefault="006E0C3B" w:rsidP="006E0C3B">
      <w:pPr>
        <w:spacing w:before="240" w:after="240"/>
      </w:pPr>
      <w:r w:rsidRPr="005B54EE">
        <w:t xml:space="preserve">The sectoral guidelines of the SNBC-2 have since been incorporated into legislation through papers, committing to long-term changes in each sector that emits GHGs in France: the mobility orientation law on transport, the law on the fight against waste and the circular economy, the climate and resilience law (see Chapter 1 - A.2 Recent developments). </w:t>
      </w:r>
    </w:p>
    <w:p w14:paraId="210ACC8E" w14:textId="77777777" w:rsidR="006E0C3B" w:rsidRPr="005B54EE" w:rsidRDefault="006E0C3B" w:rsidP="006E0C3B">
      <w:pPr>
        <w:spacing w:before="240" w:after="240"/>
        <w:rPr>
          <w:lang w:eastAsia="en-US"/>
        </w:rPr>
      </w:pPr>
    </w:p>
    <w:tbl>
      <w:tblPr>
        <w:tblStyle w:val="GridTable5Dark-Accent4"/>
        <w:tblW w:w="9854" w:type="dxa"/>
        <w:tblLook w:val="04A0" w:firstRow="1" w:lastRow="0" w:firstColumn="1" w:lastColumn="0" w:noHBand="0" w:noVBand="1"/>
      </w:tblPr>
      <w:tblGrid>
        <w:gridCol w:w="2292"/>
        <w:gridCol w:w="1701"/>
        <w:gridCol w:w="1953"/>
        <w:gridCol w:w="1954"/>
        <w:gridCol w:w="1954"/>
      </w:tblGrid>
      <w:tr w:rsidR="00B47236" w:rsidRPr="005B54EE" w14:paraId="262B1DD8" w14:textId="77777777" w:rsidTr="00776ED7">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292" w:type="dxa"/>
          </w:tcPr>
          <w:p w14:paraId="365628BF" w14:textId="59F5DA49" w:rsidR="00B47236" w:rsidRPr="005B54EE" w:rsidRDefault="00B47236" w:rsidP="00811B0F">
            <w:pPr>
              <w:jc w:val="center"/>
            </w:pPr>
            <w:r w:rsidRPr="005B54EE">
              <w:t>Average annual emissions (in Mt CO</w:t>
            </w:r>
            <w:r w:rsidRPr="005B54EE">
              <w:rPr>
                <w:vertAlign w:val="subscript"/>
              </w:rPr>
              <w:t>2eq</w:t>
            </w:r>
            <w:r w:rsidRPr="005B54EE">
              <w:t>)</w:t>
            </w:r>
          </w:p>
        </w:tc>
        <w:tc>
          <w:tcPr>
            <w:tcW w:w="1701" w:type="dxa"/>
            <w:shd w:val="clear" w:color="auto" w:fill="A6A6A6" w:themeFill="background1" w:themeFillShade="A6"/>
          </w:tcPr>
          <w:p w14:paraId="25574DE0" w14:textId="2579F12B" w:rsidR="00B47236" w:rsidRPr="005B54EE" w:rsidRDefault="00B47236" w:rsidP="00811B0F">
            <w:pPr>
              <w:jc w:val="center"/>
              <w:cnfStyle w:val="100000000000" w:firstRow="1" w:lastRow="0" w:firstColumn="0" w:lastColumn="0" w:oddVBand="0" w:evenVBand="0" w:oddHBand="0" w:evenHBand="0" w:firstRowFirstColumn="0" w:firstRowLastColumn="0" w:lastRowFirstColumn="0" w:lastRowLastColumn="0"/>
            </w:pPr>
            <w:r w:rsidRPr="005B54EE">
              <w:t>1st carbon budget (concluded)</w:t>
            </w:r>
          </w:p>
        </w:tc>
        <w:tc>
          <w:tcPr>
            <w:tcW w:w="1953" w:type="dxa"/>
          </w:tcPr>
          <w:p w14:paraId="2265F3F7" w14:textId="2F60883D" w:rsidR="00B47236" w:rsidRPr="005B54EE" w:rsidRDefault="00B47236" w:rsidP="00811B0F">
            <w:pPr>
              <w:jc w:val="center"/>
              <w:cnfStyle w:val="100000000000" w:firstRow="1" w:lastRow="0" w:firstColumn="0" w:lastColumn="0" w:oddVBand="0" w:evenVBand="0" w:oddHBand="0" w:evenHBand="0" w:firstRowFirstColumn="0" w:firstRowLastColumn="0" w:lastRowFirstColumn="0" w:lastRowLastColumn="0"/>
            </w:pPr>
            <w:r w:rsidRPr="005B54EE">
              <w:t>2nd carbon budget</w:t>
            </w:r>
          </w:p>
        </w:tc>
        <w:tc>
          <w:tcPr>
            <w:tcW w:w="1954" w:type="dxa"/>
          </w:tcPr>
          <w:p w14:paraId="3C4D16A2" w14:textId="77777777" w:rsidR="00B47236" w:rsidRPr="005B54EE" w:rsidRDefault="00B47236" w:rsidP="00811B0F">
            <w:pPr>
              <w:jc w:val="center"/>
              <w:cnfStyle w:val="100000000000" w:firstRow="1" w:lastRow="0" w:firstColumn="0" w:lastColumn="0" w:oddVBand="0" w:evenVBand="0" w:oddHBand="0" w:evenHBand="0" w:firstRowFirstColumn="0" w:firstRowLastColumn="0" w:lastRowFirstColumn="0" w:lastRowLastColumn="0"/>
            </w:pPr>
            <w:r w:rsidRPr="005B54EE">
              <w:t>3rd carbon budget</w:t>
            </w:r>
          </w:p>
        </w:tc>
        <w:tc>
          <w:tcPr>
            <w:tcW w:w="1954" w:type="dxa"/>
          </w:tcPr>
          <w:p w14:paraId="746A1EC3" w14:textId="77777777" w:rsidR="00B47236" w:rsidRPr="005B54EE" w:rsidRDefault="00B47236" w:rsidP="00811B0F">
            <w:pPr>
              <w:jc w:val="center"/>
              <w:cnfStyle w:val="100000000000" w:firstRow="1" w:lastRow="0" w:firstColumn="0" w:lastColumn="0" w:oddVBand="0" w:evenVBand="0" w:oddHBand="0" w:evenHBand="0" w:firstRowFirstColumn="0" w:firstRowLastColumn="0" w:lastRowFirstColumn="0" w:lastRowLastColumn="0"/>
            </w:pPr>
            <w:r w:rsidRPr="005B54EE">
              <w:t>4th carbon budget</w:t>
            </w:r>
          </w:p>
        </w:tc>
      </w:tr>
      <w:tr w:rsidR="00B47236" w:rsidRPr="005B54EE" w14:paraId="42CA6F0E" w14:textId="77777777" w:rsidTr="00776ED7">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292" w:type="dxa"/>
          </w:tcPr>
          <w:p w14:paraId="5F24BCCF" w14:textId="77777777" w:rsidR="00B47236" w:rsidRPr="005B54EE" w:rsidRDefault="00B47236" w:rsidP="00811B0F">
            <w:pPr>
              <w:jc w:val="center"/>
            </w:pPr>
            <w:r w:rsidRPr="005B54EE">
              <w:t>Period</w:t>
            </w:r>
          </w:p>
        </w:tc>
        <w:tc>
          <w:tcPr>
            <w:tcW w:w="1701" w:type="dxa"/>
            <w:shd w:val="clear" w:color="auto" w:fill="A6A6A6" w:themeFill="background1" w:themeFillShade="A6"/>
          </w:tcPr>
          <w:p w14:paraId="13307215" w14:textId="489A354E" w:rsidR="00B47236" w:rsidRPr="005B54EE" w:rsidRDefault="00B47236" w:rsidP="00811B0F">
            <w:pPr>
              <w:jc w:val="center"/>
              <w:cnfStyle w:val="000000100000" w:firstRow="0" w:lastRow="0" w:firstColumn="0" w:lastColumn="0" w:oddVBand="0" w:evenVBand="0" w:oddHBand="1" w:evenHBand="0" w:firstRowFirstColumn="0" w:firstRowLastColumn="0" w:lastRowFirstColumn="0" w:lastRowLastColumn="0"/>
            </w:pPr>
            <w:r w:rsidRPr="005B54EE">
              <w:t>2015-2018</w:t>
            </w:r>
          </w:p>
        </w:tc>
        <w:tc>
          <w:tcPr>
            <w:tcW w:w="1953" w:type="dxa"/>
          </w:tcPr>
          <w:p w14:paraId="1F6C4D22" w14:textId="21534951" w:rsidR="00B47236" w:rsidRPr="005B54EE" w:rsidRDefault="00B47236" w:rsidP="00811B0F">
            <w:pPr>
              <w:jc w:val="center"/>
              <w:cnfStyle w:val="000000100000" w:firstRow="0" w:lastRow="0" w:firstColumn="0" w:lastColumn="0" w:oddVBand="0" w:evenVBand="0" w:oddHBand="1" w:evenHBand="0" w:firstRowFirstColumn="0" w:firstRowLastColumn="0" w:lastRowFirstColumn="0" w:lastRowLastColumn="0"/>
            </w:pPr>
            <w:r w:rsidRPr="005B54EE">
              <w:t>2019-2023</w:t>
            </w:r>
          </w:p>
        </w:tc>
        <w:tc>
          <w:tcPr>
            <w:tcW w:w="1954" w:type="dxa"/>
          </w:tcPr>
          <w:p w14:paraId="18D7D577" w14:textId="77777777" w:rsidR="00B47236" w:rsidRPr="005B54EE" w:rsidRDefault="00B47236" w:rsidP="00811B0F">
            <w:pPr>
              <w:jc w:val="center"/>
              <w:cnfStyle w:val="000000100000" w:firstRow="0" w:lastRow="0" w:firstColumn="0" w:lastColumn="0" w:oddVBand="0" w:evenVBand="0" w:oddHBand="1" w:evenHBand="0" w:firstRowFirstColumn="0" w:firstRowLastColumn="0" w:lastRowFirstColumn="0" w:lastRowLastColumn="0"/>
            </w:pPr>
            <w:r w:rsidRPr="005B54EE">
              <w:t>2024-2028</w:t>
            </w:r>
          </w:p>
        </w:tc>
        <w:tc>
          <w:tcPr>
            <w:tcW w:w="1954" w:type="dxa"/>
          </w:tcPr>
          <w:p w14:paraId="2B24EDFB" w14:textId="77777777" w:rsidR="00B47236" w:rsidRPr="005B54EE" w:rsidRDefault="00B47236" w:rsidP="00811B0F">
            <w:pPr>
              <w:jc w:val="center"/>
              <w:cnfStyle w:val="000000100000" w:firstRow="0" w:lastRow="0" w:firstColumn="0" w:lastColumn="0" w:oddVBand="0" w:evenVBand="0" w:oddHBand="1" w:evenHBand="0" w:firstRowFirstColumn="0" w:firstRowLastColumn="0" w:lastRowFirstColumn="0" w:lastRowLastColumn="0"/>
            </w:pPr>
            <w:r w:rsidRPr="005B54EE">
              <w:t>2029-2033</w:t>
            </w:r>
          </w:p>
        </w:tc>
      </w:tr>
      <w:tr w:rsidR="00B47236" w:rsidRPr="005B54EE" w14:paraId="5D3F1D9D" w14:textId="77777777" w:rsidTr="00776ED7">
        <w:trPr>
          <w:trHeight w:val="199"/>
        </w:trPr>
        <w:tc>
          <w:tcPr>
            <w:cnfStyle w:val="001000000000" w:firstRow="0" w:lastRow="0" w:firstColumn="1" w:lastColumn="0" w:oddVBand="0" w:evenVBand="0" w:oddHBand="0" w:evenHBand="0" w:firstRowFirstColumn="0" w:firstRowLastColumn="0" w:lastRowFirstColumn="0" w:lastRowLastColumn="0"/>
            <w:tcW w:w="2292" w:type="dxa"/>
          </w:tcPr>
          <w:p w14:paraId="6B1340C1" w14:textId="77777777" w:rsidR="00B47236" w:rsidRPr="005B54EE" w:rsidRDefault="00B47236" w:rsidP="00811B0F">
            <w:pPr>
              <w:jc w:val="center"/>
            </w:pPr>
            <w:r w:rsidRPr="005B54EE">
              <w:t>Total excluding LULUCF</w:t>
            </w:r>
          </w:p>
        </w:tc>
        <w:tc>
          <w:tcPr>
            <w:tcW w:w="1701" w:type="dxa"/>
            <w:shd w:val="clear" w:color="auto" w:fill="A6A6A6" w:themeFill="background1" w:themeFillShade="A6"/>
          </w:tcPr>
          <w:p w14:paraId="3069AFE2" w14:textId="398A0766" w:rsidR="00B47236" w:rsidRPr="005B54EE" w:rsidRDefault="00776ED7" w:rsidP="00811B0F">
            <w:pPr>
              <w:jc w:val="center"/>
              <w:cnfStyle w:val="000000000000" w:firstRow="0" w:lastRow="0" w:firstColumn="0" w:lastColumn="0" w:oddVBand="0" w:evenVBand="0" w:oddHBand="0" w:evenHBand="0" w:firstRowFirstColumn="0" w:firstRowLastColumn="0" w:lastRowFirstColumn="0" w:lastRowLastColumn="0"/>
            </w:pPr>
            <w:r w:rsidRPr="005B54EE">
              <w:t>441</w:t>
            </w:r>
          </w:p>
        </w:tc>
        <w:tc>
          <w:tcPr>
            <w:tcW w:w="1953" w:type="dxa"/>
            <w:vAlign w:val="center"/>
          </w:tcPr>
          <w:p w14:paraId="5CA80FB1" w14:textId="4495584F" w:rsidR="00B47236" w:rsidRPr="005B54EE" w:rsidRDefault="00B47236" w:rsidP="00811B0F">
            <w:pPr>
              <w:jc w:val="center"/>
              <w:cnfStyle w:val="000000000000" w:firstRow="0" w:lastRow="0" w:firstColumn="0" w:lastColumn="0" w:oddVBand="0" w:evenVBand="0" w:oddHBand="0" w:evenHBand="0" w:firstRowFirstColumn="0" w:firstRowLastColumn="0" w:lastRowFirstColumn="0" w:lastRowLastColumn="0"/>
            </w:pPr>
            <w:r w:rsidRPr="005B54EE">
              <w:t>421</w:t>
            </w:r>
          </w:p>
        </w:tc>
        <w:tc>
          <w:tcPr>
            <w:tcW w:w="1954" w:type="dxa"/>
            <w:vAlign w:val="center"/>
          </w:tcPr>
          <w:p w14:paraId="366EE293" w14:textId="77777777" w:rsidR="00B47236" w:rsidRPr="005B54EE" w:rsidRDefault="00B47236" w:rsidP="00811B0F">
            <w:pPr>
              <w:jc w:val="center"/>
              <w:cnfStyle w:val="000000000000" w:firstRow="0" w:lastRow="0" w:firstColumn="0" w:lastColumn="0" w:oddVBand="0" w:evenVBand="0" w:oddHBand="0" w:evenHBand="0" w:firstRowFirstColumn="0" w:firstRowLastColumn="0" w:lastRowFirstColumn="0" w:lastRowLastColumn="0"/>
            </w:pPr>
            <w:r w:rsidRPr="005B54EE">
              <w:t>358</w:t>
            </w:r>
          </w:p>
        </w:tc>
        <w:tc>
          <w:tcPr>
            <w:tcW w:w="1954" w:type="dxa"/>
            <w:vAlign w:val="center"/>
          </w:tcPr>
          <w:p w14:paraId="56F7031C" w14:textId="77777777" w:rsidR="00B47236" w:rsidRPr="005B54EE" w:rsidRDefault="00B47236" w:rsidP="00811B0F">
            <w:pPr>
              <w:jc w:val="center"/>
              <w:cnfStyle w:val="000000000000" w:firstRow="0" w:lastRow="0" w:firstColumn="0" w:lastColumn="0" w:oddVBand="0" w:evenVBand="0" w:oddHBand="0" w:evenHBand="0" w:firstRowFirstColumn="0" w:firstRowLastColumn="0" w:lastRowFirstColumn="0" w:lastRowLastColumn="0"/>
            </w:pPr>
            <w:r w:rsidRPr="005B54EE">
              <w:t>299</w:t>
            </w:r>
          </w:p>
        </w:tc>
      </w:tr>
    </w:tbl>
    <w:p w14:paraId="59600512" w14:textId="053BDCED" w:rsidR="006E0C3B" w:rsidRPr="005B54EE" w:rsidRDefault="006E0C3B" w:rsidP="006E0C3B">
      <w:pPr>
        <w:pStyle w:val="Caption"/>
      </w:pPr>
      <w:bookmarkStart w:id="28" w:name="_Toc124153715"/>
      <w:r w:rsidRPr="005B54EE">
        <w:t xml:space="preserve">Table </w:t>
      </w:r>
      <w:r w:rsidR="00C73940">
        <w:fldChar w:fldCharType="begin"/>
      </w:r>
      <w:r w:rsidR="00C73940">
        <w:instrText xml:space="preserve"> SEQ Tableau \* ARABIC </w:instrText>
      </w:r>
      <w:r w:rsidR="00C73940">
        <w:fldChar w:fldCharType="separate"/>
      </w:r>
      <w:r w:rsidR="005B1C45">
        <w:rPr>
          <w:noProof/>
        </w:rPr>
        <w:t>1</w:t>
      </w:r>
      <w:r w:rsidR="00C73940">
        <w:rPr>
          <w:noProof/>
        </w:rPr>
        <w:fldChar w:fldCharType="end"/>
      </w:r>
      <w:r w:rsidRPr="005B54EE">
        <w:t>: 1st (2015-2018), 2nd (2019-2023), 3rd (2024-2028) and 4th (2029-2033) carbon budgets</w:t>
      </w:r>
      <w:bookmarkEnd w:id="28"/>
    </w:p>
    <w:p w14:paraId="53AF791A" w14:textId="77777777" w:rsidR="006E0C3B" w:rsidRPr="005B54EE" w:rsidRDefault="006E0C3B" w:rsidP="006E0C3B">
      <w:pPr>
        <w:pStyle w:val="Caption"/>
      </w:pPr>
      <w:r w:rsidRPr="005B54EE">
        <w:t>Source: MTE-DGEC</w:t>
      </w:r>
    </w:p>
    <w:p w14:paraId="0DC5B410" w14:textId="2E89C96B" w:rsidR="006E0C3B" w:rsidRPr="005B54EE" w:rsidRDefault="006E0C3B" w:rsidP="006E0C3B">
      <w:pPr>
        <w:pStyle w:val="NormalWeb"/>
      </w:pPr>
      <w:r w:rsidRPr="005B54EE">
        <w:rPr>
          <w:rFonts w:ascii="Marianne" w:hAnsi="Marianne"/>
        </w:rPr>
        <w:t>For the record: The first SNBC-1 carbon budget that was approved by decree in 2015, covered the period 2015-2018. It was subject to technical adjustments in 2019 following changes in the GHG emissions accounting methodology. The adjusted budget is included in the SNBC2. The first adjusted carbon budget averaged 442 Mt CO</w:t>
      </w:r>
      <w:r w:rsidRPr="005B54EE">
        <w:rPr>
          <w:rFonts w:ascii="Marianne" w:hAnsi="Marianne"/>
          <w:vertAlign w:val="subscript"/>
        </w:rPr>
        <w:t>2eq</w:t>
      </w:r>
      <w:r w:rsidRPr="005B54EE">
        <w:rPr>
          <w:rFonts w:ascii="Marianne" w:hAnsi="Marianne"/>
        </w:rPr>
        <w:t xml:space="preserve"> per year, excluding emissions and absorptions associated with land use and forestry. The first carbon budget was exceeded by 61 Mt CO</w:t>
      </w:r>
      <w:r w:rsidRPr="005B54EE">
        <w:rPr>
          <w:rFonts w:ascii="Marianne" w:hAnsi="Marianne"/>
          <w:vertAlign w:val="subscript"/>
        </w:rPr>
        <w:t>2eq</w:t>
      </w:r>
      <w:r w:rsidRPr="005B54EE">
        <w:rPr>
          <w:rFonts w:ascii="Marianne" w:hAnsi="Marianne"/>
        </w:rPr>
        <w:t xml:space="preserve"> cumulatively over the period 2015-2018 (i.e. +3.4% over the whole period),  with an average annual deviation of +14%. Excluding LULUCF, emissions fell by an average of 1.1% per year between 2015 and 2018 (compared to the period 2011- 2014), which is lower than the target fall in the SNBC-1 of 1.9% per year. The indicative sectoral budgets were exceeded over the period of the first carbon budget in transportation, construction, agriculture and industry. They were met for energy conversion and waste. </w:t>
      </w:r>
    </w:p>
    <w:p w14:paraId="74998694" w14:textId="77777777" w:rsidR="006E0C3B" w:rsidRPr="005B54EE" w:rsidRDefault="006E0C3B" w:rsidP="006E0C3B">
      <w:pPr>
        <w:spacing w:before="240" w:after="240"/>
        <w:jc w:val="center"/>
      </w:pPr>
      <w:r w:rsidRPr="005B54EE">
        <w:rPr>
          <w:noProof/>
          <w:lang w:val="fr-FR"/>
        </w:rPr>
        <w:drawing>
          <wp:inline distT="0" distB="0" distL="0" distR="0" wp14:anchorId="1C4569DE" wp14:editId="2DFB3314">
            <wp:extent cx="6318250" cy="2910205"/>
            <wp:effectExtent l="0" t="0" r="635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18250" cy="2910205"/>
                    </a:xfrm>
                    <a:prstGeom prst="rect">
                      <a:avLst/>
                    </a:prstGeom>
                  </pic:spPr>
                </pic:pic>
              </a:graphicData>
            </a:graphic>
          </wp:inline>
        </w:drawing>
      </w:r>
    </w:p>
    <w:p w14:paraId="40CCC185" w14:textId="2165A4B6" w:rsidR="006E0C3B" w:rsidRPr="005B54EE" w:rsidRDefault="006E0C3B" w:rsidP="006E0C3B">
      <w:pPr>
        <w:pStyle w:val="Caption"/>
      </w:pPr>
      <w:bookmarkStart w:id="29" w:name="_Toc124153764"/>
      <w:r w:rsidRPr="005B54EE">
        <w:t xml:space="preserve">Figure </w:t>
      </w:r>
      <w:r w:rsidR="00C73940">
        <w:fldChar w:fldCharType="begin"/>
      </w:r>
      <w:r w:rsidR="00C73940">
        <w:instrText xml:space="preserve"> SEQ Figure \* ARABIC </w:instrText>
      </w:r>
      <w:r w:rsidR="00C73940">
        <w:fldChar w:fldCharType="separate"/>
      </w:r>
      <w:r w:rsidR="003402E2">
        <w:rPr>
          <w:noProof/>
        </w:rPr>
        <w:t>9</w:t>
      </w:r>
      <w:r w:rsidR="00C73940">
        <w:rPr>
          <w:noProof/>
        </w:rPr>
        <w:fldChar w:fldCharType="end"/>
      </w:r>
      <w:r w:rsidRPr="005B54EE">
        <w:t>: Historic trends in GHG emissions excluding the land sector and carbon budgets up to 2033</w:t>
      </w:r>
      <w:bookmarkEnd w:id="29"/>
    </w:p>
    <w:p w14:paraId="0A28D892" w14:textId="77777777" w:rsidR="006E0C3B" w:rsidRPr="005B54EE" w:rsidRDefault="006E0C3B" w:rsidP="006E0C3B">
      <w:pPr>
        <w:pStyle w:val="Caption"/>
      </w:pPr>
      <w:r w:rsidRPr="005B54EE">
        <w:t>Source: MTE-DGEC</w:t>
      </w:r>
    </w:p>
    <w:p w14:paraId="5C0916EE" w14:textId="77777777" w:rsidR="006E0C3B" w:rsidRPr="005B54EE" w:rsidRDefault="006E0C3B" w:rsidP="006E0C3B">
      <w:pPr>
        <w:jc w:val="center"/>
      </w:pPr>
      <w:r w:rsidRPr="005B54EE">
        <w:rPr>
          <w:noProof/>
          <w:lang w:val="fr-FR"/>
        </w:rPr>
        <w:drawing>
          <wp:inline distT="0" distB="0" distL="0" distR="0" wp14:anchorId="18E36068" wp14:editId="65F63CF6">
            <wp:extent cx="6318250" cy="3915693"/>
            <wp:effectExtent l="0" t="0" r="6350" b="8890"/>
            <wp:docPr id="8" name="Image 8" descr="https://www.ecologie.gouv.fr/sites/default/files/Trajectoire%20et%20budgets%20carb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cologie.gouv.fr/sites/default/files/Trajectoire%20et%20budgets%20carbon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18250" cy="3915693"/>
                    </a:xfrm>
                    <a:prstGeom prst="rect">
                      <a:avLst/>
                    </a:prstGeom>
                    <a:noFill/>
                    <a:ln>
                      <a:noFill/>
                    </a:ln>
                  </pic:spPr>
                </pic:pic>
              </a:graphicData>
            </a:graphic>
          </wp:inline>
        </w:drawing>
      </w:r>
    </w:p>
    <w:p w14:paraId="63C183A6" w14:textId="08498614" w:rsidR="006E0C3B" w:rsidRPr="005B54EE" w:rsidRDefault="006E0C3B" w:rsidP="006E0C3B">
      <w:pPr>
        <w:pStyle w:val="Caption"/>
        <w:rPr>
          <w:noProof/>
        </w:rPr>
      </w:pPr>
      <w:bookmarkStart w:id="30" w:name="_Toc124153765"/>
      <w:r w:rsidRPr="005B54EE">
        <w:t xml:space="preserve">Figure </w:t>
      </w:r>
      <w:r w:rsidR="00C73940">
        <w:fldChar w:fldCharType="begin"/>
      </w:r>
      <w:r w:rsidR="00C73940">
        <w:instrText xml:space="preserve"> SEQ Figure \* ARABIC </w:instrText>
      </w:r>
      <w:r w:rsidR="00C73940">
        <w:fldChar w:fldCharType="separate"/>
      </w:r>
      <w:r w:rsidR="003402E2">
        <w:rPr>
          <w:noProof/>
        </w:rPr>
        <w:t>10</w:t>
      </w:r>
      <w:r w:rsidR="00C73940">
        <w:rPr>
          <w:noProof/>
        </w:rPr>
        <w:fldChar w:fldCharType="end"/>
      </w:r>
      <w:r w:rsidRPr="005B54EE">
        <w:t>: Linear emission reduction trajectory to achieve neutrality in 2050 and associated carbon budgets</w:t>
      </w:r>
      <w:bookmarkEnd w:id="30"/>
    </w:p>
    <w:p w14:paraId="11E45352" w14:textId="77777777" w:rsidR="006E0C3B" w:rsidRPr="005B54EE" w:rsidRDefault="006E0C3B" w:rsidP="006E0C3B">
      <w:pPr>
        <w:pStyle w:val="Caption"/>
      </w:pPr>
      <w:r w:rsidRPr="005B54EE">
        <w:t>Source: MTE-DGEC</w:t>
      </w:r>
    </w:p>
    <w:p w14:paraId="7F5D265C" w14:textId="77777777" w:rsidR="006E0C3B" w:rsidRPr="005B54EE" w:rsidRDefault="006E0C3B" w:rsidP="006E0C3B">
      <w:pPr>
        <w:spacing w:before="240" w:after="240"/>
      </w:pPr>
      <w:r w:rsidRPr="005B54EE">
        <w:t>The SNBC complies with decision 1/COP16 of Cancun that in 2010 encouraged each developed country party to the UNFCCC to adopt a low-carbon development strategy (or low-carbon strategy) to present and evaluate the guidelines and measures contributing to the achievement of long-term national climate change mitigation objectives and with the provisions of Article 4, paragraph 19 of the Paris Agreement.</w:t>
      </w:r>
    </w:p>
    <w:p w14:paraId="339592C1" w14:textId="77777777" w:rsidR="006E0C3B" w:rsidRPr="005B54EE" w:rsidRDefault="006E0C3B" w:rsidP="006E0C3B">
      <w:pPr>
        <w:spacing w:before="240" w:after="240"/>
      </w:pPr>
      <w:r w:rsidRPr="005B54EE">
        <w:t>The SNBC is reviewed every 5 years, after considering the results achieved during the period covered by the carbon budget that has just elapsed. These reviews are an opportunity to adjust the trajectory and to define a new carbon budget, incorporating the new opportunities to boost ambitions and comply with the increased ambition decided at the COP21 in December 2015 and enshrined in the Paris Agreement.</w:t>
      </w:r>
    </w:p>
    <w:p w14:paraId="0C2BCF5B" w14:textId="77777777" w:rsidR="006E0C3B" w:rsidRPr="005B54EE" w:rsidRDefault="006E0C3B" w:rsidP="006E0C3B">
      <w:pPr>
        <w:spacing w:before="240" w:after="240"/>
      </w:pPr>
      <w:r w:rsidRPr="005B54EE">
        <w:t xml:space="preserve">Pursuant to the 2019 climate and energy law, the next review of the SNBC must be preceded by the enactment of </w:t>
      </w:r>
      <w:r w:rsidRPr="005B54EE">
        <w:rPr>
          <w:b/>
          <w:bCs/>
        </w:rPr>
        <w:t>a climate and energy planning law (LPEC)</w:t>
      </w:r>
      <w:r w:rsidRPr="005B54EE">
        <w:t xml:space="preserve"> which will set the priorities for action of France's climate and energy policy (I of Article L. 100-1 A). It must be enacted in 2023. It must stipulate:</w:t>
      </w:r>
    </w:p>
    <w:p w14:paraId="07BE965A" w14:textId="77777777" w:rsidR="006E0C3B" w:rsidRPr="005B54EE" w:rsidRDefault="006E0C3B" w:rsidP="006E0C3B">
      <w:pPr>
        <w:numPr>
          <w:ilvl w:val="0"/>
          <w:numId w:val="21"/>
        </w:numPr>
        <w:spacing w:before="240" w:after="240"/>
      </w:pPr>
      <w:r w:rsidRPr="005B54EE">
        <w:t>For three successive 5-year periods, the greenhouse gas emission reduction targets;</w:t>
      </w:r>
    </w:p>
    <w:p w14:paraId="359AA854" w14:textId="77777777" w:rsidR="006E0C3B" w:rsidRPr="005B54EE" w:rsidRDefault="006E0C3B" w:rsidP="006E0C3B">
      <w:pPr>
        <w:numPr>
          <w:ilvl w:val="0"/>
          <w:numId w:val="21"/>
        </w:numPr>
        <w:spacing w:before="240" w:after="240"/>
      </w:pPr>
      <w:r w:rsidRPr="005B54EE">
        <w:t>For two successive 5-year periods, the targets:</w:t>
      </w:r>
    </w:p>
    <w:p w14:paraId="093869BF" w14:textId="77777777" w:rsidR="006E0C3B" w:rsidRPr="005B54EE" w:rsidRDefault="006E0C3B" w:rsidP="006E0C3B">
      <w:pPr>
        <w:pStyle w:val="ListParagraph"/>
        <w:numPr>
          <w:ilvl w:val="1"/>
          <w:numId w:val="20"/>
        </w:numPr>
      </w:pPr>
      <w:r w:rsidRPr="005B54EE">
        <w:t>Reduction of end-use energy consumption and reduction of primary fossil energy consumption, by fossil energy, and the minimum and maximum levels of energy saving certificate requirements;</w:t>
      </w:r>
    </w:p>
    <w:p w14:paraId="543D85F3" w14:textId="77777777" w:rsidR="006E0C3B" w:rsidRPr="005B54EE" w:rsidRDefault="006E0C3B" w:rsidP="006E0C3B">
      <w:pPr>
        <w:pStyle w:val="ListParagraph"/>
        <w:numPr>
          <w:ilvl w:val="1"/>
          <w:numId w:val="20"/>
        </w:numPr>
      </w:pPr>
      <w:r w:rsidRPr="005B54EE">
        <w:t>Development of renewable energy for electricity, heat, fuel and gas as well as renewable and low-carbon hydrogen;</w:t>
      </w:r>
    </w:p>
    <w:p w14:paraId="574892A5" w14:textId="77777777" w:rsidR="006E0C3B" w:rsidRPr="005B54EE" w:rsidRDefault="006E0C3B" w:rsidP="006E0C3B">
      <w:pPr>
        <w:pStyle w:val="ListParagraph"/>
        <w:numPr>
          <w:ilvl w:val="1"/>
          <w:numId w:val="20"/>
        </w:numPr>
      </w:pPr>
      <w:r w:rsidRPr="005B54EE">
        <w:t>Diversification of the electricity generation mix;</w:t>
      </w:r>
    </w:p>
    <w:p w14:paraId="162E95D7" w14:textId="77777777" w:rsidR="006E0C3B" w:rsidRPr="005B54EE" w:rsidRDefault="006E0C3B" w:rsidP="006E0C3B">
      <w:pPr>
        <w:pStyle w:val="ListParagraph"/>
        <w:numPr>
          <w:ilvl w:val="1"/>
          <w:numId w:val="20"/>
        </w:numPr>
      </w:pPr>
      <w:r w:rsidRPr="005B54EE">
        <w:t>Energy efficiency improvements in the construction sector;</w:t>
      </w:r>
    </w:p>
    <w:p w14:paraId="1437210A" w14:textId="77777777" w:rsidR="006E0C3B" w:rsidRPr="005B54EE" w:rsidRDefault="006E0C3B" w:rsidP="006E0C3B">
      <w:pPr>
        <w:pStyle w:val="ListParagraph"/>
        <w:numPr>
          <w:ilvl w:val="1"/>
          <w:numId w:val="20"/>
        </w:numPr>
      </w:pPr>
      <w:r w:rsidRPr="005B54EE">
        <w:t>Achieving or maintaining energy self-sufficiency in overseas departments.</w:t>
      </w:r>
    </w:p>
    <w:p w14:paraId="21FB3E7F" w14:textId="77777777" w:rsidR="006E0C3B" w:rsidRPr="005B54EE" w:rsidRDefault="006E0C3B" w:rsidP="006E0C3B">
      <w:pPr>
        <w:spacing w:before="240" w:after="240"/>
      </w:pPr>
      <w:r w:rsidRPr="005B54EE">
        <w:t xml:space="preserve">The energy and climate policy planning documents (MEP (Multiannual Energy Plan) and SNBC) will have to be brought into line with the guidelines of this law within a year. </w:t>
      </w:r>
    </w:p>
    <w:p w14:paraId="662F8F4F" w14:textId="3E995B03" w:rsidR="002F2FFD" w:rsidRPr="005B54EE" w:rsidRDefault="006E0C3B" w:rsidP="006E0C3B">
      <w:pPr>
        <w:rPr>
          <w:rFonts w:eastAsiaTheme="majorEastAsia"/>
        </w:rPr>
      </w:pPr>
      <w:r w:rsidRPr="005B54EE">
        <w:t>In this context, the French government has decided to</w:t>
      </w:r>
      <w:r w:rsidRPr="005B54EE">
        <w:rPr>
          <w:u w:val="single"/>
        </w:rPr>
        <w:t xml:space="preserve"> group together this law and the planning documents that will be approved at its conclusion</w:t>
      </w:r>
      <w:r w:rsidRPr="005B54EE">
        <w:t xml:space="preserve"> (in terms of mitigation: the SNBC, energy: the MEP, and adaptation: the PNACC (national plan for adaptation to climate change) </w:t>
      </w:r>
      <w:r w:rsidRPr="005B54EE">
        <w:rPr>
          <w:u w:val="single"/>
        </w:rPr>
        <w:t>under a single heading, the French Climate and Energy Strategy (SFEC)</w:t>
      </w:r>
      <w:r w:rsidRPr="005B54EE">
        <w:t>, which is more visible to the general public and makes it possible to deal with the challenges of decarbonisation in a coherent manner and to strengthen the necessary links between climate change mitigation and adaptation policies.</w:t>
      </w:r>
    </w:p>
    <w:p w14:paraId="69E4A994" w14:textId="77777777" w:rsidR="005D35AC" w:rsidRPr="005B54EE" w:rsidRDefault="005D35AC" w:rsidP="005D35AC">
      <w:pPr>
        <w:rPr>
          <w:rFonts w:eastAsiaTheme="majorEastAsia"/>
        </w:rPr>
      </w:pPr>
    </w:p>
    <w:p w14:paraId="044A74ED" w14:textId="40017351" w:rsidR="005D35AC" w:rsidRDefault="005D35AC" w:rsidP="00B04A7C">
      <w:pPr>
        <w:pStyle w:val="Titre3Niveau3"/>
      </w:pPr>
      <w:bookmarkStart w:id="31" w:name="_Toc120883271"/>
      <w:bookmarkStart w:id="32" w:name="_Toc138344664"/>
      <w:r w:rsidRPr="005B54EE">
        <w:t>Update on France's 2020 targets</w:t>
      </w:r>
      <w:bookmarkEnd w:id="31"/>
      <w:bookmarkEnd w:id="32"/>
    </w:p>
    <w:p w14:paraId="343919DD" w14:textId="77777777" w:rsidR="003402E2" w:rsidRDefault="003402E2" w:rsidP="00C50CEB"/>
    <w:p w14:paraId="12B1B68E" w14:textId="687D9139" w:rsidR="003402E2" w:rsidRPr="003402E2" w:rsidRDefault="003402E2" w:rsidP="00C50CEB">
      <w:r w:rsidRPr="003402E2">
        <w:t>At the EU level, total GHG emissions, excluding LULUCF and NF3, and including international aviation reached 3,771 MtCO</w:t>
      </w:r>
      <w:r w:rsidRPr="00C50CEB">
        <w:rPr>
          <w:vertAlign w:val="subscript"/>
        </w:rPr>
        <w:t>2</w:t>
      </w:r>
      <w:r w:rsidRPr="003402E2">
        <w:t xml:space="preserve">e in 2020, a 34% decrease compared to the 1990 base year. </w:t>
      </w:r>
      <w:r w:rsidRPr="00C50CEB">
        <w:rPr>
          <w:b/>
          <w:u w:val="single"/>
        </w:rPr>
        <w:t>The collective target is consequently overachieved</w:t>
      </w:r>
      <w:r w:rsidRPr="003402E2">
        <w:t xml:space="preserve"> by the EU, its Member-States and the United Kingdom (see 5th Biennial Report from the EU).</w:t>
      </w:r>
    </w:p>
    <w:p w14:paraId="73FCA1FA" w14:textId="77777777" w:rsidR="003402E2" w:rsidRDefault="003402E2" w:rsidP="00C50CEB">
      <w:pPr>
        <w:keepNext/>
      </w:pPr>
      <w:r>
        <w:rPr>
          <w:noProof/>
          <w:lang w:val="fr-FR"/>
        </w:rPr>
        <w:drawing>
          <wp:inline distT="0" distB="0" distL="0" distR="0" wp14:anchorId="19117265" wp14:editId="1C890F9D">
            <wp:extent cx="6263640" cy="3872865"/>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63640" cy="3872865"/>
                    </a:xfrm>
                    <a:prstGeom prst="rect">
                      <a:avLst/>
                    </a:prstGeom>
                  </pic:spPr>
                </pic:pic>
              </a:graphicData>
            </a:graphic>
          </wp:inline>
        </w:drawing>
      </w:r>
    </w:p>
    <w:p w14:paraId="047E87A5" w14:textId="6155AD56" w:rsidR="003402E2" w:rsidRDefault="003402E2" w:rsidP="00C50CEB">
      <w:pPr>
        <w:pStyle w:val="Caption"/>
      </w:pPr>
      <w:r>
        <w:t xml:space="preserve">Figure </w:t>
      </w:r>
      <w:fldSimple w:instr=" SEQ Figure \* ARABIC ">
        <w:r>
          <w:rPr>
            <w:noProof/>
          </w:rPr>
          <w:t>11</w:t>
        </w:r>
      </w:fldSimple>
      <w:r>
        <w:t>. Achievement of the EU target under the Convention (Source : EU BR5)</w:t>
      </w:r>
    </w:p>
    <w:p w14:paraId="719F1E32" w14:textId="77777777" w:rsidR="003402E2" w:rsidRPr="003402E2" w:rsidRDefault="003402E2" w:rsidP="003402E2"/>
    <w:p w14:paraId="377459A0" w14:textId="30F386F1" w:rsidR="005D35AC" w:rsidRPr="005B54EE" w:rsidRDefault="003402E2" w:rsidP="005D35AC">
      <w:pPr>
        <w:rPr>
          <w:rFonts w:eastAsiaTheme="majorEastAsia"/>
        </w:rPr>
      </w:pPr>
      <w:r>
        <w:t xml:space="preserve">As for the French target, namely the </w:t>
      </w:r>
      <w:r w:rsidR="005D35AC" w:rsidRPr="005B54EE">
        <w:t>emissions not captured by the ETS, the 2009/406/EC effort-sharing decision set a target for France of -14% relative to 2005 (395.78 MtCO</w:t>
      </w:r>
      <w:r w:rsidR="005D35AC" w:rsidRPr="005B54EE">
        <w:rPr>
          <w:vertAlign w:val="subscript"/>
        </w:rPr>
        <w:t>2eq</w:t>
      </w:r>
      <w:r w:rsidR="005D35AC" w:rsidRPr="005B54EE">
        <w:t>), which corresponds to emissions of 342.4 MtCO2eq in 2020. This target was reached in 2019, with an emission level of 336.4 MtCO</w:t>
      </w:r>
      <w:r w:rsidR="005D35AC" w:rsidRPr="005B54EE">
        <w:rPr>
          <w:vertAlign w:val="subscript"/>
        </w:rPr>
        <w:t>2eq</w:t>
      </w:r>
      <w:r w:rsidR="005D35AC" w:rsidRPr="005B54EE">
        <w:t>, i.e. almost 6 MtCO</w:t>
      </w:r>
      <w:r w:rsidR="005D35AC" w:rsidRPr="005B54EE">
        <w:rPr>
          <w:vertAlign w:val="subscript"/>
        </w:rPr>
        <w:t>2eq</w:t>
      </w:r>
      <w:r w:rsidR="005D35AC" w:rsidRPr="005B54EE">
        <w:t xml:space="preserve"> below the 2020 target. In 2020, ESD emissions stood at 307.8 MtCO</w:t>
      </w:r>
      <w:r w:rsidR="005D35AC" w:rsidRPr="005B54EE">
        <w:rPr>
          <w:vertAlign w:val="subscript"/>
        </w:rPr>
        <w:t>2eq</w:t>
      </w:r>
      <w:r w:rsidR="005D35AC" w:rsidRPr="005B54EE">
        <w:t xml:space="preserve">: </w:t>
      </w:r>
      <w:r w:rsidR="005D35AC" w:rsidRPr="00C50CEB">
        <w:rPr>
          <w:b/>
          <w:u w:val="single"/>
        </w:rPr>
        <w:t>the target was therefore largely exceeded by more than 34 MtCO</w:t>
      </w:r>
      <w:r w:rsidR="005D35AC" w:rsidRPr="00C50CEB">
        <w:rPr>
          <w:b/>
          <w:u w:val="single"/>
          <w:vertAlign w:val="subscript"/>
        </w:rPr>
        <w:t>2eq</w:t>
      </w:r>
      <w:r w:rsidR="005D35AC" w:rsidRPr="005B54EE">
        <w:t>.</w:t>
      </w:r>
      <w:r>
        <w:t xml:space="preserve"> The total cumulative surplus between 2012 and 2020 reaches 185 MtCO</w:t>
      </w:r>
      <w:r w:rsidRPr="00C50CEB">
        <w:rPr>
          <w:vertAlign w:val="subscript"/>
        </w:rPr>
        <w:t>2</w:t>
      </w:r>
      <w:r>
        <w:t>e.</w:t>
      </w:r>
    </w:p>
    <w:p w14:paraId="059F2B71" w14:textId="47EBB86E" w:rsidR="005D35AC" w:rsidRDefault="005D35AC" w:rsidP="005D35AC">
      <w:pPr>
        <w:rPr>
          <w:rFonts w:eastAsiaTheme="majorEastAsia"/>
        </w:rPr>
      </w:pPr>
    </w:p>
    <w:p w14:paraId="3287CE1D" w14:textId="77777777" w:rsidR="003402E2" w:rsidRDefault="003402E2" w:rsidP="003402E2">
      <w:pPr>
        <w:keepNext/>
      </w:pPr>
      <w:r w:rsidRPr="006B0E73">
        <w:rPr>
          <w:rFonts w:eastAsiaTheme="majorEastAsia"/>
          <w:noProof/>
          <w:lang w:val="fr-FR"/>
        </w:rPr>
        <w:drawing>
          <wp:inline distT="0" distB="0" distL="0" distR="0" wp14:anchorId="1F85BC29" wp14:editId="68903DEB">
            <wp:extent cx="6048375" cy="2918460"/>
            <wp:effectExtent l="0" t="0" r="9525" b="1524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FB089A" w14:textId="1774EB21" w:rsidR="003402E2" w:rsidRPr="00C50CEB" w:rsidRDefault="003402E2" w:rsidP="003402E2">
      <w:pPr>
        <w:pStyle w:val="Caption"/>
        <w:rPr>
          <w:noProof/>
          <w:lang w:val="en-US"/>
        </w:rPr>
      </w:pPr>
      <w:r w:rsidRPr="00C73940">
        <w:rPr>
          <w:lang w:val="en-US"/>
        </w:rPr>
        <w:t xml:space="preserve">Figure </w:t>
      </w:r>
      <w:r>
        <w:fldChar w:fldCharType="begin"/>
      </w:r>
      <w:r w:rsidRPr="00C73940">
        <w:rPr>
          <w:lang w:val="en-US"/>
        </w:rPr>
        <w:instrText xml:space="preserve"> SEQ Figure \* ARABIC </w:instrText>
      </w:r>
      <w:r>
        <w:fldChar w:fldCharType="separate"/>
      </w:r>
      <w:r w:rsidRPr="00C73940">
        <w:rPr>
          <w:noProof/>
          <w:lang w:val="en-US"/>
        </w:rPr>
        <w:t>12</w:t>
      </w:r>
      <w:r>
        <w:fldChar w:fldCharType="end"/>
      </w:r>
      <w:r w:rsidRPr="00C73940">
        <w:rPr>
          <w:lang w:val="en-US"/>
        </w:rPr>
        <w:t xml:space="preserve">. </w:t>
      </w:r>
      <w:r w:rsidRPr="00C50CEB">
        <w:rPr>
          <w:lang w:val="en-US"/>
        </w:rPr>
        <w:t xml:space="preserve">Historical emissions from France within the ESD perimeter, and annual emissions targets under the ESD </w:t>
      </w:r>
      <w:r w:rsidRPr="00C50CEB">
        <w:rPr>
          <w:noProof/>
          <w:lang w:val="en-US"/>
        </w:rPr>
        <w:t>(Source : MTE-DGEC)</w:t>
      </w:r>
    </w:p>
    <w:p w14:paraId="37E4C4A3" w14:textId="77777777" w:rsidR="003402E2" w:rsidRPr="00C50CEB" w:rsidRDefault="003402E2" w:rsidP="005D35AC">
      <w:pPr>
        <w:rPr>
          <w:rFonts w:eastAsiaTheme="majorEastAsia"/>
          <w:lang w:val="en-US"/>
        </w:rPr>
      </w:pPr>
    </w:p>
    <w:p w14:paraId="46523922" w14:textId="77777777" w:rsidR="005D35AC" w:rsidRPr="005B54EE" w:rsidRDefault="005D35AC" w:rsidP="005D35AC">
      <w:pPr>
        <w:rPr>
          <w:rFonts w:eastAsiaTheme="majorEastAsia"/>
        </w:rPr>
      </w:pPr>
      <w:r w:rsidRPr="005B54EE">
        <w:t>The monitoring process was standardised for all European Member States through the Regulation establishing a monitoring mechanism for greenhouse gas emissions. The use of flexible mechanisms is possible under the EU-ETS and ESD (for the use of Emission Reduction Units (ERUs) and Certified Emission Reductions (CERs) under the ETS, see the EU biennial report).</w:t>
      </w:r>
    </w:p>
    <w:p w14:paraId="5B66B833" w14:textId="77777777" w:rsidR="005D35AC" w:rsidRPr="005B54EE" w:rsidRDefault="005D35AC" w:rsidP="005D35AC">
      <w:pPr>
        <w:rPr>
          <w:rFonts w:eastAsiaTheme="majorEastAsia"/>
        </w:rPr>
      </w:pPr>
      <w:r w:rsidRPr="005B54EE">
        <w:t xml:space="preserve">The ESD allows Member States to use flexibility clauses to meet their annual obligations with a 3% limit on the use of project-based credits for each Member State. As France also exceeded its targets under the EU-ETS, no such flexibility was required. </w:t>
      </w:r>
    </w:p>
    <w:p w14:paraId="0EB5571E" w14:textId="77777777" w:rsidR="005D35AC" w:rsidRPr="005B54EE" w:rsidRDefault="005D35AC" w:rsidP="005D35AC">
      <w:pPr>
        <w:rPr>
          <w:rFonts w:eastAsiaTheme="majorEastAsia"/>
        </w:rPr>
      </w:pPr>
      <w:r w:rsidRPr="005B54EE">
        <w:t>If these credits are not used, the unused portion for that year can be transferred to other Member States or reserved for the Member State's own use until 2020.</w:t>
      </w:r>
    </w:p>
    <w:p w14:paraId="5DDBE487" w14:textId="77777777" w:rsidR="005D35AC" w:rsidRPr="005B54EE" w:rsidRDefault="005D35AC" w:rsidP="005D35AC">
      <w:pPr>
        <w:rPr>
          <w:rFonts w:eastAsiaTheme="majorEastAsia"/>
        </w:rPr>
      </w:pPr>
    </w:p>
    <w:p w14:paraId="57DAE596" w14:textId="77777777" w:rsidR="005D35AC" w:rsidRPr="005B54EE" w:rsidRDefault="005D35AC" w:rsidP="005D35AC">
      <w:pPr>
        <w:rPr>
          <w:rFonts w:eastAsiaTheme="majorEastAsia"/>
        </w:rPr>
      </w:pPr>
      <w:r w:rsidRPr="005B54EE">
        <w:t>The reporting tables for the emission reduction targets are shown below.</w:t>
      </w:r>
    </w:p>
    <w:p w14:paraId="03A67D78" w14:textId="77777777" w:rsidR="005D35AC" w:rsidRPr="005B54EE" w:rsidRDefault="005D35AC" w:rsidP="005D35AC">
      <w:pPr>
        <w:rPr>
          <w:rFonts w:eastAsiaTheme="majorEastAsia"/>
        </w:rPr>
      </w:pPr>
    </w:p>
    <w:tbl>
      <w:tblPr>
        <w:tblW w:w="5000" w:type="pct"/>
        <w:tblInd w:w="-140" w:type="dxa"/>
        <w:tblCellMar>
          <w:left w:w="70" w:type="dxa"/>
          <w:right w:w="70" w:type="dxa"/>
        </w:tblCellMar>
        <w:tblLook w:val="00A0" w:firstRow="1" w:lastRow="0" w:firstColumn="1" w:lastColumn="0" w:noHBand="0" w:noVBand="0"/>
      </w:tblPr>
      <w:tblGrid>
        <w:gridCol w:w="5478"/>
        <w:gridCol w:w="2657"/>
        <w:gridCol w:w="159"/>
        <w:gridCol w:w="1570"/>
      </w:tblGrid>
      <w:tr w:rsidR="005D35AC" w:rsidRPr="005B54EE" w14:paraId="30140659" w14:textId="77777777" w:rsidTr="005D35AC">
        <w:trPr>
          <w:trHeight w:val="300"/>
        </w:trPr>
        <w:tc>
          <w:tcPr>
            <w:tcW w:w="5478" w:type="dxa"/>
            <w:shd w:val="clear" w:color="auto" w:fill="auto"/>
            <w:vAlign w:val="center"/>
          </w:tcPr>
          <w:p w14:paraId="25280D22" w14:textId="77777777" w:rsidR="005D35AC" w:rsidRPr="005B54EE" w:rsidRDefault="005D35AC" w:rsidP="005D35AC">
            <w:pPr>
              <w:pageBreakBefore/>
              <w:suppressAutoHyphens/>
            </w:pPr>
            <w:r w:rsidRPr="005B54EE">
              <w:rPr>
                <w:color w:val="000000"/>
                <w:sz w:val="18"/>
              </w:rPr>
              <w:t xml:space="preserve">Table 2(a) </w:t>
            </w:r>
          </w:p>
        </w:tc>
        <w:tc>
          <w:tcPr>
            <w:tcW w:w="2657" w:type="dxa"/>
            <w:shd w:val="clear" w:color="auto" w:fill="auto"/>
            <w:vAlign w:val="center"/>
          </w:tcPr>
          <w:p w14:paraId="0C8C8F19" w14:textId="77777777" w:rsidR="005D35AC" w:rsidRPr="005B54EE" w:rsidRDefault="005D35AC" w:rsidP="005D35AC">
            <w:pPr>
              <w:suppressAutoHyphens/>
              <w:rPr>
                <w:color w:val="000000"/>
                <w:sz w:val="18"/>
                <w:szCs w:val="18"/>
              </w:rPr>
            </w:pPr>
          </w:p>
        </w:tc>
        <w:tc>
          <w:tcPr>
            <w:tcW w:w="1729" w:type="dxa"/>
            <w:gridSpan w:val="2"/>
            <w:shd w:val="clear" w:color="auto" w:fill="auto"/>
            <w:vAlign w:val="center"/>
          </w:tcPr>
          <w:p w14:paraId="075A58F9" w14:textId="2DA0D51C" w:rsidR="005D35AC" w:rsidRPr="005B54EE" w:rsidRDefault="005D35AC" w:rsidP="005D35AC">
            <w:pPr>
              <w:suppressAutoHyphens/>
              <w:rPr>
                <w:color w:val="000000"/>
                <w:sz w:val="18"/>
                <w:szCs w:val="18"/>
              </w:rPr>
            </w:pPr>
          </w:p>
        </w:tc>
      </w:tr>
      <w:tr w:rsidR="005D35AC" w:rsidRPr="005B54EE" w14:paraId="59114D54" w14:textId="77777777" w:rsidTr="005D35AC">
        <w:trPr>
          <w:trHeight w:val="360"/>
        </w:trPr>
        <w:tc>
          <w:tcPr>
            <w:tcW w:w="9864" w:type="dxa"/>
            <w:gridSpan w:val="4"/>
            <w:shd w:val="clear" w:color="auto" w:fill="auto"/>
            <w:vAlign w:val="center"/>
          </w:tcPr>
          <w:p w14:paraId="0B445F86" w14:textId="77777777" w:rsidR="005D35AC" w:rsidRPr="005B54EE" w:rsidRDefault="005D35AC" w:rsidP="005D35AC">
            <w:pPr>
              <w:suppressAutoHyphens/>
              <w:spacing w:before="120"/>
              <w:rPr>
                <w:b/>
                <w:bCs/>
                <w:color w:val="000000"/>
                <w:sz w:val="18"/>
                <w:szCs w:val="18"/>
              </w:rPr>
            </w:pPr>
            <w:r w:rsidRPr="005B54EE">
              <w:rPr>
                <w:b/>
                <w:color w:val="000000"/>
                <w:sz w:val="18"/>
                <w:lang w:val="en-US"/>
              </w:rPr>
              <w:t>Description of quantified economy-wide emission reduction target: base year</w:t>
            </w:r>
            <w:r w:rsidRPr="005B54EE">
              <w:rPr>
                <w:i/>
                <w:color w:val="000000"/>
                <w:sz w:val="18"/>
                <w:vertAlign w:val="superscript"/>
                <w:lang w:val="en-US"/>
              </w:rPr>
              <w:t>a</w:t>
            </w:r>
            <w:r w:rsidRPr="005B54EE">
              <w:rPr>
                <w:color w:val="000000"/>
                <w:sz w:val="18"/>
                <w:lang w:val="en-US"/>
              </w:rPr>
              <w:t> </w:t>
            </w:r>
          </w:p>
        </w:tc>
      </w:tr>
      <w:tr w:rsidR="005D35AC" w:rsidRPr="005B54EE" w14:paraId="45E8280E" w14:textId="77777777" w:rsidTr="005D35AC">
        <w:trPr>
          <w:trHeight w:val="300"/>
        </w:trPr>
        <w:tc>
          <w:tcPr>
            <w:tcW w:w="5478" w:type="dxa"/>
            <w:shd w:val="clear" w:color="auto" w:fill="auto"/>
            <w:vAlign w:val="center"/>
          </w:tcPr>
          <w:p w14:paraId="07D06B75" w14:textId="77777777" w:rsidR="005D35AC" w:rsidRPr="005B54EE" w:rsidRDefault="005D35AC" w:rsidP="005D35AC">
            <w:pPr>
              <w:suppressAutoHyphens/>
              <w:rPr>
                <w:b/>
                <w:bCs/>
                <w:color w:val="000000"/>
                <w:sz w:val="18"/>
                <w:szCs w:val="18"/>
                <w:lang w:val="en-US"/>
              </w:rPr>
            </w:pPr>
          </w:p>
        </w:tc>
        <w:tc>
          <w:tcPr>
            <w:tcW w:w="2816" w:type="dxa"/>
            <w:gridSpan w:val="2"/>
            <w:shd w:val="clear" w:color="auto" w:fill="auto"/>
            <w:vAlign w:val="center"/>
          </w:tcPr>
          <w:p w14:paraId="61B7161C" w14:textId="77777777" w:rsidR="005D35AC" w:rsidRPr="005B54EE" w:rsidRDefault="005D35AC" w:rsidP="005D35AC">
            <w:pPr>
              <w:suppressAutoHyphens/>
              <w:rPr>
                <w:color w:val="000000"/>
                <w:sz w:val="18"/>
                <w:szCs w:val="18"/>
                <w:lang w:val="en-US"/>
              </w:rPr>
            </w:pPr>
          </w:p>
        </w:tc>
        <w:tc>
          <w:tcPr>
            <w:tcW w:w="1570" w:type="dxa"/>
            <w:shd w:val="clear" w:color="auto" w:fill="auto"/>
            <w:vAlign w:val="center"/>
          </w:tcPr>
          <w:p w14:paraId="47D80943" w14:textId="77777777" w:rsidR="005D35AC" w:rsidRPr="005B54EE" w:rsidRDefault="005D35AC" w:rsidP="005D35AC">
            <w:pPr>
              <w:suppressAutoHyphens/>
              <w:ind w:left="101" w:hanging="101"/>
              <w:rPr>
                <w:color w:val="000000"/>
                <w:sz w:val="18"/>
                <w:szCs w:val="18"/>
                <w:lang w:val="en-US"/>
              </w:rPr>
            </w:pPr>
          </w:p>
        </w:tc>
      </w:tr>
      <w:tr w:rsidR="005D35AC" w:rsidRPr="005B54EE" w14:paraId="7B53469B" w14:textId="77777777" w:rsidTr="005D35AC">
        <w:trPr>
          <w:trHeight w:val="300"/>
        </w:trPr>
        <w:tc>
          <w:tcPr>
            <w:tcW w:w="5478" w:type="dxa"/>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76557D52" w14:textId="77777777" w:rsidR="005D35AC" w:rsidRPr="005B54EE" w:rsidRDefault="005D35AC" w:rsidP="005D35AC">
            <w:pPr>
              <w:suppressAutoHyphens/>
              <w:jc w:val="left"/>
              <w:rPr>
                <w:i/>
                <w:iCs/>
                <w:color w:val="000000"/>
                <w:sz w:val="18"/>
                <w:szCs w:val="18"/>
              </w:rPr>
            </w:pPr>
            <w:r w:rsidRPr="005B54EE">
              <w:rPr>
                <w:i/>
                <w:color w:val="000000"/>
                <w:sz w:val="18"/>
              </w:rPr>
              <w:t>Party</w:t>
            </w:r>
          </w:p>
        </w:tc>
        <w:tc>
          <w:tcPr>
            <w:tcW w:w="4386" w:type="dxa"/>
            <w:gridSpan w:val="3"/>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48B5A3A2" w14:textId="77777777" w:rsidR="005D35AC" w:rsidRPr="005B54EE" w:rsidRDefault="005D35AC" w:rsidP="005D35AC">
            <w:pPr>
              <w:suppressAutoHyphens/>
              <w:ind w:left="101" w:hanging="101"/>
              <w:jc w:val="left"/>
              <w:rPr>
                <w:i/>
                <w:iCs/>
                <w:color w:val="000000"/>
                <w:sz w:val="18"/>
                <w:szCs w:val="18"/>
              </w:rPr>
            </w:pPr>
            <w:r w:rsidRPr="005B54EE">
              <w:rPr>
                <w:i/>
                <w:sz w:val="18"/>
              </w:rPr>
              <w:t>France</w:t>
            </w:r>
          </w:p>
        </w:tc>
      </w:tr>
      <w:tr w:rsidR="005D35AC" w:rsidRPr="005B54EE" w14:paraId="7E418B90" w14:textId="77777777" w:rsidTr="005D35AC">
        <w:trPr>
          <w:trHeight w:val="300"/>
        </w:trPr>
        <w:tc>
          <w:tcPr>
            <w:tcW w:w="5478" w:type="dxa"/>
            <w:tcBorders>
              <w:left w:val="single" w:sz="4" w:space="0" w:color="D8D8D8"/>
              <w:right w:val="single" w:sz="4" w:space="0" w:color="D8D8D8"/>
            </w:tcBorders>
            <w:shd w:val="clear" w:color="auto" w:fill="auto"/>
            <w:tcMar>
              <w:left w:w="0" w:type="dxa"/>
            </w:tcMar>
            <w:vAlign w:val="center"/>
          </w:tcPr>
          <w:p w14:paraId="44C89075" w14:textId="77777777" w:rsidR="005D35AC" w:rsidRPr="005B54EE" w:rsidRDefault="005D35AC" w:rsidP="005D35AC">
            <w:pPr>
              <w:suppressAutoHyphens/>
              <w:jc w:val="left"/>
              <w:rPr>
                <w:color w:val="000000"/>
                <w:sz w:val="18"/>
                <w:szCs w:val="18"/>
              </w:rPr>
            </w:pPr>
            <w:r w:rsidRPr="005B54EE">
              <w:rPr>
                <w:color w:val="000000"/>
                <w:sz w:val="18"/>
                <w:lang w:val="en-US"/>
              </w:rPr>
              <w:t>Base year / base period</w:t>
            </w:r>
          </w:p>
        </w:tc>
        <w:tc>
          <w:tcPr>
            <w:tcW w:w="4386" w:type="dxa"/>
            <w:gridSpan w:val="3"/>
            <w:tcBorders>
              <w:top w:val="single" w:sz="4" w:space="0" w:color="00000A"/>
              <w:left w:val="single" w:sz="4" w:space="0" w:color="D8D8D8"/>
              <w:right w:val="single" w:sz="4" w:space="0" w:color="D8D8D8"/>
            </w:tcBorders>
            <w:shd w:val="clear" w:color="auto" w:fill="auto"/>
            <w:tcMar>
              <w:left w:w="0" w:type="dxa"/>
            </w:tcMar>
            <w:vAlign w:val="center"/>
          </w:tcPr>
          <w:p w14:paraId="5D5AC4EC" w14:textId="77777777" w:rsidR="005D35AC" w:rsidRPr="005B54EE" w:rsidRDefault="005D35AC" w:rsidP="005D35AC">
            <w:pPr>
              <w:suppressAutoHyphens/>
              <w:ind w:left="101" w:hanging="101"/>
              <w:jc w:val="left"/>
              <w:rPr>
                <w:color w:val="000000"/>
                <w:sz w:val="18"/>
                <w:szCs w:val="18"/>
              </w:rPr>
            </w:pPr>
            <w:r w:rsidRPr="005B54EE">
              <w:rPr>
                <w:sz w:val="18"/>
                <w:lang w:val="en-US"/>
              </w:rPr>
              <w:t>1990</w:t>
            </w:r>
          </w:p>
        </w:tc>
      </w:tr>
      <w:tr w:rsidR="005D35AC" w:rsidRPr="005B54EE" w14:paraId="0672EB2A" w14:textId="77777777" w:rsidTr="005D35AC">
        <w:trPr>
          <w:cantSplit/>
          <w:trHeight w:val="360"/>
        </w:trPr>
        <w:tc>
          <w:tcPr>
            <w:tcW w:w="5478" w:type="dxa"/>
            <w:vMerge w:val="restart"/>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339420DA" w14:textId="77777777" w:rsidR="005D35AC" w:rsidRPr="005B54EE" w:rsidRDefault="005D35AC" w:rsidP="005D35AC">
            <w:pPr>
              <w:suppressAutoHyphens/>
              <w:jc w:val="left"/>
              <w:rPr>
                <w:color w:val="000000"/>
                <w:sz w:val="18"/>
                <w:szCs w:val="18"/>
              </w:rPr>
            </w:pPr>
            <w:r w:rsidRPr="005B54EE">
              <w:rPr>
                <w:color w:val="000000"/>
                <w:sz w:val="18"/>
                <w:lang w:val="en-US"/>
              </w:rPr>
              <w:t xml:space="preserve">Emission reduction target </w:t>
            </w:r>
          </w:p>
        </w:tc>
        <w:tc>
          <w:tcPr>
            <w:tcW w:w="2816" w:type="dxa"/>
            <w:gridSpan w:val="2"/>
            <w:tcBorders>
              <w:top w:val="single" w:sz="4" w:space="0" w:color="00000A"/>
              <w:left w:val="single" w:sz="4" w:space="0" w:color="D8D8D8"/>
              <w:right w:val="single" w:sz="4" w:space="0" w:color="D8D8D8"/>
            </w:tcBorders>
            <w:shd w:val="clear" w:color="auto" w:fill="auto"/>
            <w:tcMar>
              <w:left w:w="0" w:type="dxa"/>
            </w:tcMar>
            <w:vAlign w:val="center"/>
          </w:tcPr>
          <w:p w14:paraId="54BD29AE" w14:textId="77777777" w:rsidR="005D35AC" w:rsidRPr="005B54EE" w:rsidRDefault="005D35AC" w:rsidP="005D35AC">
            <w:pPr>
              <w:suppressAutoHyphens/>
              <w:jc w:val="left"/>
              <w:rPr>
                <w:color w:val="000000"/>
                <w:sz w:val="18"/>
                <w:szCs w:val="18"/>
              </w:rPr>
            </w:pPr>
            <w:r w:rsidRPr="005B54EE">
              <w:rPr>
                <w:color w:val="000000"/>
                <w:sz w:val="18"/>
                <w:lang w:val="en-US"/>
              </w:rPr>
              <w:t xml:space="preserve">% of base year/base period </w:t>
            </w:r>
          </w:p>
        </w:tc>
        <w:tc>
          <w:tcPr>
            <w:tcW w:w="1570" w:type="dxa"/>
            <w:tcBorders>
              <w:top w:val="single" w:sz="4" w:space="0" w:color="00000A"/>
              <w:left w:val="single" w:sz="4" w:space="0" w:color="D8D8D8"/>
              <w:right w:val="single" w:sz="4" w:space="0" w:color="D8D8D8"/>
            </w:tcBorders>
            <w:shd w:val="clear" w:color="auto" w:fill="auto"/>
            <w:tcMar>
              <w:left w:w="0" w:type="dxa"/>
            </w:tcMar>
            <w:vAlign w:val="center"/>
          </w:tcPr>
          <w:p w14:paraId="77F4D3EC" w14:textId="77777777" w:rsidR="005D35AC" w:rsidRPr="005B54EE" w:rsidRDefault="005D35AC" w:rsidP="005D35AC">
            <w:pPr>
              <w:suppressAutoHyphens/>
              <w:ind w:left="101" w:hanging="101"/>
              <w:jc w:val="left"/>
              <w:rPr>
                <w:color w:val="000000"/>
                <w:sz w:val="18"/>
                <w:szCs w:val="18"/>
              </w:rPr>
            </w:pPr>
            <w:r w:rsidRPr="005B54EE">
              <w:rPr>
                <w:color w:val="000000"/>
                <w:sz w:val="18"/>
                <w:lang w:val="en-US"/>
              </w:rPr>
              <w:t xml:space="preserve">% of 1990 </w:t>
            </w:r>
            <w:r w:rsidRPr="005B54EE">
              <w:rPr>
                <w:color w:val="000000"/>
                <w:sz w:val="18"/>
                <w:vertAlign w:val="superscript"/>
                <w:lang w:val="en-US"/>
              </w:rPr>
              <w:t>b</w:t>
            </w:r>
          </w:p>
        </w:tc>
      </w:tr>
      <w:tr w:rsidR="005D35AC" w:rsidRPr="005B54EE" w14:paraId="5C62E6E6" w14:textId="77777777" w:rsidTr="005D35AC">
        <w:trPr>
          <w:cantSplit/>
          <w:trHeight w:val="300"/>
        </w:trPr>
        <w:tc>
          <w:tcPr>
            <w:tcW w:w="5478" w:type="dxa"/>
            <w:vMerge/>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01B4696D" w14:textId="77777777" w:rsidR="005D35AC" w:rsidRPr="005B54EE" w:rsidRDefault="005D35AC" w:rsidP="005D35AC">
            <w:pPr>
              <w:suppressAutoHyphens/>
              <w:jc w:val="left"/>
              <w:rPr>
                <w:color w:val="000000"/>
                <w:sz w:val="18"/>
                <w:szCs w:val="18"/>
                <w:lang w:val="en-US"/>
              </w:rPr>
            </w:pPr>
          </w:p>
        </w:tc>
        <w:tc>
          <w:tcPr>
            <w:tcW w:w="2816" w:type="dxa"/>
            <w:gridSpan w:val="2"/>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013D32CC" w14:textId="77777777" w:rsidR="005D35AC" w:rsidRPr="005B54EE" w:rsidRDefault="005D35AC" w:rsidP="005D35AC">
            <w:pPr>
              <w:suppressAutoHyphens/>
              <w:jc w:val="left"/>
              <w:rPr>
                <w:color w:val="000000"/>
                <w:sz w:val="18"/>
                <w:szCs w:val="18"/>
              </w:rPr>
            </w:pPr>
            <w:r w:rsidRPr="005B54EE">
              <w:rPr>
                <w:sz w:val="18"/>
                <w:lang w:val="en-US"/>
              </w:rPr>
              <w:t>20.00</w:t>
            </w:r>
          </w:p>
        </w:tc>
        <w:tc>
          <w:tcPr>
            <w:tcW w:w="1570" w:type="dxa"/>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23D2786E" w14:textId="77777777" w:rsidR="005D35AC" w:rsidRPr="005B54EE" w:rsidRDefault="005D35AC" w:rsidP="005D35AC">
            <w:pPr>
              <w:suppressAutoHyphens/>
              <w:ind w:left="101" w:hanging="101"/>
              <w:jc w:val="left"/>
              <w:rPr>
                <w:color w:val="000000"/>
                <w:sz w:val="18"/>
                <w:szCs w:val="18"/>
              </w:rPr>
            </w:pPr>
            <w:r w:rsidRPr="005B54EE">
              <w:rPr>
                <w:sz w:val="18"/>
                <w:lang w:val="en-US"/>
              </w:rPr>
              <w:t>20.00</w:t>
            </w:r>
          </w:p>
        </w:tc>
      </w:tr>
      <w:tr w:rsidR="005D35AC" w:rsidRPr="005B54EE" w14:paraId="3E552ECD" w14:textId="77777777" w:rsidTr="005D35AC">
        <w:trPr>
          <w:trHeight w:val="300"/>
        </w:trPr>
        <w:tc>
          <w:tcPr>
            <w:tcW w:w="5478" w:type="dxa"/>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5940F589" w14:textId="77777777" w:rsidR="005D35AC" w:rsidRPr="005B54EE" w:rsidRDefault="005D35AC" w:rsidP="005D35AC">
            <w:pPr>
              <w:suppressAutoHyphens/>
              <w:jc w:val="left"/>
              <w:rPr>
                <w:color w:val="000000"/>
                <w:sz w:val="18"/>
                <w:szCs w:val="18"/>
              </w:rPr>
            </w:pPr>
            <w:r w:rsidRPr="005B54EE">
              <w:rPr>
                <w:color w:val="000000"/>
                <w:sz w:val="18"/>
                <w:lang w:val="en-US"/>
              </w:rPr>
              <w:t xml:space="preserve">Period for reaching target </w:t>
            </w:r>
          </w:p>
        </w:tc>
        <w:tc>
          <w:tcPr>
            <w:tcW w:w="4386" w:type="dxa"/>
            <w:gridSpan w:val="3"/>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2C186130" w14:textId="77777777" w:rsidR="005D35AC" w:rsidRPr="005B54EE" w:rsidRDefault="005D35AC" w:rsidP="005D35AC">
            <w:pPr>
              <w:suppressAutoHyphens/>
              <w:ind w:left="101" w:hanging="101"/>
              <w:jc w:val="left"/>
              <w:rPr>
                <w:color w:val="000000"/>
                <w:sz w:val="18"/>
                <w:szCs w:val="18"/>
              </w:rPr>
            </w:pPr>
            <w:r w:rsidRPr="005B54EE">
              <w:rPr>
                <w:sz w:val="18"/>
                <w:lang w:val="en-US"/>
              </w:rPr>
              <w:t>BY-2020</w:t>
            </w:r>
          </w:p>
        </w:tc>
      </w:tr>
      <w:tr w:rsidR="005D35AC" w:rsidRPr="005B54EE" w14:paraId="3379980C" w14:textId="77777777" w:rsidTr="005D35AC">
        <w:trPr>
          <w:trHeight w:val="300"/>
        </w:trPr>
        <w:tc>
          <w:tcPr>
            <w:tcW w:w="9864" w:type="dxa"/>
            <w:gridSpan w:val="4"/>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64F1496F" w14:textId="77777777" w:rsidR="005D35AC" w:rsidRPr="005B54EE" w:rsidRDefault="005D35AC" w:rsidP="005D35AC">
            <w:pPr>
              <w:suppressAutoHyphens/>
              <w:rPr>
                <w:color w:val="000000"/>
                <w:sz w:val="18"/>
                <w:szCs w:val="18"/>
              </w:rPr>
            </w:pPr>
            <w:r w:rsidRPr="005B54EE">
              <w:rPr>
                <w:color w:val="000000"/>
                <w:sz w:val="18"/>
                <w:lang w:val="en-US"/>
              </w:rPr>
              <w:t>a   Reporting by a developed country Party on the information specified in the common tabular format does not prejudge the position of other Parties with regard to the treatment of units from market-based mechanisms under the Convention or other market-based mechanisms towards achievement of quantified economy-wide emission reduction targets.</w:t>
            </w:r>
          </w:p>
          <w:p w14:paraId="179B14CC" w14:textId="77777777" w:rsidR="005D35AC" w:rsidRPr="005B54EE" w:rsidRDefault="005D35AC" w:rsidP="005D35AC">
            <w:pPr>
              <w:suppressAutoHyphens/>
              <w:ind w:left="101" w:hanging="101"/>
              <w:jc w:val="left"/>
              <w:rPr>
                <w:sz w:val="18"/>
                <w:szCs w:val="18"/>
                <w:lang w:val="en-US"/>
              </w:rPr>
            </w:pPr>
          </w:p>
        </w:tc>
      </w:tr>
      <w:tr w:rsidR="005D35AC" w:rsidRPr="005B54EE" w14:paraId="74F6EDD0" w14:textId="77777777" w:rsidTr="005D35AC">
        <w:trPr>
          <w:trHeight w:val="300"/>
        </w:trPr>
        <w:tc>
          <w:tcPr>
            <w:tcW w:w="9864" w:type="dxa"/>
            <w:gridSpan w:val="4"/>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5ACAD834" w14:textId="77777777" w:rsidR="005D35AC" w:rsidRPr="005B54EE" w:rsidRDefault="005D35AC" w:rsidP="005D35AC">
            <w:pPr>
              <w:suppressAutoHyphens/>
              <w:rPr>
                <w:color w:val="000000"/>
                <w:sz w:val="18"/>
                <w:szCs w:val="18"/>
              </w:rPr>
            </w:pPr>
            <w:r w:rsidRPr="005B54EE">
              <w:rPr>
                <w:color w:val="000000"/>
                <w:sz w:val="18"/>
                <w:lang w:val="en-US"/>
              </w:rPr>
              <w:t>b   Optional.</w:t>
            </w:r>
          </w:p>
          <w:p w14:paraId="32D5268C" w14:textId="77777777" w:rsidR="005D35AC" w:rsidRPr="005B54EE" w:rsidRDefault="005D35AC" w:rsidP="005D35AC">
            <w:pPr>
              <w:suppressAutoHyphens/>
              <w:rPr>
                <w:color w:val="000000"/>
                <w:sz w:val="18"/>
                <w:szCs w:val="18"/>
                <w:lang w:val="en-US"/>
              </w:rPr>
            </w:pPr>
          </w:p>
          <w:p w14:paraId="363492AA" w14:textId="385BB138" w:rsidR="005D35AC" w:rsidRPr="005B54EE" w:rsidRDefault="005D35AC" w:rsidP="005D35AC">
            <w:pPr>
              <w:suppressAutoHyphens/>
              <w:rPr>
                <w:color w:val="000000"/>
                <w:sz w:val="18"/>
                <w:szCs w:val="18"/>
              </w:rPr>
            </w:pPr>
            <w:r w:rsidRPr="005B54EE">
              <w:rPr>
                <w:color w:val="000000"/>
                <w:sz w:val="18"/>
                <w:lang w:val="en-US"/>
              </w:rPr>
              <w:t>Comments : ETS sectors targets (emissions from stationnary installations): Start in 2013 based on yearly reduction equal to 1.74% of the average allocation in the period 2008-2012, extrapolated starting in 2010 and leading to a -21% GHG reduction compared to 2005 in 2020</w:t>
            </w:r>
          </w:p>
          <w:p w14:paraId="19EB5A61" w14:textId="63392348" w:rsidR="005D35AC" w:rsidRPr="005B54EE" w:rsidRDefault="000863E6" w:rsidP="005D35AC">
            <w:pPr>
              <w:suppressAutoHyphens/>
              <w:rPr>
                <w:sz w:val="18"/>
                <w:szCs w:val="18"/>
              </w:rPr>
            </w:pPr>
            <w:r w:rsidRPr="005B54EE">
              <w:rPr>
                <w:color w:val="000000"/>
                <w:sz w:val="18"/>
                <w:lang w:val="en-US"/>
              </w:rPr>
              <w:t>ESD sectors targets (sectors not included in the EU ETS such as transports, buildings, services, agriculture and waste) : Members state specific targets start in 2013 based on average emissions 2008 to 2010 and lead to a collective reduction of around -10% compared to 2005 in 2020.</w:t>
            </w:r>
          </w:p>
        </w:tc>
      </w:tr>
      <w:tr w:rsidR="005D35AC" w:rsidRPr="005B54EE" w14:paraId="5C70B6FC" w14:textId="77777777" w:rsidTr="005D35AC">
        <w:trPr>
          <w:trHeight w:val="300"/>
        </w:trPr>
        <w:tc>
          <w:tcPr>
            <w:tcW w:w="5478" w:type="dxa"/>
            <w:shd w:val="clear" w:color="auto" w:fill="auto"/>
            <w:vAlign w:val="center"/>
          </w:tcPr>
          <w:tbl>
            <w:tblPr>
              <w:tblpPr w:leftFromText="141" w:rightFromText="141" w:vertAnchor="text" w:horzAnchor="page" w:tblpX="751" w:tblpY="1097"/>
              <w:tblOverlap w:val="never"/>
              <w:tblW w:w="4842" w:type="pct"/>
              <w:tblCellMar>
                <w:left w:w="70" w:type="dxa"/>
                <w:right w:w="70" w:type="dxa"/>
              </w:tblCellMar>
              <w:tblLook w:val="00A0" w:firstRow="1" w:lastRow="0" w:firstColumn="1" w:lastColumn="0" w:noHBand="0" w:noVBand="0"/>
            </w:tblPr>
            <w:tblGrid>
              <w:gridCol w:w="5169"/>
            </w:tblGrid>
            <w:tr w:rsidR="005D35AC" w:rsidRPr="005B54EE" w14:paraId="5F5B8E9A" w14:textId="77777777" w:rsidTr="005D35AC">
              <w:trPr>
                <w:trHeight w:val="1065"/>
              </w:trPr>
              <w:tc>
                <w:tcPr>
                  <w:tcW w:w="5169" w:type="dxa"/>
                  <w:shd w:val="clear" w:color="auto" w:fill="auto"/>
                  <w:vAlign w:val="center"/>
                </w:tcPr>
                <w:p w14:paraId="400E35B4" w14:textId="77777777" w:rsidR="005D35AC" w:rsidRPr="005B54EE" w:rsidRDefault="005D35AC" w:rsidP="005D35AC">
                  <w:pPr>
                    <w:suppressAutoHyphens/>
                    <w:rPr>
                      <w:color w:val="000000"/>
                      <w:sz w:val="18"/>
                      <w:szCs w:val="18"/>
                      <w:lang w:val="en-US"/>
                    </w:rPr>
                  </w:pPr>
                </w:p>
                <w:p w14:paraId="7C2F1F04" w14:textId="77777777" w:rsidR="005D35AC" w:rsidRPr="005B54EE" w:rsidRDefault="005D35AC" w:rsidP="005D35AC">
                  <w:pPr>
                    <w:suppressAutoHyphens/>
                    <w:rPr>
                      <w:color w:val="000000"/>
                      <w:sz w:val="18"/>
                      <w:szCs w:val="18"/>
                      <w:lang w:val="en-US"/>
                    </w:rPr>
                  </w:pPr>
                </w:p>
                <w:p w14:paraId="36C5DA7C" w14:textId="77777777" w:rsidR="005D35AC" w:rsidRPr="005B54EE" w:rsidRDefault="005D35AC" w:rsidP="005D35AC">
                  <w:pPr>
                    <w:suppressAutoHyphens/>
                    <w:rPr>
                      <w:color w:val="000000"/>
                      <w:sz w:val="18"/>
                      <w:szCs w:val="18"/>
                      <w:lang w:val="en-US"/>
                    </w:rPr>
                  </w:pPr>
                </w:p>
              </w:tc>
            </w:tr>
          </w:tbl>
          <w:p w14:paraId="567A95B1" w14:textId="77777777" w:rsidR="005D35AC" w:rsidRPr="005B54EE" w:rsidRDefault="005D35AC" w:rsidP="005D35AC">
            <w:pPr>
              <w:suppressAutoHyphens/>
              <w:rPr>
                <w:color w:val="000000"/>
                <w:sz w:val="18"/>
                <w:szCs w:val="18"/>
                <w:lang w:val="en-US"/>
              </w:rPr>
            </w:pPr>
          </w:p>
        </w:tc>
        <w:tc>
          <w:tcPr>
            <w:tcW w:w="2816" w:type="dxa"/>
            <w:gridSpan w:val="2"/>
            <w:shd w:val="clear" w:color="auto" w:fill="auto"/>
            <w:vAlign w:val="center"/>
          </w:tcPr>
          <w:p w14:paraId="37CD88C9" w14:textId="77777777" w:rsidR="005D35AC" w:rsidRPr="005B54EE" w:rsidRDefault="005D35AC" w:rsidP="005D35AC">
            <w:pPr>
              <w:suppressAutoHyphens/>
              <w:rPr>
                <w:color w:val="000000"/>
                <w:sz w:val="18"/>
                <w:szCs w:val="18"/>
                <w:lang w:val="en-US"/>
              </w:rPr>
            </w:pPr>
          </w:p>
        </w:tc>
        <w:tc>
          <w:tcPr>
            <w:tcW w:w="1570" w:type="dxa"/>
            <w:shd w:val="clear" w:color="auto" w:fill="auto"/>
            <w:vAlign w:val="center"/>
          </w:tcPr>
          <w:p w14:paraId="6305468F" w14:textId="77777777" w:rsidR="005D35AC" w:rsidRPr="005B54EE" w:rsidRDefault="005D35AC" w:rsidP="005D35AC">
            <w:pPr>
              <w:suppressAutoHyphens/>
              <w:ind w:left="101" w:hanging="101"/>
              <w:rPr>
                <w:color w:val="000000"/>
                <w:sz w:val="18"/>
                <w:szCs w:val="18"/>
                <w:lang w:val="en-US"/>
              </w:rPr>
            </w:pPr>
          </w:p>
        </w:tc>
      </w:tr>
    </w:tbl>
    <w:p w14:paraId="6B28D5FC" w14:textId="77777777" w:rsidR="005D35AC" w:rsidRPr="005B54EE" w:rsidRDefault="005D35AC" w:rsidP="005D35AC">
      <w:pPr>
        <w:sectPr w:rsidR="005D35AC" w:rsidRPr="005B54EE" w:rsidSect="005D35AC">
          <w:footerReference w:type="default" r:id="rId27"/>
          <w:pgSz w:w="11906" w:h="16838"/>
          <w:pgMar w:top="1985" w:right="1021" w:bottom="944" w:left="1021" w:header="0" w:footer="454" w:gutter="0"/>
          <w:cols w:space="720"/>
          <w:formProt w:val="0"/>
          <w:docGrid w:linePitch="312"/>
        </w:sectPr>
      </w:pPr>
    </w:p>
    <w:p w14:paraId="18A608BB" w14:textId="77777777" w:rsidR="005D35AC" w:rsidRPr="005B54EE" w:rsidRDefault="005D35AC" w:rsidP="005D35AC"/>
    <w:p w14:paraId="34A99BDE" w14:textId="77777777" w:rsidR="005D35AC" w:rsidRPr="005B54EE" w:rsidRDefault="005D35AC" w:rsidP="005D35AC">
      <w:pPr>
        <w:pStyle w:val="Bullet0"/>
        <w:ind w:left="57"/>
        <w:rPr>
          <w:rStyle w:val="hps"/>
          <w:rFonts w:cs="Arial"/>
          <w:sz w:val="22"/>
          <w:szCs w:val="22"/>
          <w:lang w:val="en-US" w:eastAsia="zh-CN"/>
        </w:rPr>
      </w:pPr>
    </w:p>
    <w:p w14:paraId="69CD5462" w14:textId="77777777" w:rsidR="005D35AC" w:rsidRPr="005B54EE" w:rsidRDefault="005D35AC" w:rsidP="005D35AC">
      <w:pPr>
        <w:pStyle w:val="Bullet0"/>
        <w:ind w:left="57"/>
        <w:rPr>
          <w:rStyle w:val="hps"/>
          <w:rFonts w:cs="Arial"/>
          <w:sz w:val="22"/>
          <w:szCs w:val="22"/>
          <w:lang w:val="en-US" w:eastAsia="zh-CN"/>
        </w:rPr>
      </w:pPr>
    </w:p>
    <w:tbl>
      <w:tblPr>
        <w:tblW w:w="4800" w:type="pct"/>
        <w:tblInd w:w="-140" w:type="dxa"/>
        <w:tblCellMar>
          <w:left w:w="70" w:type="dxa"/>
          <w:right w:w="70" w:type="dxa"/>
        </w:tblCellMar>
        <w:tblLook w:val="00A0" w:firstRow="1" w:lastRow="0" w:firstColumn="1" w:lastColumn="0" w:noHBand="0" w:noVBand="0"/>
      </w:tblPr>
      <w:tblGrid>
        <w:gridCol w:w="2424"/>
        <w:gridCol w:w="2484"/>
        <w:gridCol w:w="4644"/>
      </w:tblGrid>
      <w:tr w:rsidR="005D35AC" w:rsidRPr="005B54EE" w14:paraId="21BE2823" w14:textId="77777777" w:rsidTr="005D35AC">
        <w:tc>
          <w:tcPr>
            <w:tcW w:w="2403" w:type="dxa"/>
            <w:shd w:val="clear" w:color="auto" w:fill="auto"/>
            <w:vAlign w:val="center"/>
          </w:tcPr>
          <w:p w14:paraId="052B3169" w14:textId="77777777" w:rsidR="005D35AC" w:rsidRPr="005B54EE" w:rsidRDefault="005D35AC" w:rsidP="005D35AC">
            <w:pPr>
              <w:suppressAutoHyphens/>
              <w:rPr>
                <w:color w:val="000000"/>
                <w:sz w:val="18"/>
                <w:szCs w:val="18"/>
              </w:rPr>
            </w:pPr>
            <w:r w:rsidRPr="005B54EE">
              <w:rPr>
                <w:color w:val="000000"/>
                <w:sz w:val="18"/>
              </w:rPr>
              <w:t xml:space="preserve">Table 2(b) </w:t>
            </w:r>
          </w:p>
        </w:tc>
        <w:tc>
          <w:tcPr>
            <w:tcW w:w="2462" w:type="dxa"/>
            <w:shd w:val="clear" w:color="auto" w:fill="auto"/>
            <w:vAlign w:val="center"/>
          </w:tcPr>
          <w:p w14:paraId="65133BA5" w14:textId="77777777" w:rsidR="005D35AC" w:rsidRPr="005B54EE" w:rsidRDefault="005D35AC" w:rsidP="005D35AC">
            <w:pPr>
              <w:suppressAutoHyphens/>
              <w:rPr>
                <w:color w:val="000000"/>
                <w:sz w:val="18"/>
                <w:szCs w:val="18"/>
              </w:rPr>
            </w:pPr>
          </w:p>
        </w:tc>
        <w:tc>
          <w:tcPr>
            <w:tcW w:w="4604" w:type="dxa"/>
            <w:shd w:val="clear" w:color="auto" w:fill="auto"/>
            <w:vAlign w:val="center"/>
          </w:tcPr>
          <w:p w14:paraId="2DE4131E" w14:textId="4F8F6169" w:rsidR="005D35AC" w:rsidRPr="005B54EE" w:rsidRDefault="005D35AC" w:rsidP="005D35AC">
            <w:pPr>
              <w:suppressAutoHyphens/>
              <w:jc w:val="right"/>
              <w:rPr>
                <w:color w:val="000000"/>
                <w:sz w:val="18"/>
                <w:szCs w:val="18"/>
              </w:rPr>
            </w:pPr>
          </w:p>
        </w:tc>
      </w:tr>
      <w:tr w:rsidR="005D35AC" w:rsidRPr="005B54EE" w14:paraId="57A1D5B5" w14:textId="77777777" w:rsidTr="005D35AC">
        <w:tc>
          <w:tcPr>
            <w:tcW w:w="9469" w:type="dxa"/>
            <w:gridSpan w:val="3"/>
            <w:shd w:val="clear" w:color="auto" w:fill="auto"/>
            <w:vAlign w:val="center"/>
          </w:tcPr>
          <w:p w14:paraId="17169013" w14:textId="77777777" w:rsidR="005D35AC" w:rsidRPr="005B54EE" w:rsidRDefault="005D35AC" w:rsidP="005D35AC">
            <w:pPr>
              <w:suppressAutoHyphens/>
              <w:spacing w:before="120"/>
              <w:rPr>
                <w:b/>
                <w:bCs/>
                <w:color w:val="000000"/>
                <w:sz w:val="18"/>
                <w:szCs w:val="18"/>
              </w:rPr>
            </w:pPr>
            <w:r w:rsidRPr="005B54EE">
              <w:rPr>
                <w:b/>
                <w:color w:val="000000"/>
                <w:sz w:val="18"/>
                <w:lang w:val="en-US"/>
              </w:rPr>
              <w:t>Description of quantified economy-wide emission reduction target:  gases and sectors covered</w:t>
            </w:r>
            <w:r w:rsidRPr="005B54EE">
              <w:rPr>
                <w:i/>
                <w:color w:val="000000"/>
                <w:sz w:val="18"/>
                <w:vertAlign w:val="superscript"/>
                <w:lang w:val="en-US"/>
              </w:rPr>
              <w:t>a</w:t>
            </w:r>
          </w:p>
        </w:tc>
      </w:tr>
      <w:tr w:rsidR="005D35AC" w:rsidRPr="005B54EE" w14:paraId="51D9610C" w14:textId="77777777" w:rsidTr="005D35AC">
        <w:trPr>
          <w:trHeight w:val="300"/>
        </w:trPr>
        <w:tc>
          <w:tcPr>
            <w:tcW w:w="2403" w:type="dxa"/>
            <w:shd w:val="clear" w:color="auto" w:fill="auto"/>
            <w:vAlign w:val="center"/>
          </w:tcPr>
          <w:p w14:paraId="7690726B" w14:textId="77777777" w:rsidR="005D35AC" w:rsidRPr="005B54EE" w:rsidRDefault="005D35AC" w:rsidP="005D35AC">
            <w:pPr>
              <w:suppressAutoHyphens/>
              <w:rPr>
                <w:b/>
                <w:bCs/>
                <w:color w:val="000000"/>
                <w:sz w:val="18"/>
                <w:szCs w:val="18"/>
                <w:lang w:val="en-US"/>
              </w:rPr>
            </w:pPr>
          </w:p>
        </w:tc>
        <w:tc>
          <w:tcPr>
            <w:tcW w:w="2462" w:type="dxa"/>
            <w:shd w:val="clear" w:color="auto" w:fill="auto"/>
            <w:vAlign w:val="center"/>
          </w:tcPr>
          <w:p w14:paraId="1E8261C4" w14:textId="77777777" w:rsidR="005D35AC" w:rsidRPr="005B54EE" w:rsidRDefault="005D35AC" w:rsidP="005D35AC">
            <w:pPr>
              <w:suppressAutoHyphens/>
              <w:rPr>
                <w:color w:val="000000"/>
                <w:sz w:val="18"/>
                <w:szCs w:val="18"/>
                <w:lang w:val="en-US"/>
              </w:rPr>
            </w:pPr>
          </w:p>
        </w:tc>
        <w:tc>
          <w:tcPr>
            <w:tcW w:w="4604" w:type="dxa"/>
            <w:shd w:val="clear" w:color="auto" w:fill="auto"/>
            <w:vAlign w:val="center"/>
          </w:tcPr>
          <w:p w14:paraId="0AED6F74" w14:textId="77777777" w:rsidR="005D35AC" w:rsidRPr="005B54EE" w:rsidRDefault="005D35AC" w:rsidP="005D35AC">
            <w:pPr>
              <w:suppressAutoHyphens/>
              <w:rPr>
                <w:color w:val="000000"/>
                <w:sz w:val="18"/>
                <w:szCs w:val="18"/>
                <w:lang w:val="en-US"/>
              </w:rPr>
            </w:pPr>
          </w:p>
        </w:tc>
      </w:tr>
      <w:tr w:rsidR="005D35AC" w:rsidRPr="005B54EE" w14:paraId="1E461236" w14:textId="77777777" w:rsidTr="005D35AC">
        <w:trPr>
          <w:trHeight w:val="300"/>
        </w:trPr>
        <w:tc>
          <w:tcPr>
            <w:tcW w:w="4865" w:type="dxa"/>
            <w:gridSpan w:val="2"/>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1B6CF422" w14:textId="77777777" w:rsidR="005D35AC" w:rsidRPr="005B54EE" w:rsidRDefault="005D35AC" w:rsidP="005D35AC">
            <w:pPr>
              <w:suppressAutoHyphens/>
              <w:jc w:val="center"/>
              <w:rPr>
                <w:i/>
                <w:iCs/>
                <w:color w:val="000000"/>
                <w:sz w:val="18"/>
                <w:szCs w:val="18"/>
              </w:rPr>
            </w:pPr>
          </w:p>
        </w:tc>
        <w:tc>
          <w:tcPr>
            <w:tcW w:w="4604" w:type="dxa"/>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3DDE8FF9" w14:textId="77777777" w:rsidR="005D35AC" w:rsidRPr="005B54EE" w:rsidRDefault="005D35AC" w:rsidP="005D35AC">
            <w:pPr>
              <w:suppressAutoHyphens/>
              <w:jc w:val="center"/>
              <w:rPr>
                <w:i/>
                <w:iCs/>
                <w:color w:val="000000"/>
                <w:sz w:val="18"/>
                <w:szCs w:val="18"/>
                <w:lang w:val="en-US"/>
              </w:rPr>
            </w:pPr>
          </w:p>
        </w:tc>
      </w:tr>
      <w:tr w:rsidR="005D35AC" w:rsidRPr="005B54EE" w14:paraId="01F4D015" w14:textId="77777777" w:rsidTr="005D35AC">
        <w:trPr>
          <w:trHeight w:val="300"/>
        </w:trPr>
        <w:tc>
          <w:tcPr>
            <w:tcW w:w="4865" w:type="dxa"/>
            <w:gridSpan w:val="2"/>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0135516D" w14:textId="77777777" w:rsidR="005D35AC" w:rsidRPr="005B54EE" w:rsidRDefault="005D35AC" w:rsidP="005D35AC">
            <w:pPr>
              <w:suppressAutoHyphens/>
              <w:jc w:val="center"/>
              <w:rPr>
                <w:i/>
                <w:iCs/>
                <w:color w:val="000000"/>
                <w:sz w:val="18"/>
                <w:szCs w:val="18"/>
              </w:rPr>
            </w:pPr>
            <w:r w:rsidRPr="005B54EE">
              <w:rPr>
                <w:i/>
                <w:color w:val="000000"/>
                <w:sz w:val="18"/>
              </w:rPr>
              <w:t xml:space="preserve">Gases covered   </w:t>
            </w:r>
          </w:p>
        </w:tc>
        <w:tc>
          <w:tcPr>
            <w:tcW w:w="4604" w:type="dxa"/>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758171BA" w14:textId="77777777" w:rsidR="005D35AC" w:rsidRPr="005B54EE" w:rsidRDefault="005D35AC" w:rsidP="005D35AC">
            <w:pPr>
              <w:suppressAutoHyphens/>
              <w:jc w:val="center"/>
              <w:rPr>
                <w:i/>
                <w:iCs/>
                <w:color w:val="000000"/>
                <w:sz w:val="18"/>
                <w:szCs w:val="18"/>
              </w:rPr>
            </w:pPr>
            <w:r w:rsidRPr="005B54EE">
              <w:rPr>
                <w:i/>
                <w:color w:val="000000"/>
                <w:sz w:val="18"/>
                <w:lang w:val="en-US"/>
              </w:rPr>
              <w:t xml:space="preserve">Base year for each gas (year): </w:t>
            </w:r>
          </w:p>
        </w:tc>
      </w:tr>
      <w:tr w:rsidR="005D35AC" w:rsidRPr="005B54EE" w14:paraId="0F5257FA" w14:textId="77777777" w:rsidTr="005D35AC">
        <w:trPr>
          <w:trHeight w:val="300"/>
        </w:trPr>
        <w:tc>
          <w:tcPr>
            <w:tcW w:w="4865" w:type="dxa"/>
            <w:gridSpan w:val="2"/>
            <w:tcBorders>
              <w:top w:val="single" w:sz="4" w:space="0" w:color="00000A"/>
              <w:left w:val="single" w:sz="4" w:space="0" w:color="B8B8B8"/>
              <w:bottom w:val="single" w:sz="4" w:space="0" w:color="D8D8D8"/>
              <w:right w:val="single" w:sz="4" w:space="0" w:color="B8B8B8"/>
            </w:tcBorders>
            <w:shd w:val="clear" w:color="auto" w:fill="auto"/>
            <w:tcMar>
              <w:left w:w="0" w:type="dxa"/>
            </w:tcMar>
            <w:vAlign w:val="center"/>
          </w:tcPr>
          <w:p w14:paraId="27DF56AD" w14:textId="7D48186E" w:rsidR="005D35AC" w:rsidRPr="005B54EE" w:rsidRDefault="00811B0F" w:rsidP="005D35AC">
            <w:pPr>
              <w:suppressAutoHyphens/>
              <w:rPr>
                <w:color w:val="000000"/>
                <w:sz w:val="18"/>
                <w:szCs w:val="18"/>
              </w:rPr>
            </w:pPr>
            <w:r w:rsidRPr="005B54EE">
              <w:t>CO</w:t>
            </w:r>
            <w:r w:rsidRPr="005B54EE">
              <w:rPr>
                <w:vertAlign w:val="subscript"/>
              </w:rPr>
              <w:t>2</w:t>
            </w:r>
          </w:p>
        </w:tc>
        <w:tc>
          <w:tcPr>
            <w:tcW w:w="4604" w:type="dxa"/>
            <w:tcBorders>
              <w:top w:val="single" w:sz="4" w:space="0" w:color="D8D8D8"/>
              <w:left w:val="single" w:sz="4" w:space="0" w:color="B8B8B8"/>
              <w:bottom w:val="single" w:sz="4" w:space="0" w:color="D8D8D8"/>
              <w:right w:val="single" w:sz="4" w:space="0" w:color="B8B8B8"/>
            </w:tcBorders>
            <w:shd w:val="clear" w:color="auto" w:fill="auto"/>
            <w:tcMar>
              <w:left w:w="0" w:type="dxa"/>
            </w:tcMar>
            <w:vAlign w:val="center"/>
          </w:tcPr>
          <w:p w14:paraId="3E0CE24C" w14:textId="77777777" w:rsidR="005D35AC" w:rsidRPr="005B54EE" w:rsidRDefault="005D35AC" w:rsidP="005D35AC">
            <w:pPr>
              <w:suppressAutoHyphens/>
              <w:rPr>
                <w:color w:val="000000"/>
                <w:sz w:val="18"/>
                <w:szCs w:val="18"/>
              </w:rPr>
            </w:pPr>
            <w:r w:rsidRPr="005B54EE">
              <w:rPr>
                <w:sz w:val="18"/>
              </w:rPr>
              <w:t>1990</w:t>
            </w:r>
          </w:p>
        </w:tc>
      </w:tr>
      <w:tr w:rsidR="005D35AC" w:rsidRPr="005B54EE" w14:paraId="05F9FA45" w14:textId="77777777" w:rsidTr="005D35AC">
        <w:trPr>
          <w:trHeight w:val="300"/>
        </w:trPr>
        <w:tc>
          <w:tcPr>
            <w:tcW w:w="4865"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6505C78B" w14:textId="3D619907" w:rsidR="005D35AC" w:rsidRPr="005B54EE" w:rsidRDefault="00891B49" w:rsidP="005D35AC">
            <w:pPr>
              <w:suppressAutoHyphens/>
              <w:rPr>
                <w:color w:val="000000"/>
                <w:sz w:val="18"/>
                <w:szCs w:val="18"/>
              </w:rPr>
            </w:pPr>
            <w:r w:rsidRPr="005B54EE">
              <w:t>CH</w:t>
            </w:r>
            <w:r w:rsidRPr="005B54EE">
              <w:rPr>
                <w:vertAlign w:val="subscript"/>
              </w:rPr>
              <w:t>4</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29C50267" w14:textId="77777777" w:rsidR="005D35AC" w:rsidRPr="005B54EE" w:rsidRDefault="005D35AC" w:rsidP="005D35AC">
            <w:pPr>
              <w:suppressAutoHyphens/>
              <w:rPr>
                <w:color w:val="000000"/>
                <w:sz w:val="18"/>
                <w:szCs w:val="18"/>
              </w:rPr>
            </w:pPr>
            <w:r w:rsidRPr="005B54EE">
              <w:rPr>
                <w:sz w:val="18"/>
              </w:rPr>
              <w:t>1990</w:t>
            </w:r>
          </w:p>
        </w:tc>
      </w:tr>
      <w:tr w:rsidR="005D35AC" w:rsidRPr="005B54EE" w14:paraId="023B4390" w14:textId="77777777" w:rsidTr="005D35AC">
        <w:trPr>
          <w:trHeight w:val="300"/>
        </w:trPr>
        <w:tc>
          <w:tcPr>
            <w:tcW w:w="4865"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6202DC2A" w14:textId="361DF629" w:rsidR="005D35AC" w:rsidRPr="005B54EE" w:rsidRDefault="00891B49" w:rsidP="005D35AC">
            <w:pPr>
              <w:suppressAutoHyphens/>
              <w:rPr>
                <w:color w:val="000000"/>
                <w:sz w:val="18"/>
                <w:szCs w:val="18"/>
              </w:rPr>
            </w:pPr>
            <w:r w:rsidRPr="005B54EE">
              <w:t>N</w:t>
            </w:r>
            <w:r w:rsidRPr="005B54EE">
              <w:rPr>
                <w:vertAlign w:val="subscript"/>
              </w:rPr>
              <w:t>2</w:t>
            </w:r>
            <w:r w:rsidRPr="005B54EE">
              <w:t>O</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22C532D1" w14:textId="77777777" w:rsidR="005D35AC" w:rsidRPr="005B54EE" w:rsidRDefault="005D35AC" w:rsidP="005D35AC">
            <w:pPr>
              <w:suppressAutoHyphens/>
              <w:rPr>
                <w:color w:val="000000"/>
                <w:sz w:val="18"/>
                <w:szCs w:val="18"/>
              </w:rPr>
            </w:pPr>
            <w:r w:rsidRPr="005B54EE">
              <w:rPr>
                <w:sz w:val="18"/>
              </w:rPr>
              <w:t>1990</w:t>
            </w:r>
          </w:p>
        </w:tc>
      </w:tr>
      <w:tr w:rsidR="005D35AC" w:rsidRPr="005B54EE" w14:paraId="7B72FE28" w14:textId="77777777" w:rsidTr="005D35AC">
        <w:trPr>
          <w:trHeight w:val="300"/>
        </w:trPr>
        <w:tc>
          <w:tcPr>
            <w:tcW w:w="4865"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369B914D" w14:textId="77777777" w:rsidR="005D35AC" w:rsidRPr="005B54EE" w:rsidRDefault="005D35AC" w:rsidP="005D35AC">
            <w:pPr>
              <w:suppressAutoHyphens/>
              <w:rPr>
                <w:color w:val="000000"/>
                <w:sz w:val="18"/>
                <w:szCs w:val="18"/>
              </w:rPr>
            </w:pPr>
            <w:r w:rsidRPr="005B54EE">
              <w:rPr>
                <w:sz w:val="18"/>
              </w:rPr>
              <w:t>HFCs</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09221457" w14:textId="77777777" w:rsidR="005D35AC" w:rsidRPr="005B54EE" w:rsidRDefault="005D35AC" w:rsidP="005D35AC">
            <w:pPr>
              <w:suppressAutoHyphens/>
              <w:rPr>
                <w:color w:val="000000"/>
                <w:sz w:val="18"/>
                <w:szCs w:val="18"/>
              </w:rPr>
            </w:pPr>
            <w:r w:rsidRPr="005B54EE">
              <w:rPr>
                <w:sz w:val="18"/>
              </w:rPr>
              <w:t>1990</w:t>
            </w:r>
          </w:p>
        </w:tc>
      </w:tr>
      <w:tr w:rsidR="005D35AC" w:rsidRPr="005B54EE" w14:paraId="77F650F8" w14:textId="77777777" w:rsidTr="005D35AC">
        <w:trPr>
          <w:trHeight w:val="300"/>
        </w:trPr>
        <w:tc>
          <w:tcPr>
            <w:tcW w:w="4865"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058D3959" w14:textId="77777777" w:rsidR="005D35AC" w:rsidRPr="005B54EE" w:rsidRDefault="005D35AC" w:rsidP="005D35AC">
            <w:pPr>
              <w:suppressAutoHyphens/>
              <w:rPr>
                <w:color w:val="000000"/>
                <w:sz w:val="18"/>
                <w:szCs w:val="18"/>
              </w:rPr>
            </w:pPr>
            <w:r w:rsidRPr="005B54EE">
              <w:rPr>
                <w:sz w:val="18"/>
              </w:rPr>
              <w:t>PFCs</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15DDC5B4" w14:textId="77777777" w:rsidR="005D35AC" w:rsidRPr="005B54EE" w:rsidRDefault="005D35AC" w:rsidP="005D35AC">
            <w:pPr>
              <w:suppressAutoHyphens/>
              <w:rPr>
                <w:color w:val="000000"/>
                <w:sz w:val="18"/>
                <w:szCs w:val="18"/>
              </w:rPr>
            </w:pPr>
            <w:r w:rsidRPr="005B54EE">
              <w:rPr>
                <w:sz w:val="18"/>
              </w:rPr>
              <w:t>1990</w:t>
            </w:r>
          </w:p>
        </w:tc>
      </w:tr>
      <w:tr w:rsidR="005D35AC" w:rsidRPr="005B54EE" w14:paraId="3D52A483" w14:textId="77777777" w:rsidTr="005D35AC">
        <w:trPr>
          <w:trHeight w:val="300"/>
        </w:trPr>
        <w:tc>
          <w:tcPr>
            <w:tcW w:w="4865"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3F8D3E58" w14:textId="64D0C0A7" w:rsidR="005D35AC" w:rsidRPr="005B54EE" w:rsidRDefault="002F2FFD" w:rsidP="005D35AC">
            <w:pPr>
              <w:suppressAutoHyphens/>
              <w:rPr>
                <w:color w:val="000000"/>
                <w:sz w:val="18"/>
                <w:szCs w:val="18"/>
              </w:rPr>
            </w:pPr>
            <w:r w:rsidRPr="005B54EE">
              <w:t>SF</w:t>
            </w:r>
            <w:r w:rsidRPr="005B54EE">
              <w:rPr>
                <w:vertAlign w:val="subscript"/>
              </w:rPr>
              <w:t>6</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289D8060" w14:textId="77777777" w:rsidR="005D35AC" w:rsidRPr="005B54EE" w:rsidRDefault="005D35AC" w:rsidP="005D35AC">
            <w:pPr>
              <w:suppressAutoHyphens/>
              <w:rPr>
                <w:color w:val="000000"/>
                <w:sz w:val="18"/>
                <w:szCs w:val="18"/>
              </w:rPr>
            </w:pPr>
            <w:r w:rsidRPr="005B54EE">
              <w:rPr>
                <w:sz w:val="18"/>
              </w:rPr>
              <w:t>1990</w:t>
            </w:r>
          </w:p>
        </w:tc>
      </w:tr>
      <w:tr w:rsidR="005D35AC" w:rsidRPr="005B54EE" w14:paraId="21C5B1AF" w14:textId="77777777" w:rsidTr="00C50CEB">
        <w:trPr>
          <w:trHeight w:val="300"/>
        </w:trPr>
        <w:tc>
          <w:tcPr>
            <w:tcW w:w="4865" w:type="dxa"/>
            <w:gridSpan w:val="2"/>
            <w:tcBorders>
              <w:top w:val="single" w:sz="4" w:space="0" w:color="D9D9D9"/>
              <w:left w:val="single" w:sz="4" w:space="0" w:color="D9D9D9"/>
              <w:right w:val="single" w:sz="4" w:space="0" w:color="D9D9D9"/>
            </w:tcBorders>
            <w:shd w:val="clear" w:color="auto" w:fill="EEECE1" w:themeFill="background2"/>
            <w:tcMar>
              <w:left w:w="0" w:type="dxa"/>
            </w:tcMar>
            <w:vAlign w:val="center"/>
          </w:tcPr>
          <w:p w14:paraId="267E13ED" w14:textId="1A6F8A68" w:rsidR="005D35AC" w:rsidRPr="005B54EE" w:rsidRDefault="002F2FFD" w:rsidP="005D35AC">
            <w:pPr>
              <w:suppressAutoHyphens/>
              <w:rPr>
                <w:color w:val="000000"/>
                <w:sz w:val="18"/>
                <w:szCs w:val="18"/>
              </w:rPr>
            </w:pPr>
            <w:r w:rsidRPr="005B54EE">
              <w:t>NF</w:t>
            </w:r>
            <w:r w:rsidRPr="005B54EE">
              <w:rPr>
                <w:vertAlign w:val="subscript"/>
              </w:rPr>
              <w:t>3</w:t>
            </w:r>
          </w:p>
        </w:tc>
        <w:tc>
          <w:tcPr>
            <w:tcW w:w="4604" w:type="dxa"/>
            <w:tcBorders>
              <w:top w:val="single" w:sz="4" w:space="0" w:color="D9D9D9"/>
              <w:left w:val="single" w:sz="4" w:space="0" w:color="D9D9D9"/>
              <w:right w:val="single" w:sz="4" w:space="0" w:color="D9D9D9"/>
            </w:tcBorders>
            <w:shd w:val="clear" w:color="auto" w:fill="EEECE1" w:themeFill="background2"/>
            <w:tcMar>
              <w:left w:w="0" w:type="dxa"/>
            </w:tcMar>
            <w:vAlign w:val="center"/>
          </w:tcPr>
          <w:p w14:paraId="4DCF38DF" w14:textId="1DDB3CBC" w:rsidR="005D35AC" w:rsidRPr="005B54EE" w:rsidRDefault="005D35AC" w:rsidP="005D35AC">
            <w:pPr>
              <w:suppressAutoHyphens/>
              <w:rPr>
                <w:color w:val="000000"/>
                <w:sz w:val="18"/>
                <w:szCs w:val="18"/>
              </w:rPr>
            </w:pPr>
          </w:p>
        </w:tc>
      </w:tr>
      <w:tr w:rsidR="005D35AC" w:rsidRPr="005B54EE" w14:paraId="7620B439" w14:textId="77777777" w:rsidTr="00C50CEB">
        <w:trPr>
          <w:trHeight w:val="300"/>
        </w:trPr>
        <w:tc>
          <w:tcPr>
            <w:tcW w:w="4865" w:type="dxa"/>
            <w:gridSpan w:val="2"/>
            <w:tcBorders>
              <w:top w:val="single" w:sz="4" w:space="0" w:color="B8B8B8"/>
              <w:left w:val="single" w:sz="4" w:space="0" w:color="B8B8B8"/>
              <w:bottom w:val="single" w:sz="4" w:space="0" w:color="00000A"/>
              <w:right w:val="single" w:sz="4" w:space="0" w:color="B8B8B8"/>
            </w:tcBorders>
            <w:shd w:val="clear" w:color="auto" w:fill="EEECE1" w:themeFill="background2"/>
            <w:tcMar>
              <w:left w:w="0" w:type="dxa"/>
            </w:tcMar>
            <w:vAlign w:val="center"/>
          </w:tcPr>
          <w:p w14:paraId="383E44EA" w14:textId="77777777" w:rsidR="005D35AC" w:rsidRPr="005B54EE" w:rsidRDefault="005D35AC" w:rsidP="005D35AC">
            <w:pPr>
              <w:suppressAutoHyphens/>
              <w:rPr>
                <w:color w:val="000000"/>
                <w:sz w:val="18"/>
                <w:szCs w:val="18"/>
              </w:rPr>
            </w:pPr>
            <w:r w:rsidRPr="005B54EE">
              <w:rPr>
                <w:sz w:val="18"/>
              </w:rPr>
              <w:t>Other Gases (specify)</w:t>
            </w:r>
          </w:p>
        </w:tc>
        <w:tc>
          <w:tcPr>
            <w:tcW w:w="4604" w:type="dxa"/>
            <w:tcBorders>
              <w:top w:val="single" w:sz="4" w:space="0" w:color="D9D9D9"/>
              <w:left w:val="single" w:sz="4" w:space="0" w:color="B8B8B8"/>
              <w:bottom w:val="single" w:sz="4" w:space="0" w:color="D8D8D8"/>
              <w:right w:val="single" w:sz="4" w:space="0" w:color="B8B8B8"/>
            </w:tcBorders>
            <w:shd w:val="clear" w:color="auto" w:fill="EEECE1" w:themeFill="background2"/>
            <w:tcMar>
              <w:left w:w="0" w:type="dxa"/>
            </w:tcMar>
            <w:vAlign w:val="center"/>
          </w:tcPr>
          <w:p w14:paraId="47E6A3A4" w14:textId="77777777" w:rsidR="005D35AC" w:rsidRPr="005B54EE" w:rsidRDefault="005D35AC" w:rsidP="005D35AC">
            <w:pPr>
              <w:suppressAutoHyphens/>
              <w:jc w:val="center"/>
              <w:rPr>
                <w:color w:val="000000"/>
                <w:sz w:val="18"/>
                <w:szCs w:val="18"/>
              </w:rPr>
            </w:pPr>
            <w:r w:rsidRPr="005B54EE">
              <w:rPr>
                <w:color w:val="000000"/>
                <w:sz w:val="18"/>
              </w:rPr>
              <w:t> </w:t>
            </w:r>
          </w:p>
        </w:tc>
      </w:tr>
      <w:tr w:rsidR="005D35AC" w:rsidRPr="005B54EE" w14:paraId="62D983CD" w14:textId="77777777" w:rsidTr="005D35AC">
        <w:trPr>
          <w:cantSplit/>
          <w:trHeight w:val="300"/>
        </w:trPr>
        <w:tc>
          <w:tcPr>
            <w:tcW w:w="2403" w:type="dxa"/>
            <w:vMerge w:val="restart"/>
            <w:tcBorders>
              <w:top w:val="single" w:sz="4" w:space="0" w:color="000001"/>
              <w:left w:val="single" w:sz="4" w:space="0" w:color="D8D8D8"/>
              <w:bottom w:val="single" w:sz="4" w:space="0" w:color="000001"/>
              <w:right w:val="single" w:sz="4" w:space="0" w:color="D8D8D8"/>
            </w:tcBorders>
            <w:shd w:val="clear" w:color="auto" w:fill="auto"/>
            <w:tcMar>
              <w:left w:w="0" w:type="dxa"/>
            </w:tcMar>
            <w:vAlign w:val="center"/>
          </w:tcPr>
          <w:p w14:paraId="5FAEF341" w14:textId="77777777" w:rsidR="005D35AC" w:rsidRPr="005B54EE" w:rsidRDefault="005D35AC" w:rsidP="005D35AC">
            <w:pPr>
              <w:suppressAutoHyphens/>
              <w:rPr>
                <w:color w:val="000000"/>
                <w:sz w:val="18"/>
                <w:szCs w:val="18"/>
              </w:rPr>
            </w:pPr>
            <w:r w:rsidRPr="005B54EE">
              <w:rPr>
                <w:color w:val="000000"/>
                <w:sz w:val="18"/>
              </w:rPr>
              <w:t>Sectors covered</w:t>
            </w:r>
            <w:r w:rsidRPr="005B54EE">
              <w:rPr>
                <w:i/>
                <w:color w:val="000000"/>
                <w:sz w:val="18"/>
                <w:vertAlign w:val="superscript"/>
              </w:rPr>
              <w:t>b</w:t>
            </w:r>
          </w:p>
        </w:tc>
        <w:tc>
          <w:tcPr>
            <w:tcW w:w="2462" w:type="dxa"/>
            <w:tcBorders>
              <w:top w:val="single" w:sz="4" w:space="0" w:color="D8D8D8"/>
              <w:left w:val="single" w:sz="4" w:space="0" w:color="B8B8B8"/>
              <w:bottom w:val="single" w:sz="4" w:space="0" w:color="D8D8D8"/>
              <w:right w:val="single" w:sz="4" w:space="0" w:color="D9D9D9"/>
            </w:tcBorders>
            <w:shd w:val="clear" w:color="auto" w:fill="auto"/>
            <w:tcMar>
              <w:left w:w="0" w:type="dxa"/>
            </w:tcMar>
            <w:vAlign w:val="center"/>
          </w:tcPr>
          <w:p w14:paraId="55B6EAE4" w14:textId="77777777" w:rsidR="005D35AC" w:rsidRPr="005B54EE" w:rsidRDefault="005D35AC" w:rsidP="005D35AC">
            <w:pPr>
              <w:suppressAutoHyphens/>
              <w:rPr>
                <w:color w:val="000000"/>
                <w:sz w:val="18"/>
                <w:szCs w:val="18"/>
              </w:rPr>
            </w:pPr>
            <w:r w:rsidRPr="005B54EE">
              <w:rPr>
                <w:sz w:val="18"/>
              </w:rPr>
              <w:t>Energy</w:t>
            </w:r>
          </w:p>
        </w:tc>
        <w:tc>
          <w:tcPr>
            <w:tcW w:w="4604" w:type="dxa"/>
            <w:tcBorders>
              <w:top w:val="single" w:sz="4" w:space="0" w:color="00000A"/>
              <w:left w:val="single" w:sz="4" w:space="0" w:color="B8B8B8"/>
              <w:bottom w:val="single" w:sz="4" w:space="0" w:color="D8D8D8"/>
              <w:right w:val="single" w:sz="4" w:space="0" w:color="B8B8B8"/>
            </w:tcBorders>
            <w:shd w:val="clear" w:color="auto" w:fill="auto"/>
            <w:tcMar>
              <w:left w:w="0" w:type="dxa"/>
            </w:tcMar>
            <w:vAlign w:val="center"/>
          </w:tcPr>
          <w:p w14:paraId="655E0458" w14:textId="77777777" w:rsidR="005D35AC" w:rsidRPr="005B54EE" w:rsidRDefault="005D35AC" w:rsidP="005D35AC">
            <w:pPr>
              <w:suppressAutoHyphens/>
              <w:rPr>
                <w:color w:val="000000"/>
                <w:sz w:val="18"/>
                <w:szCs w:val="18"/>
              </w:rPr>
            </w:pPr>
            <w:r w:rsidRPr="005B54EE">
              <w:rPr>
                <w:sz w:val="18"/>
              </w:rPr>
              <w:t>Yes</w:t>
            </w:r>
          </w:p>
        </w:tc>
      </w:tr>
      <w:tr w:rsidR="005D35AC" w:rsidRPr="005B54EE" w14:paraId="71259B36" w14:textId="77777777" w:rsidTr="005D35AC">
        <w:trPr>
          <w:cantSplit/>
          <w:trHeight w:val="300"/>
        </w:trPr>
        <w:tc>
          <w:tcPr>
            <w:tcW w:w="2403" w:type="dxa"/>
            <w:vMerge/>
            <w:tcBorders>
              <w:top w:val="single" w:sz="4" w:space="0" w:color="000001"/>
              <w:left w:val="single" w:sz="4" w:space="0" w:color="D8D8D8"/>
              <w:bottom w:val="single" w:sz="4" w:space="0" w:color="000001"/>
              <w:right w:val="single" w:sz="4" w:space="0" w:color="D8D8D8"/>
            </w:tcBorders>
            <w:shd w:val="clear" w:color="auto" w:fill="auto"/>
            <w:tcMar>
              <w:left w:w="0" w:type="dxa"/>
            </w:tcMar>
            <w:vAlign w:val="center"/>
          </w:tcPr>
          <w:p w14:paraId="4DA23586" w14:textId="77777777" w:rsidR="005D35AC" w:rsidRPr="005B54EE" w:rsidRDefault="005D35AC" w:rsidP="005D35AC">
            <w:pPr>
              <w:suppressAutoHyphens/>
              <w:rPr>
                <w:color w:val="000000"/>
                <w:sz w:val="18"/>
                <w:szCs w:val="18"/>
              </w:rPr>
            </w:pPr>
          </w:p>
        </w:tc>
        <w:tc>
          <w:tcPr>
            <w:tcW w:w="2462" w:type="dxa"/>
            <w:tcBorders>
              <w:top w:val="single" w:sz="4" w:space="0" w:color="D9D9D9"/>
              <w:left w:val="single" w:sz="4" w:space="0" w:color="D9D9D9"/>
              <w:right w:val="single" w:sz="4" w:space="0" w:color="D9D9D9"/>
            </w:tcBorders>
            <w:shd w:val="clear" w:color="auto" w:fill="auto"/>
            <w:tcMar>
              <w:left w:w="0" w:type="dxa"/>
            </w:tcMar>
            <w:vAlign w:val="center"/>
          </w:tcPr>
          <w:p w14:paraId="62EC3EA7" w14:textId="77777777" w:rsidR="005D35AC" w:rsidRPr="005B54EE" w:rsidRDefault="005D35AC" w:rsidP="005D35AC">
            <w:pPr>
              <w:suppressAutoHyphens/>
              <w:rPr>
                <w:color w:val="000000"/>
                <w:sz w:val="18"/>
                <w:szCs w:val="18"/>
              </w:rPr>
            </w:pPr>
            <w:r w:rsidRPr="005B54EE">
              <w:rPr>
                <w:sz w:val="18"/>
              </w:rPr>
              <w:t>Transport</w:t>
            </w:r>
            <w:r w:rsidRPr="005B54EE">
              <w:rPr>
                <w:color w:val="000000"/>
                <w:sz w:val="18"/>
                <w:vertAlign w:val="superscript"/>
              </w:rPr>
              <w:t>f</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1C2C78DE" w14:textId="77777777" w:rsidR="005D35AC" w:rsidRPr="005B54EE" w:rsidRDefault="005D35AC" w:rsidP="005D35AC">
            <w:pPr>
              <w:suppressAutoHyphens/>
              <w:rPr>
                <w:color w:val="000000"/>
                <w:sz w:val="18"/>
                <w:szCs w:val="18"/>
              </w:rPr>
            </w:pPr>
            <w:r w:rsidRPr="005B54EE">
              <w:rPr>
                <w:sz w:val="18"/>
              </w:rPr>
              <w:t>Yes</w:t>
            </w:r>
          </w:p>
        </w:tc>
      </w:tr>
      <w:tr w:rsidR="005D35AC" w:rsidRPr="005B54EE" w14:paraId="62852F37" w14:textId="77777777" w:rsidTr="005D35AC">
        <w:trPr>
          <w:cantSplit/>
          <w:trHeight w:val="300"/>
        </w:trPr>
        <w:tc>
          <w:tcPr>
            <w:tcW w:w="2403" w:type="dxa"/>
            <w:vMerge/>
            <w:tcBorders>
              <w:top w:val="single" w:sz="4" w:space="0" w:color="000001"/>
              <w:left w:val="single" w:sz="4" w:space="0" w:color="D8D8D8"/>
              <w:bottom w:val="single" w:sz="4" w:space="0" w:color="000001"/>
              <w:right w:val="single" w:sz="4" w:space="0" w:color="D8D8D8"/>
            </w:tcBorders>
            <w:shd w:val="clear" w:color="auto" w:fill="auto"/>
            <w:tcMar>
              <w:left w:w="0" w:type="dxa"/>
            </w:tcMar>
            <w:vAlign w:val="center"/>
          </w:tcPr>
          <w:p w14:paraId="4AC05A28" w14:textId="77777777" w:rsidR="005D35AC" w:rsidRPr="005B54EE" w:rsidRDefault="005D35AC" w:rsidP="005D35AC">
            <w:pPr>
              <w:suppressAutoHyphens/>
              <w:rPr>
                <w:color w:val="000000"/>
                <w:sz w:val="18"/>
                <w:szCs w:val="18"/>
              </w:rPr>
            </w:pPr>
          </w:p>
        </w:tc>
        <w:tc>
          <w:tcPr>
            <w:tcW w:w="2462" w:type="dxa"/>
            <w:tcBorders>
              <w:top w:val="single" w:sz="4" w:space="0" w:color="D9D9D9"/>
              <w:left w:val="single" w:sz="4" w:space="0" w:color="D9D9D9"/>
              <w:right w:val="single" w:sz="4" w:space="0" w:color="D9D9D9"/>
            </w:tcBorders>
            <w:shd w:val="clear" w:color="auto" w:fill="auto"/>
            <w:tcMar>
              <w:left w:w="0" w:type="dxa"/>
            </w:tcMar>
            <w:vAlign w:val="center"/>
          </w:tcPr>
          <w:p w14:paraId="504F8DF7" w14:textId="77777777" w:rsidR="005D35AC" w:rsidRPr="005B54EE" w:rsidRDefault="005D35AC" w:rsidP="005D35AC">
            <w:pPr>
              <w:suppressAutoHyphens/>
              <w:rPr>
                <w:color w:val="000000"/>
                <w:sz w:val="18"/>
                <w:szCs w:val="18"/>
              </w:rPr>
            </w:pPr>
            <w:r w:rsidRPr="005B54EE">
              <w:rPr>
                <w:sz w:val="18"/>
              </w:rPr>
              <w:t>Industrial processes</w:t>
            </w:r>
            <w:r w:rsidRPr="005B54EE">
              <w:rPr>
                <w:color w:val="000000"/>
                <w:sz w:val="18"/>
                <w:vertAlign w:val="superscript"/>
              </w:rPr>
              <w:t>g</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170629FB" w14:textId="77777777" w:rsidR="005D35AC" w:rsidRPr="005B54EE" w:rsidRDefault="005D35AC" w:rsidP="005D35AC">
            <w:pPr>
              <w:suppressAutoHyphens/>
              <w:rPr>
                <w:color w:val="000000"/>
                <w:sz w:val="18"/>
                <w:szCs w:val="18"/>
              </w:rPr>
            </w:pPr>
            <w:r w:rsidRPr="005B54EE">
              <w:rPr>
                <w:sz w:val="18"/>
              </w:rPr>
              <w:t>Yes</w:t>
            </w:r>
          </w:p>
        </w:tc>
      </w:tr>
      <w:tr w:rsidR="005D35AC" w:rsidRPr="005B54EE" w14:paraId="4F43C2F0" w14:textId="77777777" w:rsidTr="005D35AC">
        <w:trPr>
          <w:cantSplit/>
          <w:trHeight w:val="300"/>
        </w:trPr>
        <w:tc>
          <w:tcPr>
            <w:tcW w:w="2403" w:type="dxa"/>
            <w:vMerge/>
            <w:tcBorders>
              <w:top w:val="single" w:sz="4" w:space="0" w:color="000001"/>
              <w:left w:val="single" w:sz="4" w:space="0" w:color="D8D8D8"/>
              <w:bottom w:val="single" w:sz="4" w:space="0" w:color="000001"/>
              <w:right w:val="single" w:sz="4" w:space="0" w:color="D8D8D8"/>
            </w:tcBorders>
            <w:shd w:val="clear" w:color="auto" w:fill="auto"/>
            <w:tcMar>
              <w:left w:w="0" w:type="dxa"/>
            </w:tcMar>
            <w:vAlign w:val="center"/>
          </w:tcPr>
          <w:p w14:paraId="2A713131" w14:textId="77777777" w:rsidR="005D35AC" w:rsidRPr="005B54EE" w:rsidRDefault="005D35AC" w:rsidP="005D35AC">
            <w:pPr>
              <w:suppressAutoHyphens/>
              <w:rPr>
                <w:color w:val="000000"/>
                <w:sz w:val="18"/>
                <w:szCs w:val="18"/>
              </w:rPr>
            </w:pPr>
          </w:p>
        </w:tc>
        <w:tc>
          <w:tcPr>
            <w:tcW w:w="2462" w:type="dxa"/>
            <w:tcBorders>
              <w:top w:val="single" w:sz="4" w:space="0" w:color="D9D9D9"/>
              <w:left w:val="single" w:sz="4" w:space="0" w:color="D9D9D9"/>
              <w:right w:val="single" w:sz="4" w:space="0" w:color="D9D9D9"/>
            </w:tcBorders>
            <w:shd w:val="clear" w:color="auto" w:fill="auto"/>
            <w:tcMar>
              <w:left w:w="0" w:type="dxa"/>
            </w:tcMar>
            <w:vAlign w:val="center"/>
          </w:tcPr>
          <w:p w14:paraId="5378E0F8" w14:textId="77777777" w:rsidR="005D35AC" w:rsidRPr="005B54EE" w:rsidRDefault="005D35AC" w:rsidP="005D35AC">
            <w:pPr>
              <w:suppressAutoHyphens/>
              <w:rPr>
                <w:color w:val="000000"/>
                <w:sz w:val="18"/>
                <w:szCs w:val="18"/>
              </w:rPr>
            </w:pPr>
            <w:r w:rsidRPr="005B54EE">
              <w:rPr>
                <w:sz w:val="18"/>
              </w:rPr>
              <w:t>Agriculture</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5F5B5E76" w14:textId="77777777" w:rsidR="005D35AC" w:rsidRPr="005B54EE" w:rsidRDefault="005D35AC" w:rsidP="005D35AC">
            <w:pPr>
              <w:suppressAutoHyphens/>
              <w:rPr>
                <w:color w:val="000000"/>
                <w:sz w:val="18"/>
                <w:szCs w:val="18"/>
              </w:rPr>
            </w:pPr>
            <w:r w:rsidRPr="005B54EE">
              <w:rPr>
                <w:sz w:val="18"/>
              </w:rPr>
              <w:t>Yes</w:t>
            </w:r>
          </w:p>
        </w:tc>
      </w:tr>
      <w:tr w:rsidR="005D35AC" w:rsidRPr="005B54EE" w14:paraId="38A6C8F8" w14:textId="77777777" w:rsidTr="005D35AC">
        <w:trPr>
          <w:cantSplit/>
          <w:trHeight w:val="300"/>
        </w:trPr>
        <w:tc>
          <w:tcPr>
            <w:tcW w:w="2403" w:type="dxa"/>
            <w:vMerge/>
            <w:tcBorders>
              <w:top w:val="single" w:sz="4" w:space="0" w:color="000001"/>
              <w:left w:val="single" w:sz="4" w:space="0" w:color="D8D8D8"/>
              <w:bottom w:val="single" w:sz="4" w:space="0" w:color="000001"/>
              <w:right w:val="single" w:sz="4" w:space="0" w:color="D8D8D8"/>
            </w:tcBorders>
            <w:shd w:val="clear" w:color="auto" w:fill="auto"/>
            <w:tcMar>
              <w:left w:w="0" w:type="dxa"/>
            </w:tcMar>
            <w:vAlign w:val="center"/>
          </w:tcPr>
          <w:p w14:paraId="759A4481" w14:textId="77777777" w:rsidR="005D35AC" w:rsidRPr="005B54EE" w:rsidRDefault="005D35AC" w:rsidP="005D35AC">
            <w:pPr>
              <w:suppressAutoHyphens/>
              <w:rPr>
                <w:color w:val="000000"/>
                <w:sz w:val="18"/>
                <w:szCs w:val="18"/>
              </w:rPr>
            </w:pPr>
          </w:p>
        </w:tc>
        <w:tc>
          <w:tcPr>
            <w:tcW w:w="2462" w:type="dxa"/>
            <w:tcBorders>
              <w:top w:val="single" w:sz="4" w:space="0" w:color="D9D9D9"/>
              <w:left w:val="single" w:sz="4" w:space="0" w:color="D9D9D9"/>
              <w:right w:val="single" w:sz="4" w:space="0" w:color="D9D9D9"/>
            </w:tcBorders>
            <w:shd w:val="clear" w:color="auto" w:fill="auto"/>
            <w:tcMar>
              <w:left w:w="0" w:type="dxa"/>
            </w:tcMar>
            <w:vAlign w:val="center"/>
          </w:tcPr>
          <w:p w14:paraId="3A430878" w14:textId="77777777" w:rsidR="005D35AC" w:rsidRPr="005B54EE" w:rsidRDefault="005D35AC" w:rsidP="005D35AC">
            <w:pPr>
              <w:suppressAutoHyphens/>
              <w:rPr>
                <w:color w:val="000000"/>
                <w:sz w:val="18"/>
                <w:szCs w:val="18"/>
              </w:rPr>
            </w:pPr>
            <w:r w:rsidRPr="005B54EE">
              <w:rPr>
                <w:sz w:val="18"/>
              </w:rPr>
              <w:t>LULUCF</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38A8A3F5" w14:textId="77777777" w:rsidR="005D35AC" w:rsidRPr="005B54EE" w:rsidRDefault="005D35AC" w:rsidP="005D35AC">
            <w:pPr>
              <w:suppressAutoHyphens/>
              <w:rPr>
                <w:color w:val="000000"/>
                <w:sz w:val="18"/>
                <w:szCs w:val="18"/>
              </w:rPr>
            </w:pPr>
            <w:r w:rsidRPr="005B54EE">
              <w:rPr>
                <w:sz w:val="18"/>
              </w:rPr>
              <w:t>No</w:t>
            </w:r>
          </w:p>
        </w:tc>
      </w:tr>
      <w:tr w:rsidR="005D35AC" w:rsidRPr="005B54EE" w14:paraId="0551FC95" w14:textId="77777777" w:rsidTr="005D35AC">
        <w:trPr>
          <w:cantSplit/>
          <w:trHeight w:val="300"/>
        </w:trPr>
        <w:tc>
          <w:tcPr>
            <w:tcW w:w="2403" w:type="dxa"/>
            <w:vMerge/>
            <w:tcBorders>
              <w:top w:val="single" w:sz="4" w:space="0" w:color="000001"/>
              <w:left w:val="single" w:sz="4" w:space="0" w:color="D8D8D8"/>
              <w:bottom w:val="single" w:sz="4" w:space="0" w:color="000001"/>
              <w:right w:val="single" w:sz="4" w:space="0" w:color="D8D8D8"/>
            </w:tcBorders>
            <w:shd w:val="clear" w:color="auto" w:fill="auto"/>
            <w:tcMar>
              <w:left w:w="0" w:type="dxa"/>
            </w:tcMar>
            <w:vAlign w:val="center"/>
          </w:tcPr>
          <w:p w14:paraId="71789933" w14:textId="77777777" w:rsidR="005D35AC" w:rsidRPr="005B54EE" w:rsidRDefault="005D35AC" w:rsidP="005D35AC">
            <w:pPr>
              <w:suppressAutoHyphens/>
              <w:rPr>
                <w:color w:val="000000"/>
                <w:sz w:val="18"/>
                <w:szCs w:val="18"/>
              </w:rPr>
            </w:pPr>
          </w:p>
        </w:tc>
        <w:tc>
          <w:tcPr>
            <w:tcW w:w="2462" w:type="dxa"/>
            <w:tcBorders>
              <w:top w:val="single" w:sz="4" w:space="0" w:color="D9D9D9"/>
              <w:left w:val="single" w:sz="4" w:space="0" w:color="D9D9D9"/>
              <w:right w:val="single" w:sz="4" w:space="0" w:color="D9D9D9"/>
            </w:tcBorders>
            <w:shd w:val="clear" w:color="auto" w:fill="auto"/>
            <w:tcMar>
              <w:left w:w="0" w:type="dxa"/>
            </w:tcMar>
            <w:vAlign w:val="center"/>
          </w:tcPr>
          <w:p w14:paraId="3A9A21D4" w14:textId="77777777" w:rsidR="005D35AC" w:rsidRPr="005B54EE" w:rsidRDefault="005D35AC" w:rsidP="005D35AC">
            <w:pPr>
              <w:suppressAutoHyphens/>
              <w:rPr>
                <w:color w:val="000000"/>
                <w:sz w:val="18"/>
                <w:szCs w:val="18"/>
              </w:rPr>
            </w:pPr>
            <w:r w:rsidRPr="005B54EE">
              <w:rPr>
                <w:sz w:val="18"/>
              </w:rPr>
              <w:t>Waste</w:t>
            </w:r>
          </w:p>
        </w:tc>
        <w:tc>
          <w:tcPr>
            <w:tcW w:w="4604" w:type="dxa"/>
            <w:tcBorders>
              <w:top w:val="single" w:sz="4" w:space="0" w:color="D9D9D9"/>
              <w:left w:val="single" w:sz="4" w:space="0" w:color="D9D9D9"/>
              <w:right w:val="single" w:sz="4" w:space="0" w:color="D9D9D9"/>
            </w:tcBorders>
            <w:shd w:val="clear" w:color="auto" w:fill="auto"/>
            <w:tcMar>
              <w:left w:w="0" w:type="dxa"/>
            </w:tcMar>
            <w:vAlign w:val="center"/>
          </w:tcPr>
          <w:p w14:paraId="461095DC" w14:textId="77777777" w:rsidR="005D35AC" w:rsidRPr="005B54EE" w:rsidRDefault="005D35AC" w:rsidP="005D35AC">
            <w:pPr>
              <w:suppressAutoHyphens/>
              <w:rPr>
                <w:color w:val="000000"/>
                <w:sz w:val="18"/>
                <w:szCs w:val="18"/>
              </w:rPr>
            </w:pPr>
            <w:r w:rsidRPr="005B54EE">
              <w:rPr>
                <w:sz w:val="18"/>
              </w:rPr>
              <w:t>Yes</w:t>
            </w:r>
          </w:p>
        </w:tc>
      </w:tr>
      <w:tr w:rsidR="005D35AC" w:rsidRPr="005B54EE" w14:paraId="61355BF8" w14:textId="77777777" w:rsidTr="00C50CEB">
        <w:trPr>
          <w:cantSplit/>
          <w:trHeight w:val="300"/>
        </w:trPr>
        <w:tc>
          <w:tcPr>
            <w:tcW w:w="2403" w:type="dxa"/>
            <w:vMerge/>
            <w:tcBorders>
              <w:top w:val="single" w:sz="4" w:space="0" w:color="000001"/>
              <w:left w:val="single" w:sz="4" w:space="0" w:color="D8D8D8"/>
              <w:bottom w:val="single" w:sz="4" w:space="0" w:color="000001"/>
              <w:right w:val="single" w:sz="4" w:space="0" w:color="D8D8D8"/>
            </w:tcBorders>
            <w:shd w:val="clear" w:color="auto" w:fill="auto"/>
            <w:tcMar>
              <w:left w:w="0" w:type="dxa"/>
            </w:tcMar>
            <w:vAlign w:val="center"/>
          </w:tcPr>
          <w:p w14:paraId="35538392" w14:textId="77777777" w:rsidR="005D35AC" w:rsidRPr="005B54EE" w:rsidRDefault="005D35AC" w:rsidP="005D35AC">
            <w:pPr>
              <w:suppressAutoHyphens/>
              <w:rPr>
                <w:color w:val="000000"/>
                <w:sz w:val="18"/>
                <w:szCs w:val="18"/>
              </w:rPr>
            </w:pPr>
          </w:p>
        </w:tc>
        <w:tc>
          <w:tcPr>
            <w:tcW w:w="7066" w:type="dxa"/>
            <w:gridSpan w:val="2"/>
            <w:tcBorders>
              <w:top w:val="single" w:sz="4" w:space="0" w:color="B8B8B8"/>
              <w:left w:val="single" w:sz="4" w:space="0" w:color="B8B8B8"/>
              <w:bottom w:val="single" w:sz="4" w:space="0" w:color="00000A"/>
              <w:right w:val="single" w:sz="4" w:space="0" w:color="B8B8B8"/>
            </w:tcBorders>
            <w:shd w:val="clear" w:color="auto" w:fill="EEECE1" w:themeFill="background2"/>
            <w:tcMar>
              <w:left w:w="0" w:type="dxa"/>
            </w:tcMar>
            <w:vAlign w:val="center"/>
          </w:tcPr>
          <w:p w14:paraId="5FEB4EA8" w14:textId="77777777" w:rsidR="005D35AC" w:rsidRPr="005B54EE" w:rsidRDefault="005D35AC" w:rsidP="005D35AC">
            <w:pPr>
              <w:suppressAutoHyphens/>
              <w:rPr>
                <w:color w:val="000000"/>
                <w:sz w:val="18"/>
                <w:szCs w:val="18"/>
              </w:rPr>
            </w:pPr>
            <w:r w:rsidRPr="005B54EE">
              <w:rPr>
                <w:sz w:val="18"/>
              </w:rPr>
              <w:t>Other Sectors (specify)</w:t>
            </w:r>
          </w:p>
        </w:tc>
      </w:tr>
    </w:tbl>
    <w:p w14:paraId="57162A3C" w14:textId="77777777" w:rsidR="005D35AC" w:rsidRPr="005B54EE" w:rsidRDefault="005D35AC" w:rsidP="005D35AC">
      <w:pPr>
        <w:rPr>
          <w:b/>
          <w:bCs/>
          <w:color w:val="000000"/>
          <w:lang w:val="en-US"/>
        </w:rPr>
      </w:pPr>
    </w:p>
    <w:p w14:paraId="085F2448" w14:textId="77777777" w:rsidR="005D35AC" w:rsidRPr="005B54EE" w:rsidRDefault="005D35AC" w:rsidP="005D35AC"/>
    <w:tbl>
      <w:tblPr>
        <w:tblW w:w="3650" w:type="pct"/>
        <w:tblInd w:w="-69" w:type="dxa"/>
        <w:tblCellMar>
          <w:left w:w="70" w:type="dxa"/>
          <w:right w:w="70" w:type="dxa"/>
        </w:tblCellMar>
        <w:tblLook w:val="00A0" w:firstRow="1" w:lastRow="0" w:firstColumn="1" w:lastColumn="0" w:noHBand="0" w:noVBand="0"/>
      </w:tblPr>
      <w:tblGrid>
        <w:gridCol w:w="2807"/>
        <w:gridCol w:w="570"/>
        <w:gridCol w:w="3887"/>
      </w:tblGrid>
      <w:tr w:rsidR="005D35AC" w:rsidRPr="005B54EE" w14:paraId="65BD9093" w14:textId="77777777" w:rsidTr="005D35AC">
        <w:trPr>
          <w:trHeight w:val="915"/>
        </w:trPr>
        <w:tc>
          <w:tcPr>
            <w:tcW w:w="7199" w:type="dxa"/>
            <w:gridSpan w:val="3"/>
            <w:shd w:val="clear" w:color="auto" w:fill="auto"/>
            <w:vAlign w:val="center"/>
          </w:tcPr>
          <w:p w14:paraId="44FF8186" w14:textId="77777777" w:rsidR="005D35AC" w:rsidRPr="005B54EE" w:rsidRDefault="005D35AC" w:rsidP="005D35AC">
            <w:pPr>
              <w:suppressAutoHyphens/>
              <w:rPr>
                <w:sz w:val="18"/>
                <w:szCs w:val="18"/>
              </w:rPr>
            </w:pPr>
            <w:r w:rsidRPr="005B54EE">
              <w:rPr>
                <w:sz w:val="18"/>
                <w:lang w:val="en-US"/>
              </w:rPr>
              <w:t>Table 2 ( c )</w:t>
            </w:r>
          </w:p>
          <w:p w14:paraId="1918C155" w14:textId="77777777" w:rsidR="005D35AC" w:rsidRPr="005B54EE" w:rsidRDefault="005D35AC" w:rsidP="005D35AC">
            <w:pPr>
              <w:suppressAutoHyphens/>
              <w:rPr>
                <w:b/>
                <w:sz w:val="18"/>
                <w:szCs w:val="18"/>
              </w:rPr>
            </w:pPr>
            <w:r w:rsidRPr="005B54EE">
              <w:rPr>
                <w:b/>
                <w:sz w:val="18"/>
                <w:lang w:val="en-US"/>
              </w:rPr>
              <w:t>Description of quantified economy-wide emission reduction target: global warming potential values (GWP)a </w:t>
            </w:r>
          </w:p>
        </w:tc>
      </w:tr>
      <w:tr w:rsidR="005D35AC" w:rsidRPr="005B54EE" w14:paraId="3D228F19" w14:textId="77777777" w:rsidTr="005D35AC">
        <w:trPr>
          <w:trHeight w:val="300"/>
        </w:trPr>
        <w:tc>
          <w:tcPr>
            <w:tcW w:w="3347" w:type="dxa"/>
            <w:gridSpan w:val="2"/>
            <w:tcBorders>
              <w:top w:val="single" w:sz="4" w:space="0" w:color="00000A"/>
              <w:left w:val="single" w:sz="4" w:space="0" w:color="D8D8D8"/>
              <w:bottom w:val="single" w:sz="4" w:space="0" w:color="00000A"/>
            </w:tcBorders>
            <w:shd w:val="clear" w:color="auto" w:fill="auto"/>
            <w:tcMar>
              <w:left w:w="0" w:type="dxa"/>
            </w:tcMar>
            <w:vAlign w:val="center"/>
          </w:tcPr>
          <w:p w14:paraId="3460482C" w14:textId="77777777" w:rsidR="005D35AC" w:rsidRPr="005B54EE" w:rsidRDefault="005D35AC" w:rsidP="005D35AC">
            <w:pPr>
              <w:rPr>
                <w:i/>
                <w:iCs/>
                <w:color w:val="000000"/>
                <w:sz w:val="18"/>
                <w:szCs w:val="18"/>
              </w:rPr>
            </w:pPr>
            <w:r w:rsidRPr="005B54EE">
              <w:rPr>
                <w:i/>
                <w:color w:val="000000"/>
                <w:sz w:val="18"/>
              </w:rPr>
              <w:t>Gases</w:t>
            </w:r>
          </w:p>
        </w:tc>
        <w:tc>
          <w:tcPr>
            <w:tcW w:w="3852" w:type="dxa"/>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6CBD819F" w14:textId="77777777" w:rsidR="005D35AC" w:rsidRPr="005B54EE" w:rsidRDefault="005D35AC" w:rsidP="005D35AC">
            <w:pPr>
              <w:jc w:val="center"/>
              <w:rPr>
                <w:i/>
                <w:iCs/>
                <w:sz w:val="18"/>
                <w:szCs w:val="18"/>
              </w:rPr>
            </w:pPr>
            <w:r w:rsidRPr="005B54EE">
              <w:rPr>
                <w:i/>
                <w:sz w:val="18"/>
              </w:rPr>
              <w:t xml:space="preserve">GWP values </w:t>
            </w:r>
            <w:r w:rsidRPr="005B54EE">
              <w:rPr>
                <w:i/>
                <w:sz w:val="18"/>
                <w:vertAlign w:val="superscript"/>
              </w:rPr>
              <w:t>b</w:t>
            </w:r>
          </w:p>
        </w:tc>
      </w:tr>
      <w:tr w:rsidR="005D35AC" w:rsidRPr="005B54EE" w14:paraId="2D3976D1" w14:textId="77777777" w:rsidTr="005D35AC">
        <w:trPr>
          <w:trHeight w:val="300"/>
        </w:trPr>
        <w:tc>
          <w:tcPr>
            <w:tcW w:w="3347" w:type="dxa"/>
            <w:gridSpan w:val="2"/>
            <w:tcBorders>
              <w:top w:val="single" w:sz="4" w:space="0" w:color="D8D8D8"/>
              <w:left w:val="single" w:sz="4" w:space="0" w:color="B8B8B8"/>
              <w:bottom w:val="single" w:sz="4" w:space="0" w:color="D8D8D8"/>
              <w:right w:val="single" w:sz="4" w:space="0" w:color="D9D9D9"/>
            </w:tcBorders>
            <w:shd w:val="clear" w:color="auto" w:fill="auto"/>
            <w:tcMar>
              <w:left w:w="0" w:type="dxa"/>
            </w:tcMar>
            <w:vAlign w:val="center"/>
          </w:tcPr>
          <w:p w14:paraId="71D87FEE" w14:textId="5624CE2D" w:rsidR="005D35AC" w:rsidRPr="005B54EE" w:rsidRDefault="00811B0F" w:rsidP="005D35AC">
            <w:pPr>
              <w:rPr>
                <w:color w:val="000000"/>
                <w:sz w:val="18"/>
                <w:szCs w:val="18"/>
              </w:rPr>
            </w:pPr>
            <w:r w:rsidRPr="005B54EE">
              <w:t>CO</w:t>
            </w:r>
            <w:r w:rsidRPr="005B54EE">
              <w:rPr>
                <w:vertAlign w:val="subscript"/>
              </w:rPr>
              <w:t>2</w:t>
            </w:r>
          </w:p>
        </w:tc>
        <w:tc>
          <w:tcPr>
            <w:tcW w:w="3852" w:type="dxa"/>
            <w:tcBorders>
              <w:top w:val="single" w:sz="4" w:space="0" w:color="D8D8D8"/>
              <w:left w:val="single" w:sz="4" w:space="0" w:color="B8B8B8"/>
              <w:bottom w:val="single" w:sz="4" w:space="0" w:color="D8D8D8"/>
              <w:right w:val="single" w:sz="4" w:space="0" w:color="B8B8B8"/>
            </w:tcBorders>
            <w:shd w:val="clear" w:color="auto" w:fill="auto"/>
            <w:tcMar>
              <w:left w:w="0" w:type="dxa"/>
            </w:tcMar>
            <w:vAlign w:val="center"/>
          </w:tcPr>
          <w:p w14:paraId="19B0C31A" w14:textId="3F8A2C86" w:rsidR="005D35AC" w:rsidRPr="005B54EE" w:rsidRDefault="005D35AC" w:rsidP="000863E6">
            <w:pPr>
              <w:rPr>
                <w:color w:val="000000"/>
                <w:sz w:val="18"/>
                <w:szCs w:val="18"/>
              </w:rPr>
            </w:pPr>
            <w:r w:rsidRPr="005B54EE">
              <w:rPr>
                <w:sz w:val="18"/>
              </w:rPr>
              <w:t>4</w:t>
            </w:r>
            <w:r w:rsidRPr="005B54EE">
              <w:rPr>
                <w:sz w:val="18"/>
                <w:vertAlign w:val="superscript"/>
              </w:rPr>
              <w:t>th</w:t>
            </w:r>
            <w:r w:rsidRPr="005B54EE">
              <w:rPr>
                <w:sz w:val="18"/>
              </w:rPr>
              <w:t xml:space="preserve"> AR</w:t>
            </w:r>
          </w:p>
        </w:tc>
      </w:tr>
      <w:tr w:rsidR="005D35AC" w:rsidRPr="005B54EE" w14:paraId="16AD9DDE" w14:textId="77777777" w:rsidTr="005D35AC">
        <w:trPr>
          <w:trHeight w:val="300"/>
        </w:trPr>
        <w:tc>
          <w:tcPr>
            <w:tcW w:w="3347"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108FF683" w14:textId="6491DF67" w:rsidR="005D35AC" w:rsidRPr="005B54EE" w:rsidRDefault="00891B49" w:rsidP="005D35AC">
            <w:pPr>
              <w:rPr>
                <w:color w:val="000000"/>
                <w:sz w:val="18"/>
                <w:szCs w:val="18"/>
              </w:rPr>
            </w:pPr>
            <w:r w:rsidRPr="005B54EE">
              <w:t>CH</w:t>
            </w:r>
            <w:r w:rsidRPr="005B54EE">
              <w:rPr>
                <w:vertAlign w:val="subscript"/>
              </w:rPr>
              <w:t>4</w:t>
            </w:r>
          </w:p>
        </w:tc>
        <w:tc>
          <w:tcPr>
            <w:tcW w:w="3852" w:type="dxa"/>
            <w:tcBorders>
              <w:top w:val="single" w:sz="4" w:space="0" w:color="D9D9D9"/>
              <w:left w:val="single" w:sz="4" w:space="0" w:color="D9D9D9"/>
              <w:right w:val="single" w:sz="4" w:space="0" w:color="D9D9D9"/>
            </w:tcBorders>
            <w:shd w:val="clear" w:color="auto" w:fill="auto"/>
            <w:tcMar>
              <w:left w:w="0" w:type="dxa"/>
            </w:tcMar>
            <w:vAlign w:val="center"/>
          </w:tcPr>
          <w:p w14:paraId="7DF0B71C" w14:textId="553A2E8A" w:rsidR="005D35AC" w:rsidRPr="005B54EE" w:rsidRDefault="000863E6" w:rsidP="005D35AC">
            <w:pPr>
              <w:rPr>
                <w:color w:val="000000"/>
                <w:sz w:val="18"/>
                <w:szCs w:val="18"/>
              </w:rPr>
            </w:pPr>
            <w:r w:rsidRPr="005B54EE">
              <w:rPr>
                <w:sz w:val="18"/>
              </w:rPr>
              <w:t>4</w:t>
            </w:r>
            <w:r w:rsidRPr="005B54EE">
              <w:rPr>
                <w:sz w:val="18"/>
                <w:vertAlign w:val="superscript"/>
              </w:rPr>
              <w:t>th</w:t>
            </w:r>
            <w:r w:rsidRPr="005B54EE">
              <w:rPr>
                <w:sz w:val="18"/>
              </w:rPr>
              <w:t xml:space="preserve"> AR</w:t>
            </w:r>
          </w:p>
        </w:tc>
      </w:tr>
      <w:tr w:rsidR="005D35AC" w:rsidRPr="005B54EE" w14:paraId="326FC481" w14:textId="77777777" w:rsidTr="005D35AC">
        <w:trPr>
          <w:trHeight w:val="300"/>
        </w:trPr>
        <w:tc>
          <w:tcPr>
            <w:tcW w:w="3347"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1D8E0852" w14:textId="6641087D" w:rsidR="005D35AC" w:rsidRPr="005B54EE" w:rsidRDefault="00891B49" w:rsidP="005D35AC">
            <w:pPr>
              <w:rPr>
                <w:color w:val="000000"/>
                <w:sz w:val="18"/>
                <w:szCs w:val="18"/>
              </w:rPr>
            </w:pPr>
            <w:r w:rsidRPr="005B54EE">
              <w:t>N</w:t>
            </w:r>
            <w:r w:rsidRPr="005B54EE">
              <w:rPr>
                <w:vertAlign w:val="subscript"/>
              </w:rPr>
              <w:t>2</w:t>
            </w:r>
            <w:r w:rsidRPr="005B54EE">
              <w:t>O</w:t>
            </w:r>
          </w:p>
        </w:tc>
        <w:tc>
          <w:tcPr>
            <w:tcW w:w="3852" w:type="dxa"/>
            <w:tcBorders>
              <w:top w:val="single" w:sz="4" w:space="0" w:color="D9D9D9"/>
              <w:left w:val="single" w:sz="4" w:space="0" w:color="D9D9D9"/>
              <w:right w:val="single" w:sz="4" w:space="0" w:color="D9D9D9"/>
            </w:tcBorders>
            <w:shd w:val="clear" w:color="auto" w:fill="auto"/>
            <w:tcMar>
              <w:left w:w="0" w:type="dxa"/>
            </w:tcMar>
            <w:vAlign w:val="center"/>
          </w:tcPr>
          <w:p w14:paraId="6CE1EDE1" w14:textId="3AF2F745" w:rsidR="005D35AC" w:rsidRPr="005B54EE" w:rsidRDefault="000863E6" w:rsidP="005D35AC">
            <w:pPr>
              <w:rPr>
                <w:color w:val="000000"/>
                <w:sz w:val="18"/>
                <w:szCs w:val="18"/>
              </w:rPr>
            </w:pPr>
            <w:r w:rsidRPr="005B54EE">
              <w:rPr>
                <w:sz w:val="18"/>
              </w:rPr>
              <w:t>4</w:t>
            </w:r>
            <w:r w:rsidRPr="005B54EE">
              <w:rPr>
                <w:sz w:val="18"/>
                <w:vertAlign w:val="superscript"/>
              </w:rPr>
              <w:t>th</w:t>
            </w:r>
            <w:r w:rsidRPr="005B54EE">
              <w:rPr>
                <w:sz w:val="18"/>
              </w:rPr>
              <w:t xml:space="preserve"> AR</w:t>
            </w:r>
          </w:p>
        </w:tc>
      </w:tr>
      <w:tr w:rsidR="005D35AC" w:rsidRPr="005B54EE" w14:paraId="7B060089" w14:textId="77777777" w:rsidTr="005D35AC">
        <w:trPr>
          <w:trHeight w:val="300"/>
        </w:trPr>
        <w:tc>
          <w:tcPr>
            <w:tcW w:w="3347"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04D254C5" w14:textId="77777777" w:rsidR="005D35AC" w:rsidRPr="005B54EE" w:rsidRDefault="005D35AC" w:rsidP="005D35AC">
            <w:pPr>
              <w:rPr>
                <w:color w:val="000000"/>
                <w:sz w:val="18"/>
                <w:szCs w:val="18"/>
              </w:rPr>
            </w:pPr>
            <w:r w:rsidRPr="005B54EE">
              <w:rPr>
                <w:sz w:val="18"/>
              </w:rPr>
              <w:t>HFCs</w:t>
            </w:r>
          </w:p>
        </w:tc>
        <w:tc>
          <w:tcPr>
            <w:tcW w:w="3852" w:type="dxa"/>
            <w:tcBorders>
              <w:top w:val="single" w:sz="4" w:space="0" w:color="D9D9D9"/>
              <w:left w:val="single" w:sz="4" w:space="0" w:color="D9D9D9"/>
              <w:right w:val="single" w:sz="4" w:space="0" w:color="D9D9D9"/>
            </w:tcBorders>
            <w:shd w:val="clear" w:color="auto" w:fill="auto"/>
            <w:tcMar>
              <w:left w:w="0" w:type="dxa"/>
            </w:tcMar>
            <w:vAlign w:val="center"/>
          </w:tcPr>
          <w:p w14:paraId="140ABD1F" w14:textId="1DA78929" w:rsidR="005D35AC" w:rsidRPr="005B54EE" w:rsidRDefault="000863E6" w:rsidP="005D35AC">
            <w:pPr>
              <w:rPr>
                <w:color w:val="000000"/>
                <w:sz w:val="18"/>
                <w:szCs w:val="18"/>
              </w:rPr>
            </w:pPr>
            <w:r w:rsidRPr="005B54EE">
              <w:rPr>
                <w:sz w:val="18"/>
              </w:rPr>
              <w:t>4</w:t>
            </w:r>
            <w:r w:rsidRPr="005B54EE">
              <w:rPr>
                <w:sz w:val="18"/>
                <w:vertAlign w:val="superscript"/>
              </w:rPr>
              <w:t>th</w:t>
            </w:r>
            <w:r w:rsidRPr="005B54EE">
              <w:rPr>
                <w:sz w:val="18"/>
              </w:rPr>
              <w:t xml:space="preserve"> AR</w:t>
            </w:r>
          </w:p>
        </w:tc>
      </w:tr>
      <w:tr w:rsidR="005D35AC" w:rsidRPr="005B54EE" w14:paraId="04AEA8CB" w14:textId="77777777" w:rsidTr="005D35AC">
        <w:trPr>
          <w:trHeight w:val="300"/>
        </w:trPr>
        <w:tc>
          <w:tcPr>
            <w:tcW w:w="3347"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304F8367" w14:textId="77777777" w:rsidR="005D35AC" w:rsidRPr="005B54EE" w:rsidRDefault="005D35AC" w:rsidP="005D35AC">
            <w:pPr>
              <w:rPr>
                <w:color w:val="000000"/>
                <w:sz w:val="18"/>
                <w:szCs w:val="18"/>
              </w:rPr>
            </w:pPr>
            <w:r w:rsidRPr="005B54EE">
              <w:rPr>
                <w:sz w:val="18"/>
              </w:rPr>
              <w:t>PFCs</w:t>
            </w:r>
          </w:p>
        </w:tc>
        <w:tc>
          <w:tcPr>
            <w:tcW w:w="3852" w:type="dxa"/>
            <w:tcBorders>
              <w:top w:val="single" w:sz="4" w:space="0" w:color="D9D9D9"/>
              <w:left w:val="single" w:sz="4" w:space="0" w:color="D9D9D9"/>
              <w:right w:val="single" w:sz="4" w:space="0" w:color="D9D9D9"/>
            </w:tcBorders>
            <w:shd w:val="clear" w:color="auto" w:fill="auto"/>
            <w:tcMar>
              <w:left w:w="0" w:type="dxa"/>
            </w:tcMar>
            <w:vAlign w:val="center"/>
          </w:tcPr>
          <w:p w14:paraId="7570D52A" w14:textId="54F63C96" w:rsidR="005D35AC" w:rsidRPr="005B54EE" w:rsidRDefault="000863E6" w:rsidP="005D35AC">
            <w:pPr>
              <w:rPr>
                <w:color w:val="000000"/>
                <w:sz w:val="18"/>
                <w:szCs w:val="18"/>
              </w:rPr>
            </w:pPr>
            <w:r w:rsidRPr="005B54EE">
              <w:rPr>
                <w:sz w:val="18"/>
              </w:rPr>
              <w:t>4</w:t>
            </w:r>
            <w:r w:rsidRPr="005B54EE">
              <w:rPr>
                <w:sz w:val="18"/>
                <w:vertAlign w:val="superscript"/>
              </w:rPr>
              <w:t>th</w:t>
            </w:r>
            <w:r w:rsidRPr="005B54EE">
              <w:rPr>
                <w:sz w:val="18"/>
              </w:rPr>
              <w:t xml:space="preserve"> AR</w:t>
            </w:r>
          </w:p>
        </w:tc>
      </w:tr>
      <w:tr w:rsidR="005D35AC" w:rsidRPr="005B54EE" w14:paraId="4C8643C0" w14:textId="77777777" w:rsidTr="005D35AC">
        <w:trPr>
          <w:trHeight w:val="300"/>
        </w:trPr>
        <w:tc>
          <w:tcPr>
            <w:tcW w:w="3347" w:type="dxa"/>
            <w:gridSpan w:val="2"/>
            <w:tcBorders>
              <w:top w:val="single" w:sz="4" w:space="0" w:color="D9D9D9"/>
              <w:left w:val="single" w:sz="4" w:space="0" w:color="D9D9D9"/>
              <w:right w:val="single" w:sz="4" w:space="0" w:color="D9D9D9"/>
            </w:tcBorders>
            <w:shd w:val="clear" w:color="auto" w:fill="auto"/>
            <w:tcMar>
              <w:left w:w="0" w:type="dxa"/>
            </w:tcMar>
            <w:vAlign w:val="center"/>
          </w:tcPr>
          <w:p w14:paraId="3B8E2307" w14:textId="1E6D1A05" w:rsidR="005D35AC" w:rsidRPr="005B54EE" w:rsidRDefault="002F2FFD" w:rsidP="005D35AC">
            <w:pPr>
              <w:rPr>
                <w:color w:val="000000"/>
                <w:sz w:val="18"/>
                <w:szCs w:val="18"/>
              </w:rPr>
            </w:pPr>
            <w:r w:rsidRPr="005B54EE">
              <w:t>SF</w:t>
            </w:r>
            <w:r w:rsidRPr="005B54EE">
              <w:rPr>
                <w:vertAlign w:val="subscript"/>
              </w:rPr>
              <w:t>6</w:t>
            </w:r>
          </w:p>
        </w:tc>
        <w:tc>
          <w:tcPr>
            <w:tcW w:w="3852" w:type="dxa"/>
            <w:tcBorders>
              <w:top w:val="single" w:sz="4" w:space="0" w:color="D9D9D9"/>
              <w:left w:val="single" w:sz="4" w:space="0" w:color="D9D9D9"/>
              <w:right w:val="single" w:sz="4" w:space="0" w:color="D9D9D9"/>
            </w:tcBorders>
            <w:shd w:val="clear" w:color="auto" w:fill="auto"/>
            <w:tcMar>
              <w:left w:w="0" w:type="dxa"/>
            </w:tcMar>
            <w:vAlign w:val="center"/>
          </w:tcPr>
          <w:p w14:paraId="56E28E9F" w14:textId="54261485" w:rsidR="005D35AC" w:rsidRPr="005B54EE" w:rsidRDefault="000863E6" w:rsidP="005D35AC">
            <w:pPr>
              <w:rPr>
                <w:color w:val="000000"/>
                <w:sz w:val="18"/>
                <w:szCs w:val="18"/>
              </w:rPr>
            </w:pPr>
            <w:r w:rsidRPr="005B54EE">
              <w:rPr>
                <w:sz w:val="18"/>
              </w:rPr>
              <w:t>4</w:t>
            </w:r>
            <w:r w:rsidRPr="005B54EE">
              <w:rPr>
                <w:sz w:val="18"/>
                <w:vertAlign w:val="superscript"/>
              </w:rPr>
              <w:t>th</w:t>
            </w:r>
            <w:r w:rsidRPr="005B54EE">
              <w:rPr>
                <w:sz w:val="18"/>
              </w:rPr>
              <w:t xml:space="preserve"> AR</w:t>
            </w:r>
          </w:p>
        </w:tc>
      </w:tr>
      <w:tr w:rsidR="005D35AC" w:rsidRPr="005B54EE" w14:paraId="599B2691" w14:textId="77777777" w:rsidTr="005D35AC">
        <w:trPr>
          <w:trHeight w:val="300"/>
        </w:trPr>
        <w:tc>
          <w:tcPr>
            <w:tcW w:w="7199" w:type="dxa"/>
            <w:gridSpan w:val="3"/>
            <w:tcBorders>
              <w:top w:val="single" w:sz="4" w:space="0" w:color="B8B8B8"/>
              <w:left w:val="single" w:sz="4" w:space="0" w:color="B8B8B8"/>
              <w:bottom w:val="single" w:sz="4" w:space="0" w:color="00000A"/>
              <w:right w:val="single" w:sz="4" w:space="0" w:color="B8B8B8"/>
            </w:tcBorders>
            <w:shd w:val="clear" w:color="auto" w:fill="auto"/>
            <w:tcMar>
              <w:left w:w="0" w:type="dxa"/>
            </w:tcMar>
            <w:vAlign w:val="center"/>
          </w:tcPr>
          <w:p w14:paraId="55E1FC5C" w14:textId="77777777" w:rsidR="005D35AC" w:rsidRPr="005B54EE" w:rsidRDefault="005D35AC" w:rsidP="005D35AC">
            <w:pPr>
              <w:rPr>
                <w:color w:val="000000"/>
                <w:sz w:val="18"/>
                <w:szCs w:val="18"/>
              </w:rPr>
            </w:pPr>
            <w:r w:rsidRPr="005B54EE">
              <w:rPr>
                <w:sz w:val="18"/>
              </w:rPr>
              <w:t>Other Gases (specify)</w:t>
            </w:r>
          </w:p>
        </w:tc>
      </w:tr>
      <w:tr w:rsidR="005D35AC" w:rsidRPr="005B54EE" w14:paraId="6CC62863" w14:textId="77777777" w:rsidTr="005D35AC">
        <w:trPr>
          <w:trHeight w:val="300"/>
        </w:trPr>
        <w:tc>
          <w:tcPr>
            <w:tcW w:w="3347" w:type="dxa"/>
            <w:gridSpan w:val="2"/>
            <w:shd w:val="clear" w:color="auto" w:fill="auto"/>
            <w:vAlign w:val="center"/>
          </w:tcPr>
          <w:p w14:paraId="30237E04" w14:textId="77777777" w:rsidR="005D35AC" w:rsidRPr="005B54EE" w:rsidRDefault="005D35AC" w:rsidP="005D35AC">
            <w:pPr>
              <w:rPr>
                <w:color w:val="000000"/>
                <w:sz w:val="18"/>
                <w:szCs w:val="18"/>
              </w:rPr>
            </w:pPr>
          </w:p>
        </w:tc>
        <w:tc>
          <w:tcPr>
            <w:tcW w:w="3852" w:type="dxa"/>
            <w:shd w:val="clear" w:color="auto" w:fill="auto"/>
            <w:vAlign w:val="center"/>
          </w:tcPr>
          <w:p w14:paraId="5CA62429" w14:textId="77777777" w:rsidR="005D35AC" w:rsidRPr="005B54EE" w:rsidRDefault="005D35AC" w:rsidP="005D35AC">
            <w:pPr>
              <w:jc w:val="right"/>
              <w:rPr>
                <w:color w:val="000000"/>
                <w:sz w:val="18"/>
                <w:szCs w:val="18"/>
              </w:rPr>
            </w:pPr>
          </w:p>
        </w:tc>
      </w:tr>
      <w:tr w:rsidR="005D35AC" w:rsidRPr="005B54EE" w14:paraId="1CEF98F6" w14:textId="77777777" w:rsidTr="005D35AC">
        <w:trPr>
          <w:trHeight w:val="330"/>
        </w:trPr>
        <w:tc>
          <w:tcPr>
            <w:tcW w:w="7199" w:type="dxa"/>
            <w:gridSpan w:val="3"/>
            <w:shd w:val="clear" w:color="auto" w:fill="auto"/>
            <w:vAlign w:val="center"/>
          </w:tcPr>
          <w:p w14:paraId="09084299" w14:textId="77777777" w:rsidR="005D35AC" w:rsidRPr="005B54EE" w:rsidRDefault="005D35AC" w:rsidP="005D35AC">
            <w:pPr>
              <w:rPr>
                <w:i/>
                <w:iCs/>
                <w:color w:val="000000"/>
                <w:sz w:val="18"/>
                <w:szCs w:val="18"/>
              </w:rPr>
            </w:pPr>
            <w:r w:rsidRPr="005B54EE">
              <w:rPr>
                <w:i/>
                <w:color w:val="000000"/>
                <w:sz w:val="18"/>
                <w:lang w:val="en-US"/>
              </w:rPr>
              <w:t>Abbreviations</w:t>
            </w:r>
            <w:r w:rsidRPr="005B54EE">
              <w:rPr>
                <w:color w:val="000000"/>
                <w:sz w:val="18"/>
                <w:lang w:val="en-US"/>
              </w:rPr>
              <w:t xml:space="preserve">: GWP = global warming potential </w:t>
            </w:r>
          </w:p>
        </w:tc>
      </w:tr>
      <w:tr w:rsidR="005D35AC" w:rsidRPr="005B54EE" w14:paraId="5EECC9B6" w14:textId="77777777" w:rsidTr="005D35AC">
        <w:trPr>
          <w:trHeight w:val="330"/>
        </w:trPr>
        <w:tc>
          <w:tcPr>
            <w:tcW w:w="7199" w:type="dxa"/>
            <w:gridSpan w:val="3"/>
            <w:shd w:val="clear" w:color="auto" w:fill="auto"/>
            <w:vAlign w:val="center"/>
          </w:tcPr>
          <w:p w14:paraId="2ECBE3BE" w14:textId="77777777" w:rsidR="005D35AC" w:rsidRPr="005B54EE" w:rsidRDefault="005D35AC" w:rsidP="005D35AC">
            <w:pPr>
              <w:jc w:val="left"/>
              <w:rPr>
                <w:i/>
                <w:iCs/>
                <w:color w:val="000000"/>
                <w:sz w:val="18"/>
                <w:szCs w:val="18"/>
                <w:lang w:val="en-US"/>
              </w:rPr>
            </w:pPr>
          </w:p>
        </w:tc>
      </w:tr>
      <w:tr w:rsidR="005D35AC" w:rsidRPr="005B54EE" w14:paraId="65103482" w14:textId="77777777" w:rsidTr="005D35AC">
        <w:trPr>
          <w:trHeight w:val="1005"/>
        </w:trPr>
        <w:tc>
          <w:tcPr>
            <w:tcW w:w="2782" w:type="dxa"/>
            <w:shd w:val="clear" w:color="auto" w:fill="auto"/>
          </w:tcPr>
          <w:p w14:paraId="3D033537" w14:textId="77777777" w:rsidR="005D35AC" w:rsidRPr="005B54EE" w:rsidRDefault="005D35AC" w:rsidP="005D35AC">
            <w:pPr>
              <w:rPr>
                <w:lang w:val="en-US"/>
              </w:rPr>
            </w:pPr>
          </w:p>
        </w:tc>
        <w:tc>
          <w:tcPr>
            <w:tcW w:w="4417" w:type="dxa"/>
            <w:gridSpan w:val="2"/>
            <w:shd w:val="clear" w:color="auto" w:fill="auto"/>
            <w:vAlign w:val="center"/>
          </w:tcPr>
          <w:p w14:paraId="3F1D609D" w14:textId="77777777" w:rsidR="005D35AC" w:rsidRPr="005B54EE" w:rsidRDefault="005D35AC" w:rsidP="005D35AC">
            <w:pPr>
              <w:jc w:val="left"/>
              <w:rPr>
                <w:i/>
                <w:iCs/>
                <w:color w:val="000000"/>
                <w:sz w:val="18"/>
                <w:szCs w:val="18"/>
              </w:rPr>
            </w:pPr>
            <w:r w:rsidRPr="005B54EE">
              <w:rPr>
                <w:i/>
                <w:color w:val="000000"/>
                <w:sz w:val="18"/>
                <w:vertAlign w:val="superscript"/>
                <w:lang w:val="en-US"/>
              </w:rPr>
              <w:t xml:space="preserve">a   </w:t>
            </w:r>
            <w:r w:rsidRPr="005B54EE">
              <w:rPr>
                <w:color w:val="000000"/>
                <w:sz w:val="18"/>
                <w:lang w:val="en-US"/>
              </w:rPr>
              <w:t>Reporting by a developed country Party on the information specified in the common tabular format does not prejudge the position of other Parties with regard to the treatment of units from market-based mechanisms under the Convention or other market-based mechanisms towards achievement of quantified economy-wide emission reduction targets.</w:t>
            </w:r>
          </w:p>
        </w:tc>
      </w:tr>
      <w:tr w:rsidR="005D35AC" w:rsidRPr="005B54EE" w14:paraId="5A9DCE84" w14:textId="77777777" w:rsidTr="005D35AC">
        <w:tc>
          <w:tcPr>
            <w:tcW w:w="2782" w:type="dxa"/>
            <w:shd w:val="clear" w:color="auto" w:fill="auto"/>
          </w:tcPr>
          <w:p w14:paraId="39BB5863" w14:textId="77777777" w:rsidR="005D35AC" w:rsidRPr="005B54EE" w:rsidRDefault="005D35AC" w:rsidP="005D35AC">
            <w:pPr>
              <w:rPr>
                <w:lang w:val="en-US"/>
              </w:rPr>
            </w:pPr>
          </w:p>
        </w:tc>
        <w:tc>
          <w:tcPr>
            <w:tcW w:w="4417" w:type="dxa"/>
            <w:gridSpan w:val="2"/>
            <w:shd w:val="clear" w:color="auto" w:fill="auto"/>
            <w:vAlign w:val="center"/>
          </w:tcPr>
          <w:p w14:paraId="633A9CCA" w14:textId="77777777" w:rsidR="005D35AC" w:rsidRPr="005B54EE" w:rsidRDefault="005D35AC" w:rsidP="005D35AC">
            <w:pPr>
              <w:jc w:val="left"/>
              <w:rPr>
                <w:i/>
                <w:iCs/>
                <w:color w:val="000000"/>
                <w:sz w:val="18"/>
                <w:szCs w:val="18"/>
                <w:vertAlign w:val="superscript"/>
                <w:lang w:val="en-US"/>
              </w:rPr>
            </w:pPr>
          </w:p>
        </w:tc>
      </w:tr>
      <w:tr w:rsidR="005D35AC" w:rsidRPr="005B54EE" w14:paraId="1F1F84B6" w14:textId="77777777" w:rsidTr="005D35AC">
        <w:trPr>
          <w:trHeight w:val="750"/>
        </w:trPr>
        <w:tc>
          <w:tcPr>
            <w:tcW w:w="2782" w:type="dxa"/>
            <w:shd w:val="clear" w:color="auto" w:fill="auto"/>
          </w:tcPr>
          <w:p w14:paraId="730895B0" w14:textId="77777777" w:rsidR="005D35AC" w:rsidRPr="005B54EE" w:rsidRDefault="005D35AC" w:rsidP="005D35AC">
            <w:pPr>
              <w:rPr>
                <w:lang w:val="en-US"/>
              </w:rPr>
            </w:pPr>
          </w:p>
        </w:tc>
        <w:tc>
          <w:tcPr>
            <w:tcW w:w="4417" w:type="dxa"/>
            <w:gridSpan w:val="2"/>
            <w:shd w:val="clear" w:color="auto" w:fill="auto"/>
            <w:vAlign w:val="center"/>
          </w:tcPr>
          <w:p w14:paraId="2B6364D2" w14:textId="77777777" w:rsidR="005D35AC" w:rsidRPr="005B54EE" w:rsidRDefault="005D35AC" w:rsidP="005D35AC">
            <w:pPr>
              <w:jc w:val="left"/>
              <w:rPr>
                <w:i/>
                <w:iCs/>
                <w:color w:val="000000"/>
                <w:sz w:val="18"/>
                <w:szCs w:val="18"/>
              </w:rPr>
            </w:pPr>
            <w:r w:rsidRPr="005B54EE">
              <w:rPr>
                <w:i/>
                <w:color w:val="000000"/>
                <w:sz w:val="18"/>
                <w:vertAlign w:val="superscript"/>
                <w:lang w:val="en-US"/>
              </w:rPr>
              <w:t xml:space="preserve">b   </w:t>
            </w:r>
            <w:r w:rsidRPr="005B54EE">
              <w:rPr>
                <w:color w:val="000000"/>
                <w:sz w:val="18"/>
                <w:lang w:val="en-US"/>
              </w:rPr>
              <w:t xml:space="preserve">Please specify the reference for the GWP: Second Assessment Report of the Intergovernmental Panel on Climate Change (IPCC) or the Fourth Assessment Report of the IPCC.  </w:t>
            </w:r>
          </w:p>
        </w:tc>
      </w:tr>
    </w:tbl>
    <w:p w14:paraId="17330B58" w14:textId="77777777" w:rsidR="005D35AC" w:rsidRPr="005B54EE" w:rsidRDefault="005D35AC" w:rsidP="005D35AC"/>
    <w:p w14:paraId="1C46DE8D" w14:textId="77777777" w:rsidR="005D35AC" w:rsidRPr="005B54EE" w:rsidRDefault="005D35AC" w:rsidP="005D35AC">
      <w:pPr>
        <w:suppressAutoHyphens/>
        <w:spacing w:line="276" w:lineRule="auto"/>
        <w:rPr>
          <w:rFonts w:ascii="Arial" w:hAnsi="Arial" w:cs="Arial"/>
          <w:lang w:val="en-US"/>
        </w:rPr>
      </w:pPr>
    </w:p>
    <w:p w14:paraId="65D487CF" w14:textId="5D1C7DD2" w:rsidR="005D35AC" w:rsidRPr="005B54EE" w:rsidRDefault="005D35AC" w:rsidP="005D35AC">
      <w:pPr>
        <w:suppressAutoHyphens/>
        <w:rPr>
          <w:rFonts w:ascii="Arial" w:hAnsi="Arial" w:cs="Arial"/>
          <w:sz w:val="20"/>
          <w:szCs w:val="20"/>
        </w:rPr>
      </w:pPr>
      <w:r w:rsidRPr="005B54EE">
        <w:rPr>
          <w:rFonts w:ascii="Times New Roman" w:hAnsi="Times New Roman"/>
        </w:rPr>
        <w:t>The global warming potential used to convert the quantities of greenhouse gases expressed in mass into CO</w:t>
      </w:r>
      <w:r w:rsidRPr="005B54EE">
        <w:rPr>
          <w:rFonts w:ascii="Times New Roman" w:hAnsi="Times New Roman"/>
          <w:vertAlign w:val="subscript"/>
        </w:rPr>
        <w:t>2</w:t>
      </w:r>
      <w:r w:rsidRPr="005B54EE">
        <w:rPr>
          <w:rFonts w:ascii="Times New Roman" w:hAnsi="Times New Roman"/>
        </w:rPr>
        <w:t xml:space="preserve"> equivalents are those of the 4th IPCC report in accordance with the decisions of the Climate Convention.</w:t>
      </w:r>
    </w:p>
    <w:p w14:paraId="256B0012" w14:textId="77777777" w:rsidR="005D35AC" w:rsidRPr="005B54EE" w:rsidRDefault="005D35AC" w:rsidP="005D35AC">
      <w:pPr>
        <w:suppressAutoHyphens/>
        <w:rPr>
          <w:rFonts w:ascii="Times New Roman" w:hAnsi="Times New Roman" w:cs="Arial"/>
        </w:rPr>
      </w:pPr>
    </w:p>
    <w:p w14:paraId="14EE6D49" w14:textId="440DD17C" w:rsidR="005D35AC" w:rsidRPr="005B54EE" w:rsidRDefault="005D35AC" w:rsidP="005D35AC">
      <w:pPr>
        <w:rPr>
          <w:rFonts w:ascii="Times New Roman" w:hAnsi="Times New Roman" w:cs="Arial"/>
        </w:rPr>
      </w:pPr>
      <w:r w:rsidRPr="005B54EE">
        <w:rPr>
          <w:rFonts w:ascii="Times New Roman" w:hAnsi="Times New Roman"/>
        </w:rPr>
        <w:t>The LULUCF sector is considered as a sink over the whole period 1990-2020 at both the European Union and at the French level.</w:t>
      </w:r>
    </w:p>
    <w:p w14:paraId="612A60C1" w14:textId="77777777" w:rsidR="000863E6" w:rsidRPr="005B54EE" w:rsidRDefault="000863E6" w:rsidP="005D35AC">
      <w:pPr>
        <w:rPr>
          <w:rFonts w:ascii="Times New Roman" w:hAnsi="Times New Roman"/>
        </w:rPr>
      </w:pPr>
    </w:p>
    <w:p w14:paraId="3FFDB969" w14:textId="1B187644" w:rsidR="005D35AC" w:rsidRPr="005B54EE" w:rsidRDefault="005D35AC" w:rsidP="00C50CEB">
      <w:pPr>
        <w:rPr>
          <w:rFonts w:ascii="Times New Roman" w:hAnsi="Times New Roman" w:cs="Arial"/>
        </w:rPr>
      </w:pPr>
      <w:r w:rsidRPr="005B54EE">
        <w:rPr>
          <w:rFonts w:ascii="Times New Roman" w:hAnsi="Times New Roman"/>
        </w:rPr>
        <w:t>This sector is not taken into account in the 2020 targets under the European Union Convention, but a European decision was adopted for this sector in 2013 It makes it compulsory to set up action plans that will provide information concerning the actions taken to reduce emissions, increase absorptions and protect carbon stocks.</w:t>
      </w:r>
    </w:p>
    <w:tbl>
      <w:tblPr>
        <w:tblW w:w="5000" w:type="pct"/>
        <w:tblCellMar>
          <w:left w:w="70" w:type="dxa"/>
          <w:right w:w="70" w:type="dxa"/>
        </w:tblCellMar>
        <w:tblLook w:val="00A0" w:firstRow="1" w:lastRow="0" w:firstColumn="1" w:lastColumn="0" w:noHBand="0" w:noVBand="0"/>
      </w:tblPr>
      <w:tblGrid>
        <w:gridCol w:w="3060"/>
        <w:gridCol w:w="4832"/>
        <w:gridCol w:w="2058"/>
      </w:tblGrid>
      <w:tr w:rsidR="005D35AC" w:rsidRPr="005B54EE" w14:paraId="1A72B0A3" w14:textId="77777777" w:rsidTr="005D35AC">
        <w:trPr>
          <w:trHeight w:val="300"/>
        </w:trPr>
        <w:tc>
          <w:tcPr>
            <w:tcW w:w="3034" w:type="dxa"/>
            <w:shd w:val="clear" w:color="auto" w:fill="auto"/>
            <w:vAlign w:val="center"/>
          </w:tcPr>
          <w:p w14:paraId="03BEBD5A" w14:textId="77777777" w:rsidR="005D35AC" w:rsidRPr="005B54EE" w:rsidRDefault="005D35AC" w:rsidP="005D35AC">
            <w:pPr>
              <w:pageBreakBefore/>
              <w:rPr>
                <w:sz w:val="18"/>
                <w:szCs w:val="18"/>
              </w:rPr>
            </w:pPr>
            <w:r w:rsidRPr="005B54EE">
              <w:rPr>
                <w:sz w:val="18"/>
              </w:rPr>
              <w:t>Table 2(d)  </w:t>
            </w:r>
          </w:p>
        </w:tc>
        <w:tc>
          <w:tcPr>
            <w:tcW w:w="6830" w:type="dxa"/>
            <w:gridSpan w:val="2"/>
            <w:shd w:val="clear" w:color="auto" w:fill="auto"/>
            <w:vAlign w:val="center"/>
          </w:tcPr>
          <w:p w14:paraId="4772CEC2" w14:textId="7D221F1B" w:rsidR="005D35AC" w:rsidRPr="005B54EE" w:rsidRDefault="005D35AC" w:rsidP="000863E6">
            <w:pPr>
              <w:rPr>
                <w:sz w:val="18"/>
                <w:szCs w:val="18"/>
              </w:rPr>
            </w:pPr>
          </w:p>
        </w:tc>
      </w:tr>
      <w:tr w:rsidR="005D35AC" w:rsidRPr="005B54EE" w14:paraId="39EA4D47" w14:textId="77777777" w:rsidTr="005D35AC">
        <w:trPr>
          <w:trHeight w:val="870"/>
        </w:trPr>
        <w:tc>
          <w:tcPr>
            <w:tcW w:w="9864" w:type="dxa"/>
            <w:gridSpan w:val="3"/>
            <w:shd w:val="clear" w:color="auto" w:fill="auto"/>
            <w:vAlign w:val="center"/>
          </w:tcPr>
          <w:p w14:paraId="3CEF0D9E" w14:textId="77777777" w:rsidR="005D35AC" w:rsidRPr="005B54EE" w:rsidRDefault="005D35AC" w:rsidP="005D35AC">
            <w:pPr>
              <w:rPr>
                <w:b/>
                <w:bCs/>
                <w:sz w:val="18"/>
                <w:szCs w:val="18"/>
              </w:rPr>
            </w:pPr>
            <w:r w:rsidRPr="005B54EE">
              <w:rPr>
                <w:b/>
                <w:sz w:val="18"/>
                <w:lang w:val="en-US"/>
              </w:rPr>
              <w:t>Description of quantified economy-wide emission reduction target: approach to counting emissions and removals from the LULUCF sector</w:t>
            </w:r>
            <w:r w:rsidRPr="005B54EE">
              <w:rPr>
                <w:i/>
                <w:sz w:val="18"/>
                <w:vertAlign w:val="superscript"/>
                <w:lang w:val="en-US"/>
              </w:rPr>
              <w:t>a</w:t>
            </w:r>
            <w:r w:rsidRPr="005B54EE">
              <w:rPr>
                <w:sz w:val="18"/>
                <w:lang w:val="en-US"/>
              </w:rPr>
              <w:t> </w:t>
            </w:r>
          </w:p>
        </w:tc>
      </w:tr>
      <w:tr w:rsidR="005D35AC" w:rsidRPr="005B54EE" w14:paraId="07E08D94" w14:textId="77777777" w:rsidTr="005D35AC">
        <w:trPr>
          <w:trHeight w:val="300"/>
        </w:trPr>
        <w:tc>
          <w:tcPr>
            <w:tcW w:w="3034" w:type="dxa"/>
            <w:tcBorders>
              <w:top w:val="single" w:sz="4" w:space="0" w:color="D8D8D8"/>
              <w:left w:val="single" w:sz="4" w:space="0" w:color="D8D8D8"/>
              <w:bottom w:val="single" w:sz="4" w:space="0" w:color="D8D8D8"/>
              <w:right w:val="single" w:sz="4" w:space="0" w:color="D8D8D8"/>
            </w:tcBorders>
            <w:shd w:val="clear" w:color="auto" w:fill="auto"/>
            <w:tcMar>
              <w:left w:w="0" w:type="dxa"/>
            </w:tcMar>
            <w:vAlign w:val="center"/>
          </w:tcPr>
          <w:p w14:paraId="6CA35F54" w14:textId="77777777" w:rsidR="005D35AC" w:rsidRPr="005B54EE" w:rsidRDefault="005D35AC" w:rsidP="005D35AC">
            <w:pPr>
              <w:rPr>
                <w:b/>
                <w:bCs/>
                <w:sz w:val="18"/>
                <w:szCs w:val="18"/>
              </w:rPr>
            </w:pPr>
            <w:r w:rsidRPr="005B54EE">
              <w:rPr>
                <w:b/>
                <w:sz w:val="18"/>
              </w:rPr>
              <w:t xml:space="preserve">Role of LULUCF </w:t>
            </w:r>
          </w:p>
        </w:tc>
        <w:tc>
          <w:tcPr>
            <w:tcW w:w="4790" w:type="dxa"/>
            <w:tcBorders>
              <w:top w:val="single" w:sz="4" w:space="0" w:color="D8D8D8"/>
              <w:bottom w:val="single" w:sz="4" w:space="0" w:color="D8D8D8"/>
            </w:tcBorders>
            <w:shd w:val="clear" w:color="auto" w:fill="auto"/>
            <w:vAlign w:val="center"/>
          </w:tcPr>
          <w:p w14:paraId="528CFEBE" w14:textId="77777777" w:rsidR="005D35AC" w:rsidRPr="005B54EE" w:rsidRDefault="005D35AC" w:rsidP="005D35AC">
            <w:pPr>
              <w:rPr>
                <w:sz w:val="18"/>
                <w:szCs w:val="18"/>
              </w:rPr>
            </w:pPr>
            <w:r w:rsidRPr="005B54EE">
              <w:rPr>
                <w:sz w:val="18"/>
                <w:lang w:val="en-US"/>
              </w:rPr>
              <w:t>LULUCF in base year level and target</w:t>
            </w:r>
          </w:p>
        </w:tc>
        <w:tc>
          <w:tcPr>
            <w:tcW w:w="2040" w:type="dxa"/>
            <w:tcBorders>
              <w:top w:val="single" w:sz="4" w:space="0" w:color="D8D8D8"/>
              <w:left w:val="single" w:sz="4" w:space="0" w:color="D8D8D8"/>
              <w:bottom w:val="single" w:sz="4" w:space="0" w:color="D8D8D8"/>
              <w:right w:val="single" w:sz="4" w:space="0" w:color="D8D8D8"/>
            </w:tcBorders>
            <w:shd w:val="clear" w:color="auto" w:fill="auto"/>
            <w:tcMar>
              <w:left w:w="0" w:type="dxa"/>
            </w:tcMar>
            <w:vAlign w:val="center"/>
          </w:tcPr>
          <w:p w14:paraId="0615A827" w14:textId="77777777" w:rsidR="005D35AC" w:rsidRPr="005B54EE" w:rsidRDefault="005D35AC" w:rsidP="005D35AC">
            <w:pPr>
              <w:rPr>
                <w:sz w:val="18"/>
                <w:szCs w:val="18"/>
              </w:rPr>
            </w:pPr>
            <w:r w:rsidRPr="005B54EE">
              <w:rPr>
                <w:sz w:val="18"/>
              </w:rPr>
              <w:t>Excluded</w:t>
            </w:r>
          </w:p>
        </w:tc>
      </w:tr>
      <w:tr w:rsidR="005D35AC" w:rsidRPr="005B54EE" w14:paraId="4EFCC948" w14:textId="77777777" w:rsidTr="005D35AC">
        <w:trPr>
          <w:trHeight w:val="300"/>
        </w:trPr>
        <w:tc>
          <w:tcPr>
            <w:tcW w:w="9864" w:type="dxa"/>
            <w:gridSpan w:val="3"/>
            <w:shd w:val="clear" w:color="auto" w:fill="auto"/>
            <w:vAlign w:val="center"/>
          </w:tcPr>
          <w:p w14:paraId="4CA41D17" w14:textId="77777777" w:rsidR="005D35AC" w:rsidRPr="005B54EE" w:rsidRDefault="005D35AC" w:rsidP="005D35AC">
            <w:pPr>
              <w:rPr>
                <w:sz w:val="18"/>
                <w:szCs w:val="18"/>
              </w:rPr>
            </w:pPr>
            <w:r w:rsidRPr="005B54EE">
              <w:rPr>
                <w:i/>
                <w:sz w:val="18"/>
                <w:lang w:val="en-US"/>
              </w:rPr>
              <w:t>Abbreviation</w:t>
            </w:r>
            <w:r w:rsidRPr="005B54EE">
              <w:rPr>
                <w:sz w:val="18"/>
                <w:lang w:val="en-US"/>
              </w:rPr>
              <w:t>: LULUCF = land use, land-use change and forestry.</w:t>
            </w:r>
          </w:p>
        </w:tc>
      </w:tr>
      <w:tr w:rsidR="005D35AC" w:rsidRPr="005B54EE" w14:paraId="10501685" w14:textId="77777777" w:rsidTr="005D35AC">
        <w:trPr>
          <w:trHeight w:val="300"/>
        </w:trPr>
        <w:tc>
          <w:tcPr>
            <w:tcW w:w="9864" w:type="dxa"/>
            <w:gridSpan w:val="3"/>
            <w:shd w:val="clear" w:color="auto" w:fill="auto"/>
            <w:vAlign w:val="center"/>
          </w:tcPr>
          <w:p w14:paraId="52C2A566" w14:textId="77777777" w:rsidR="005D35AC" w:rsidRPr="005B54EE" w:rsidRDefault="005D35AC" w:rsidP="005D35AC">
            <w:pPr>
              <w:rPr>
                <w:i/>
                <w:iCs/>
                <w:sz w:val="18"/>
                <w:szCs w:val="18"/>
                <w:lang w:val="en-US"/>
              </w:rPr>
            </w:pPr>
          </w:p>
        </w:tc>
      </w:tr>
      <w:tr w:rsidR="005D35AC" w:rsidRPr="005B54EE" w14:paraId="27DFB6DA" w14:textId="77777777" w:rsidTr="005D35AC">
        <w:trPr>
          <w:trHeight w:val="1035"/>
        </w:trPr>
        <w:tc>
          <w:tcPr>
            <w:tcW w:w="9864" w:type="dxa"/>
            <w:gridSpan w:val="3"/>
            <w:shd w:val="clear" w:color="auto" w:fill="auto"/>
            <w:vAlign w:val="center"/>
          </w:tcPr>
          <w:p w14:paraId="6B7CA556" w14:textId="77777777" w:rsidR="005D35AC" w:rsidRPr="005B54EE" w:rsidRDefault="005D35AC" w:rsidP="005D35AC">
            <w:pPr>
              <w:rPr>
                <w:i/>
                <w:iCs/>
                <w:sz w:val="18"/>
                <w:szCs w:val="18"/>
              </w:rPr>
            </w:pPr>
            <w:r w:rsidRPr="005B54EE">
              <w:rPr>
                <w:i/>
                <w:sz w:val="18"/>
                <w:vertAlign w:val="superscript"/>
                <w:lang w:val="en-US"/>
              </w:rPr>
              <w:t xml:space="preserve">a   </w:t>
            </w:r>
            <w:r w:rsidRPr="005B54EE">
              <w:rPr>
                <w:sz w:val="18"/>
                <w:lang w:val="en-US"/>
              </w:rPr>
              <w:t>Reporting by a developed country Party on the information specified in the common tabular format does not prejudge the position of other Parties with regard to the treatment of units from market-based mechanisms under the Convention or other market-based mechanisms towards achievement of quantified economy-wide emission reduction targets.</w:t>
            </w:r>
          </w:p>
        </w:tc>
      </w:tr>
    </w:tbl>
    <w:p w14:paraId="4C767E2B" w14:textId="77777777" w:rsidR="005D35AC" w:rsidRPr="005B54EE" w:rsidRDefault="005D35AC" w:rsidP="005D35AC">
      <w:pPr>
        <w:rPr>
          <w:rFonts w:eastAsiaTheme="majorEastAsia"/>
        </w:rPr>
      </w:pPr>
    </w:p>
    <w:p w14:paraId="78D32191" w14:textId="77777777" w:rsidR="005D35AC" w:rsidRPr="005B54EE" w:rsidRDefault="005D35AC" w:rsidP="00C246BC">
      <w:pPr>
        <w:pStyle w:val="Titre2Niveau2"/>
      </w:pPr>
      <w:bookmarkStart w:id="33" w:name="_Toc120883272"/>
      <w:bookmarkStart w:id="34" w:name="_Toc138344665"/>
      <w:r w:rsidRPr="005B54EE">
        <w:t>Use of market mechanisms</w:t>
      </w:r>
      <w:bookmarkEnd w:id="33"/>
      <w:bookmarkEnd w:id="34"/>
    </w:p>
    <w:p w14:paraId="56BBB1BC" w14:textId="1854A40D" w:rsidR="005D35AC" w:rsidRPr="005B54EE" w:rsidRDefault="005D35AC" w:rsidP="005D35AC">
      <w:pPr>
        <w:rPr>
          <w:rFonts w:eastAsiaTheme="majorEastAsia"/>
        </w:rPr>
      </w:pPr>
      <w:r w:rsidRPr="005B54EE">
        <w:t>Flexibility mechanisms are used by operators in the ETS on the one hand and can be used by governments to achieve the ESD objectives presented above (for more information see the EU biennial report).</w:t>
      </w:r>
    </w:p>
    <w:p w14:paraId="799E4F16" w14:textId="77777777" w:rsidR="005D35AC" w:rsidRPr="005B54EE" w:rsidRDefault="005D35AC" w:rsidP="005D35AC">
      <w:pPr>
        <w:rPr>
          <w:rFonts w:eastAsiaTheme="majorEastAsia"/>
        </w:rPr>
      </w:pPr>
    </w:p>
    <w:p w14:paraId="494CFE5F" w14:textId="77777777" w:rsidR="005D35AC" w:rsidRPr="005B54EE" w:rsidRDefault="005D35AC" w:rsidP="005D35AC">
      <w:pPr>
        <w:rPr>
          <w:rFonts w:eastAsiaTheme="majorEastAsia"/>
        </w:rPr>
      </w:pPr>
      <w:r w:rsidRPr="005B54EE">
        <w:t>The use of the flexibility mechanisms within the ESD is monitored by the European Commission. For the 2013-2020 period, three Member States exceeded their ESD target (Germany, Ireland, Malta) and Cyprus exceeded its 2020 target: these four Member States will therefore have to make use of the options allowed by the effort-sharing directive in order to meet their obligations.</w:t>
      </w:r>
    </w:p>
    <w:p w14:paraId="29C75443" w14:textId="77777777" w:rsidR="005D35AC" w:rsidRPr="005B54EE" w:rsidRDefault="005D35AC" w:rsidP="005D35AC">
      <w:pPr>
        <w:rPr>
          <w:rFonts w:eastAsiaTheme="majorEastAsia"/>
        </w:rPr>
      </w:pPr>
      <w:r w:rsidRPr="005B54EE">
        <w:t>France did not use the flexibility mechanisms to meet its targets for the period 2013-2020.</w:t>
      </w:r>
    </w:p>
    <w:p w14:paraId="5EF84855" w14:textId="77777777" w:rsidR="005D35AC" w:rsidRPr="005B54EE" w:rsidRDefault="005D35AC" w:rsidP="005D35AC">
      <w:pPr>
        <w:rPr>
          <w:rFonts w:eastAsiaTheme="majorEastAsia"/>
        </w:rPr>
      </w:pPr>
    </w:p>
    <w:tbl>
      <w:tblPr>
        <w:tblW w:w="5000" w:type="pct"/>
        <w:tblCellMar>
          <w:left w:w="70" w:type="dxa"/>
          <w:right w:w="70" w:type="dxa"/>
        </w:tblCellMar>
        <w:tblLook w:val="00A0" w:firstRow="1" w:lastRow="0" w:firstColumn="1" w:lastColumn="0" w:noHBand="0" w:noVBand="0"/>
      </w:tblPr>
      <w:tblGrid>
        <w:gridCol w:w="5976"/>
        <w:gridCol w:w="3974"/>
      </w:tblGrid>
      <w:tr w:rsidR="005D35AC" w:rsidRPr="005B54EE" w14:paraId="4EA40E53" w14:textId="77777777" w:rsidTr="005D35AC">
        <w:trPr>
          <w:trHeight w:val="20"/>
        </w:trPr>
        <w:tc>
          <w:tcPr>
            <w:tcW w:w="5924" w:type="dxa"/>
            <w:shd w:val="clear" w:color="auto" w:fill="auto"/>
            <w:vAlign w:val="bottom"/>
          </w:tcPr>
          <w:p w14:paraId="75FBD558" w14:textId="77777777" w:rsidR="005D35AC" w:rsidRPr="005B54EE" w:rsidRDefault="005D35AC" w:rsidP="005D35AC">
            <w:pPr>
              <w:pageBreakBefore/>
              <w:rPr>
                <w:color w:val="000000"/>
                <w:sz w:val="18"/>
                <w:szCs w:val="18"/>
              </w:rPr>
            </w:pPr>
            <w:r w:rsidRPr="005B54EE">
              <w:rPr>
                <w:color w:val="000000"/>
                <w:sz w:val="18"/>
              </w:rPr>
              <w:t>Table 2(e)I</w:t>
            </w:r>
          </w:p>
        </w:tc>
        <w:tc>
          <w:tcPr>
            <w:tcW w:w="3939" w:type="dxa"/>
            <w:shd w:val="clear" w:color="auto" w:fill="auto"/>
          </w:tcPr>
          <w:p w14:paraId="59348375" w14:textId="23B92EB6" w:rsidR="005D35AC" w:rsidRPr="005B54EE" w:rsidRDefault="005D35AC" w:rsidP="005D35AC">
            <w:pPr>
              <w:jc w:val="right"/>
              <w:rPr>
                <w:color w:val="000000"/>
                <w:sz w:val="18"/>
                <w:szCs w:val="18"/>
              </w:rPr>
            </w:pPr>
          </w:p>
        </w:tc>
      </w:tr>
      <w:tr w:rsidR="005D35AC" w:rsidRPr="005B54EE" w14:paraId="01551C5B" w14:textId="77777777" w:rsidTr="005D35AC">
        <w:trPr>
          <w:trHeight w:val="20"/>
        </w:trPr>
        <w:tc>
          <w:tcPr>
            <w:tcW w:w="9863" w:type="dxa"/>
            <w:gridSpan w:val="2"/>
            <w:shd w:val="clear" w:color="auto" w:fill="auto"/>
          </w:tcPr>
          <w:p w14:paraId="06C6526F" w14:textId="77777777" w:rsidR="005D35AC" w:rsidRPr="005B54EE" w:rsidRDefault="005D35AC" w:rsidP="005D35AC">
            <w:pPr>
              <w:spacing w:before="120"/>
              <w:rPr>
                <w:b/>
                <w:bCs/>
                <w:color w:val="000000"/>
                <w:sz w:val="18"/>
                <w:szCs w:val="18"/>
              </w:rPr>
            </w:pPr>
            <w:r w:rsidRPr="005B54EE">
              <w:rPr>
                <w:b/>
                <w:color w:val="000000"/>
                <w:sz w:val="18"/>
                <w:lang w:val="en-US"/>
              </w:rPr>
              <w:t>Description of quantified economy-wide emission reduction target: market-based mechanisms under the Convention</w:t>
            </w:r>
            <w:r w:rsidRPr="005B54EE">
              <w:rPr>
                <w:i/>
                <w:color w:val="000000"/>
                <w:sz w:val="18"/>
                <w:vertAlign w:val="superscript"/>
                <w:lang w:val="en-US"/>
              </w:rPr>
              <w:t>a</w:t>
            </w:r>
            <w:r w:rsidRPr="005B54EE">
              <w:rPr>
                <w:color w:val="000000"/>
                <w:sz w:val="18"/>
                <w:lang w:val="en-US"/>
              </w:rPr>
              <w:t> </w:t>
            </w:r>
          </w:p>
        </w:tc>
      </w:tr>
      <w:tr w:rsidR="005D35AC" w:rsidRPr="005B54EE" w14:paraId="17EFA4BE" w14:textId="77777777" w:rsidTr="005D35AC">
        <w:trPr>
          <w:trHeight w:val="300"/>
        </w:trPr>
        <w:tc>
          <w:tcPr>
            <w:tcW w:w="5924" w:type="dxa"/>
            <w:tcBorders>
              <w:top w:val="single" w:sz="4" w:space="0" w:color="00000A"/>
              <w:bottom w:val="single" w:sz="4" w:space="0" w:color="00000A"/>
            </w:tcBorders>
            <w:shd w:val="clear" w:color="auto" w:fill="auto"/>
            <w:vAlign w:val="bottom"/>
          </w:tcPr>
          <w:p w14:paraId="392D9318" w14:textId="77777777" w:rsidR="005D35AC" w:rsidRPr="005B54EE" w:rsidRDefault="005D35AC" w:rsidP="005D35AC">
            <w:pPr>
              <w:rPr>
                <w:b/>
                <w:bCs/>
                <w:color w:val="000000"/>
                <w:sz w:val="18"/>
                <w:szCs w:val="18"/>
              </w:rPr>
            </w:pPr>
            <w:r w:rsidRPr="005B54EE">
              <w:rPr>
                <w:b/>
                <w:color w:val="000000"/>
                <w:sz w:val="18"/>
                <w:lang w:val="en-US"/>
              </w:rPr>
              <w:t> </w:t>
            </w:r>
          </w:p>
        </w:tc>
        <w:tc>
          <w:tcPr>
            <w:tcW w:w="3939" w:type="dxa"/>
            <w:tcBorders>
              <w:top w:val="single" w:sz="4" w:space="0" w:color="00000A"/>
              <w:bottom w:val="single" w:sz="4" w:space="0" w:color="00000A"/>
            </w:tcBorders>
            <w:shd w:val="clear" w:color="auto" w:fill="auto"/>
            <w:vAlign w:val="bottom"/>
          </w:tcPr>
          <w:p w14:paraId="2470D6DD" w14:textId="77777777" w:rsidR="005D35AC" w:rsidRPr="005B54EE" w:rsidRDefault="005D35AC" w:rsidP="005D35AC">
            <w:pPr>
              <w:rPr>
                <w:color w:val="000000"/>
                <w:sz w:val="18"/>
                <w:szCs w:val="18"/>
              </w:rPr>
            </w:pPr>
            <w:r w:rsidRPr="005B54EE">
              <w:rPr>
                <w:color w:val="000000"/>
                <w:sz w:val="18"/>
                <w:lang w:val="en-US"/>
              </w:rPr>
              <w:t> </w:t>
            </w:r>
          </w:p>
        </w:tc>
      </w:tr>
      <w:tr w:rsidR="005D35AC" w:rsidRPr="005B54EE" w14:paraId="335C1B2F" w14:textId="77777777" w:rsidTr="005D35AC">
        <w:trPr>
          <w:cantSplit/>
          <w:trHeight w:val="300"/>
        </w:trPr>
        <w:tc>
          <w:tcPr>
            <w:tcW w:w="5924" w:type="dxa"/>
            <w:vMerge w:val="restart"/>
            <w:tcBorders>
              <w:left w:val="single" w:sz="4" w:space="0" w:color="D8D8D8"/>
              <w:right w:val="single" w:sz="4" w:space="0" w:color="D8D8D8"/>
            </w:tcBorders>
            <w:shd w:val="clear" w:color="auto" w:fill="auto"/>
            <w:tcMar>
              <w:left w:w="0" w:type="dxa"/>
            </w:tcMar>
            <w:vAlign w:val="center"/>
          </w:tcPr>
          <w:p w14:paraId="5F8FD94D" w14:textId="77777777" w:rsidR="005D35AC" w:rsidRPr="005B54EE" w:rsidRDefault="005D35AC" w:rsidP="005D35AC">
            <w:pPr>
              <w:jc w:val="center"/>
              <w:rPr>
                <w:i/>
                <w:iCs/>
                <w:sz w:val="18"/>
                <w:szCs w:val="18"/>
              </w:rPr>
            </w:pPr>
            <w:r w:rsidRPr="005B54EE">
              <w:rPr>
                <w:i/>
                <w:sz w:val="18"/>
                <w:lang w:val="en-US"/>
              </w:rPr>
              <w:t>Market-based mechanisms under the Convention</w:t>
            </w:r>
          </w:p>
        </w:tc>
        <w:tc>
          <w:tcPr>
            <w:tcW w:w="3939" w:type="dxa"/>
            <w:tcBorders>
              <w:top w:val="single" w:sz="4" w:space="0" w:color="D8D8D8"/>
              <w:left w:val="single" w:sz="4" w:space="0" w:color="D8D8D8"/>
              <w:bottom w:val="single" w:sz="4" w:space="0" w:color="D8D8D8"/>
              <w:right w:val="single" w:sz="4" w:space="0" w:color="D8D8D8"/>
            </w:tcBorders>
            <w:shd w:val="clear" w:color="auto" w:fill="auto"/>
            <w:tcMar>
              <w:left w:w="0" w:type="dxa"/>
            </w:tcMar>
            <w:vAlign w:val="center"/>
          </w:tcPr>
          <w:p w14:paraId="2C90355E" w14:textId="77777777" w:rsidR="005D35AC" w:rsidRPr="005B54EE" w:rsidRDefault="005D35AC" w:rsidP="005D35AC">
            <w:pPr>
              <w:suppressAutoHyphens/>
              <w:jc w:val="center"/>
              <w:rPr>
                <w:i/>
                <w:iCs/>
                <w:color w:val="000000"/>
                <w:sz w:val="18"/>
                <w:szCs w:val="18"/>
              </w:rPr>
            </w:pPr>
            <w:r w:rsidRPr="005B54EE">
              <w:rPr>
                <w:i/>
                <w:color w:val="000000"/>
                <w:sz w:val="18"/>
              </w:rPr>
              <w:t xml:space="preserve">Possible scale of contributions </w:t>
            </w:r>
          </w:p>
        </w:tc>
      </w:tr>
      <w:tr w:rsidR="005D35AC" w:rsidRPr="005B54EE" w14:paraId="5A07ADAF" w14:textId="77777777" w:rsidTr="005D35AC">
        <w:trPr>
          <w:cantSplit/>
          <w:trHeight w:val="300"/>
        </w:trPr>
        <w:tc>
          <w:tcPr>
            <w:tcW w:w="5924" w:type="dxa"/>
            <w:vMerge/>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6F8BB137" w14:textId="77777777" w:rsidR="005D35AC" w:rsidRPr="005B54EE" w:rsidRDefault="005D35AC" w:rsidP="005D35AC">
            <w:pPr>
              <w:jc w:val="center"/>
              <w:rPr>
                <w:i/>
                <w:iCs/>
                <w:sz w:val="18"/>
                <w:szCs w:val="18"/>
              </w:rPr>
            </w:pPr>
          </w:p>
        </w:tc>
        <w:tc>
          <w:tcPr>
            <w:tcW w:w="3939" w:type="dxa"/>
            <w:tcBorders>
              <w:top w:val="single" w:sz="4" w:space="0" w:color="00000A"/>
              <w:left w:val="single" w:sz="4" w:space="0" w:color="D8D8D8"/>
              <w:bottom w:val="single" w:sz="4" w:space="0" w:color="00000A"/>
              <w:right w:val="single" w:sz="4" w:space="0" w:color="D8D8D8"/>
            </w:tcBorders>
            <w:shd w:val="clear" w:color="auto" w:fill="auto"/>
            <w:tcMar>
              <w:left w:w="0" w:type="dxa"/>
            </w:tcMar>
            <w:vAlign w:val="center"/>
          </w:tcPr>
          <w:p w14:paraId="5D1A6E55" w14:textId="76D8FD51" w:rsidR="005D35AC" w:rsidRPr="005B54EE" w:rsidRDefault="005D35AC" w:rsidP="005D35AC">
            <w:pPr>
              <w:jc w:val="center"/>
              <w:rPr>
                <w:i/>
                <w:iCs/>
                <w:color w:val="000000"/>
                <w:sz w:val="18"/>
                <w:szCs w:val="18"/>
              </w:rPr>
            </w:pPr>
            <w:r w:rsidRPr="005B54EE">
              <w:rPr>
                <w:i/>
                <w:color w:val="000000"/>
                <w:sz w:val="18"/>
              </w:rPr>
              <w:t xml:space="preserve">(estimated kt </w:t>
            </w:r>
            <w:r w:rsidRPr="005B54EE">
              <w:t>CO</w:t>
            </w:r>
            <w:r w:rsidRPr="005B54EE">
              <w:rPr>
                <w:vertAlign w:val="subscript"/>
              </w:rPr>
              <w:t>2</w:t>
            </w:r>
            <w:r w:rsidRPr="005B54EE">
              <w:rPr>
                <w:i/>
                <w:color w:val="000000"/>
                <w:sz w:val="18"/>
                <w:vertAlign w:val="subscript"/>
              </w:rPr>
              <w:t xml:space="preserve"> </w:t>
            </w:r>
            <w:r w:rsidRPr="005B54EE">
              <w:rPr>
                <w:i/>
                <w:color w:val="000000"/>
                <w:sz w:val="18"/>
              </w:rPr>
              <w:t>eq)</w:t>
            </w:r>
          </w:p>
        </w:tc>
      </w:tr>
      <w:tr w:rsidR="005D35AC" w:rsidRPr="005B54EE" w14:paraId="4514947C" w14:textId="77777777" w:rsidTr="005D35AC">
        <w:trPr>
          <w:trHeight w:val="300"/>
        </w:trPr>
        <w:tc>
          <w:tcPr>
            <w:tcW w:w="5924" w:type="dxa"/>
            <w:tcBorders>
              <w:top w:val="single" w:sz="4" w:space="0" w:color="D8D8D8"/>
              <w:left w:val="single" w:sz="4" w:space="0" w:color="B8B8B8"/>
              <w:bottom w:val="single" w:sz="4" w:space="0" w:color="D8D8D8"/>
              <w:right w:val="single" w:sz="4" w:space="0" w:color="B8B8B8"/>
            </w:tcBorders>
            <w:shd w:val="clear" w:color="auto" w:fill="auto"/>
            <w:tcMar>
              <w:left w:w="0" w:type="dxa"/>
            </w:tcMar>
            <w:vAlign w:val="center"/>
          </w:tcPr>
          <w:p w14:paraId="739F079C" w14:textId="77777777" w:rsidR="005D35AC" w:rsidRPr="005B54EE" w:rsidRDefault="005D35AC" w:rsidP="005D35AC">
            <w:pPr>
              <w:rPr>
                <w:color w:val="000000"/>
                <w:sz w:val="18"/>
                <w:szCs w:val="18"/>
              </w:rPr>
            </w:pPr>
            <w:r w:rsidRPr="005B54EE">
              <w:rPr>
                <w:sz w:val="18"/>
              </w:rPr>
              <w:t>CERs</w:t>
            </w:r>
          </w:p>
        </w:tc>
        <w:tc>
          <w:tcPr>
            <w:tcW w:w="3939" w:type="dxa"/>
            <w:tcBorders>
              <w:top w:val="single" w:sz="4" w:space="0" w:color="D8D8D8"/>
              <w:left w:val="single" w:sz="4" w:space="0" w:color="B8B8B8"/>
              <w:bottom w:val="single" w:sz="4" w:space="0" w:color="D8D8D8"/>
              <w:right w:val="single" w:sz="4" w:space="0" w:color="B8B8B8"/>
            </w:tcBorders>
            <w:shd w:val="clear" w:color="auto" w:fill="auto"/>
            <w:tcMar>
              <w:left w:w="0" w:type="dxa"/>
            </w:tcMar>
            <w:vAlign w:val="center"/>
          </w:tcPr>
          <w:p w14:paraId="36F3E13C" w14:textId="24F399ED" w:rsidR="005D35AC" w:rsidRPr="005B54EE" w:rsidRDefault="005D35AC" w:rsidP="005D35AC">
            <w:pPr>
              <w:jc w:val="right"/>
              <w:rPr>
                <w:color w:val="000000"/>
                <w:sz w:val="18"/>
                <w:szCs w:val="18"/>
              </w:rPr>
            </w:pPr>
            <w:r w:rsidRPr="005B54EE">
              <w:rPr>
                <w:sz w:val="18"/>
              </w:rPr>
              <w:t>0.00</w:t>
            </w:r>
          </w:p>
        </w:tc>
      </w:tr>
      <w:tr w:rsidR="005D35AC" w:rsidRPr="005B54EE" w14:paraId="6373DA60" w14:textId="77777777" w:rsidTr="005D35AC">
        <w:trPr>
          <w:trHeight w:val="300"/>
        </w:trPr>
        <w:tc>
          <w:tcPr>
            <w:tcW w:w="5924" w:type="dxa"/>
            <w:tcBorders>
              <w:top w:val="single" w:sz="4" w:space="0" w:color="D9D9D9"/>
              <w:left w:val="single" w:sz="4" w:space="0" w:color="D9D9D9"/>
              <w:right w:val="single" w:sz="4" w:space="0" w:color="D9D9D9"/>
            </w:tcBorders>
            <w:shd w:val="clear" w:color="auto" w:fill="auto"/>
            <w:tcMar>
              <w:left w:w="0" w:type="dxa"/>
            </w:tcMar>
            <w:vAlign w:val="center"/>
          </w:tcPr>
          <w:p w14:paraId="41914325" w14:textId="77777777" w:rsidR="005D35AC" w:rsidRPr="005B54EE" w:rsidRDefault="005D35AC" w:rsidP="005D35AC">
            <w:pPr>
              <w:rPr>
                <w:color w:val="000000"/>
                <w:sz w:val="18"/>
                <w:szCs w:val="18"/>
              </w:rPr>
            </w:pPr>
            <w:r w:rsidRPr="005B54EE">
              <w:rPr>
                <w:sz w:val="18"/>
              </w:rPr>
              <w:t>ERUs</w:t>
            </w:r>
          </w:p>
        </w:tc>
        <w:tc>
          <w:tcPr>
            <w:tcW w:w="3939" w:type="dxa"/>
            <w:tcBorders>
              <w:top w:val="single" w:sz="4" w:space="0" w:color="D9D9D9"/>
              <w:left w:val="single" w:sz="4" w:space="0" w:color="D9D9D9"/>
              <w:right w:val="single" w:sz="4" w:space="0" w:color="D9D9D9"/>
            </w:tcBorders>
            <w:shd w:val="clear" w:color="auto" w:fill="auto"/>
            <w:tcMar>
              <w:left w:w="0" w:type="dxa"/>
            </w:tcMar>
            <w:vAlign w:val="center"/>
          </w:tcPr>
          <w:p w14:paraId="7CC9C412" w14:textId="43847BF0" w:rsidR="005D35AC" w:rsidRPr="005B54EE" w:rsidRDefault="005D35AC" w:rsidP="005D35AC">
            <w:pPr>
              <w:jc w:val="right"/>
              <w:rPr>
                <w:color w:val="000000"/>
                <w:sz w:val="18"/>
                <w:szCs w:val="18"/>
              </w:rPr>
            </w:pPr>
            <w:r w:rsidRPr="005B54EE">
              <w:rPr>
                <w:sz w:val="18"/>
              </w:rPr>
              <w:t>0.00</w:t>
            </w:r>
          </w:p>
        </w:tc>
      </w:tr>
      <w:tr w:rsidR="005D35AC" w:rsidRPr="005B54EE" w14:paraId="26AC4FCA" w14:textId="77777777" w:rsidTr="005D35AC">
        <w:trPr>
          <w:trHeight w:val="300"/>
        </w:trPr>
        <w:tc>
          <w:tcPr>
            <w:tcW w:w="5924" w:type="dxa"/>
            <w:tcBorders>
              <w:top w:val="single" w:sz="4" w:space="0" w:color="D9D9D9"/>
              <w:left w:val="single" w:sz="4" w:space="0" w:color="D9D9D9"/>
              <w:right w:val="single" w:sz="4" w:space="0" w:color="D9D9D9"/>
            </w:tcBorders>
            <w:shd w:val="clear" w:color="auto" w:fill="auto"/>
            <w:tcMar>
              <w:left w:w="0" w:type="dxa"/>
            </w:tcMar>
            <w:vAlign w:val="center"/>
          </w:tcPr>
          <w:p w14:paraId="6E8D8E2E" w14:textId="77777777" w:rsidR="005D35AC" w:rsidRPr="005B54EE" w:rsidRDefault="005D35AC" w:rsidP="005D35AC">
            <w:pPr>
              <w:rPr>
                <w:color w:val="000000"/>
                <w:sz w:val="18"/>
                <w:szCs w:val="18"/>
              </w:rPr>
            </w:pPr>
            <w:r w:rsidRPr="005B54EE">
              <w:rPr>
                <w:sz w:val="18"/>
              </w:rPr>
              <w:t>AAUs</w:t>
            </w:r>
            <w:r w:rsidRPr="005B54EE">
              <w:rPr>
                <w:color w:val="000000"/>
                <w:sz w:val="18"/>
                <w:vertAlign w:val="superscript"/>
              </w:rPr>
              <w:t>i</w:t>
            </w:r>
          </w:p>
        </w:tc>
        <w:tc>
          <w:tcPr>
            <w:tcW w:w="3939" w:type="dxa"/>
            <w:tcBorders>
              <w:top w:val="single" w:sz="4" w:space="0" w:color="D9D9D9"/>
              <w:left w:val="single" w:sz="4" w:space="0" w:color="D9D9D9"/>
              <w:right w:val="single" w:sz="4" w:space="0" w:color="D9D9D9"/>
            </w:tcBorders>
            <w:shd w:val="clear" w:color="auto" w:fill="auto"/>
            <w:tcMar>
              <w:left w:w="0" w:type="dxa"/>
            </w:tcMar>
            <w:vAlign w:val="center"/>
          </w:tcPr>
          <w:p w14:paraId="47947DD6" w14:textId="22FF7054" w:rsidR="005D35AC" w:rsidRPr="005B54EE" w:rsidRDefault="005D35AC" w:rsidP="005D35AC">
            <w:pPr>
              <w:jc w:val="right"/>
              <w:rPr>
                <w:color w:val="000000"/>
                <w:sz w:val="18"/>
                <w:szCs w:val="18"/>
              </w:rPr>
            </w:pPr>
            <w:r w:rsidRPr="005B54EE">
              <w:rPr>
                <w:sz w:val="18"/>
              </w:rPr>
              <w:t>0.00</w:t>
            </w:r>
          </w:p>
        </w:tc>
      </w:tr>
      <w:tr w:rsidR="005D35AC" w:rsidRPr="005B54EE" w14:paraId="195A3D89" w14:textId="77777777" w:rsidTr="005D35AC">
        <w:trPr>
          <w:trHeight w:val="300"/>
        </w:trPr>
        <w:tc>
          <w:tcPr>
            <w:tcW w:w="5924" w:type="dxa"/>
            <w:tcBorders>
              <w:top w:val="single" w:sz="4" w:space="0" w:color="D9D9D9"/>
              <w:left w:val="single" w:sz="4" w:space="0" w:color="D9D9D9"/>
              <w:right w:val="single" w:sz="4" w:space="0" w:color="D9D9D9"/>
            </w:tcBorders>
            <w:shd w:val="clear" w:color="auto" w:fill="auto"/>
            <w:tcMar>
              <w:left w:w="0" w:type="dxa"/>
            </w:tcMar>
            <w:vAlign w:val="center"/>
          </w:tcPr>
          <w:p w14:paraId="3B7DB214" w14:textId="77777777" w:rsidR="005D35AC" w:rsidRPr="005B54EE" w:rsidRDefault="005D35AC" w:rsidP="005D35AC">
            <w:pPr>
              <w:rPr>
                <w:color w:val="000000"/>
                <w:sz w:val="18"/>
                <w:szCs w:val="18"/>
              </w:rPr>
            </w:pPr>
            <w:r w:rsidRPr="005B54EE">
              <w:rPr>
                <w:sz w:val="18"/>
              </w:rPr>
              <w:t>Carry-over units</w:t>
            </w:r>
            <w:r w:rsidRPr="005B54EE">
              <w:rPr>
                <w:color w:val="000000"/>
                <w:sz w:val="18"/>
                <w:vertAlign w:val="superscript"/>
              </w:rPr>
              <w:t>j</w:t>
            </w:r>
          </w:p>
        </w:tc>
        <w:tc>
          <w:tcPr>
            <w:tcW w:w="3939" w:type="dxa"/>
            <w:tcBorders>
              <w:top w:val="single" w:sz="4" w:space="0" w:color="D9D9D9"/>
              <w:left w:val="single" w:sz="4" w:space="0" w:color="D9D9D9"/>
              <w:right w:val="single" w:sz="4" w:space="0" w:color="D9D9D9"/>
            </w:tcBorders>
            <w:shd w:val="clear" w:color="auto" w:fill="auto"/>
            <w:tcMar>
              <w:left w:w="0" w:type="dxa"/>
            </w:tcMar>
            <w:vAlign w:val="center"/>
          </w:tcPr>
          <w:p w14:paraId="60257DDC" w14:textId="496291E6" w:rsidR="005D35AC" w:rsidRPr="005B54EE" w:rsidRDefault="005D35AC" w:rsidP="005D35AC">
            <w:pPr>
              <w:jc w:val="right"/>
              <w:rPr>
                <w:color w:val="000000"/>
                <w:sz w:val="18"/>
                <w:szCs w:val="18"/>
              </w:rPr>
            </w:pPr>
            <w:r w:rsidRPr="005B54EE">
              <w:rPr>
                <w:sz w:val="18"/>
              </w:rPr>
              <w:t>0.00</w:t>
            </w:r>
          </w:p>
        </w:tc>
      </w:tr>
      <w:tr w:rsidR="005D35AC" w:rsidRPr="005B54EE" w14:paraId="71B8F4EE" w14:textId="77777777" w:rsidTr="005D35AC">
        <w:trPr>
          <w:trHeight w:val="300"/>
        </w:trPr>
        <w:tc>
          <w:tcPr>
            <w:tcW w:w="9863" w:type="dxa"/>
            <w:gridSpan w:val="2"/>
            <w:tcBorders>
              <w:top w:val="single" w:sz="4" w:space="0" w:color="B8B8B8"/>
              <w:left w:val="single" w:sz="4" w:space="0" w:color="B8B8B8"/>
              <w:bottom w:val="single" w:sz="4" w:space="0" w:color="00000A"/>
              <w:right w:val="single" w:sz="4" w:space="0" w:color="B8B8B8"/>
            </w:tcBorders>
            <w:shd w:val="clear" w:color="auto" w:fill="auto"/>
            <w:tcMar>
              <w:left w:w="0" w:type="dxa"/>
            </w:tcMar>
            <w:vAlign w:val="center"/>
          </w:tcPr>
          <w:p w14:paraId="35F777BA" w14:textId="77777777" w:rsidR="005D35AC" w:rsidRPr="005B54EE" w:rsidRDefault="005D35AC" w:rsidP="005D35AC">
            <w:pPr>
              <w:rPr>
                <w:color w:val="000000"/>
                <w:sz w:val="18"/>
                <w:szCs w:val="18"/>
              </w:rPr>
            </w:pPr>
            <w:r w:rsidRPr="005B54EE">
              <w:rPr>
                <w:sz w:val="18"/>
                <w:lang w:val="en-US"/>
              </w:rPr>
              <w:t>Other mechanism units under the Convention (specify)</w:t>
            </w:r>
            <w:r w:rsidRPr="005B54EE">
              <w:rPr>
                <w:color w:val="000000"/>
                <w:sz w:val="18"/>
                <w:vertAlign w:val="superscript"/>
                <w:lang w:val="en-US"/>
              </w:rPr>
              <w:t>d</w:t>
            </w:r>
          </w:p>
        </w:tc>
      </w:tr>
      <w:tr w:rsidR="005D35AC" w:rsidRPr="005B54EE" w14:paraId="03601AF2" w14:textId="77777777" w:rsidTr="005D35AC">
        <w:trPr>
          <w:trHeight w:val="300"/>
        </w:trPr>
        <w:tc>
          <w:tcPr>
            <w:tcW w:w="5924" w:type="dxa"/>
            <w:shd w:val="clear" w:color="auto" w:fill="auto"/>
          </w:tcPr>
          <w:p w14:paraId="5F9950E9" w14:textId="77777777" w:rsidR="005D35AC" w:rsidRPr="005B54EE" w:rsidRDefault="005D35AC" w:rsidP="005D35AC">
            <w:pPr>
              <w:rPr>
                <w:color w:val="000000"/>
                <w:sz w:val="18"/>
                <w:szCs w:val="18"/>
                <w:lang w:val="en-US"/>
              </w:rPr>
            </w:pPr>
          </w:p>
        </w:tc>
        <w:tc>
          <w:tcPr>
            <w:tcW w:w="3939" w:type="dxa"/>
            <w:shd w:val="clear" w:color="auto" w:fill="auto"/>
          </w:tcPr>
          <w:p w14:paraId="17C1DDA1" w14:textId="77777777" w:rsidR="005D35AC" w:rsidRPr="005B54EE" w:rsidRDefault="005D35AC" w:rsidP="005D35AC">
            <w:pPr>
              <w:jc w:val="right"/>
              <w:rPr>
                <w:color w:val="000000"/>
                <w:sz w:val="18"/>
                <w:szCs w:val="18"/>
                <w:lang w:val="en-US"/>
              </w:rPr>
            </w:pPr>
          </w:p>
        </w:tc>
      </w:tr>
      <w:tr w:rsidR="005D35AC" w:rsidRPr="005B54EE" w14:paraId="3F897AC3" w14:textId="77777777" w:rsidTr="005D35AC">
        <w:trPr>
          <w:trHeight w:val="300"/>
        </w:trPr>
        <w:tc>
          <w:tcPr>
            <w:tcW w:w="9863" w:type="dxa"/>
            <w:gridSpan w:val="2"/>
            <w:shd w:val="clear" w:color="auto" w:fill="auto"/>
            <w:vAlign w:val="bottom"/>
          </w:tcPr>
          <w:p w14:paraId="18F664E6" w14:textId="77777777" w:rsidR="005D35AC" w:rsidRPr="005B54EE" w:rsidRDefault="005D35AC" w:rsidP="005D35AC">
            <w:pPr>
              <w:jc w:val="left"/>
              <w:rPr>
                <w:i/>
                <w:iCs/>
                <w:color w:val="000000"/>
                <w:sz w:val="18"/>
                <w:szCs w:val="18"/>
              </w:rPr>
            </w:pPr>
            <w:r w:rsidRPr="005B54EE">
              <w:rPr>
                <w:i/>
                <w:color w:val="000000"/>
                <w:sz w:val="18"/>
                <w:lang w:val="en-US"/>
              </w:rPr>
              <w:t>Abbreviations</w:t>
            </w:r>
            <w:r w:rsidRPr="005B54EE">
              <w:rPr>
                <w:color w:val="000000"/>
                <w:sz w:val="18"/>
                <w:lang w:val="en-US"/>
              </w:rPr>
              <w:t xml:space="preserve">: </w:t>
            </w:r>
            <w:r w:rsidRPr="005B54EE">
              <w:rPr>
                <w:color w:val="000000"/>
                <w:sz w:val="18"/>
                <w:lang w:val="en-US"/>
              </w:rPr>
              <w:br/>
              <w:t xml:space="preserve">AAU = assigned amount unit, </w:t>
            </w:r>
            <w:r w:rsidRPr="005B54EE">
              <w:rPr>
                <w:color w:val="000000"/>
                <w:sz w:val="18"/>
                <w:lang w:val="en-US"/>
              </w:rPr>
              <w:br/>
              <w:t xml:space="preserve">CER = certified emission reduction, </w:t>
            </w:r>
            <w:r w:rsidRPr="005B54EE">
              <w:rPr>
                <w:color w:val="000000"/>
                <w:sz w:val="18"/>
                <w:lang w:val="en-US"/>
              </w:rPr>
              <w:br/>
              <w:t>ERU = emission reduction unit.</w:t>
            </w:r>
          </w:p>
        </w:tc>
      </w:tr>
    </w:tbl>
    <w:p w14:paraId="18374EF4" w14:textId="77777777" w:rsidR="005D35AC" w:rsidRPr="005B54EE" w:rsidRDefault="005D35AC" w:rsidP="005D35AC">
      <w:pPr>
        <w:rPr>
          <w:rFonts w:cs="Arial"/>
          <w:sz w:val="18"/>
          <w:szCs w:val="18"/>
          <w:lang w:val="en-US"/>
        </w:rPr>
      </w:pPr>
    </w:p>
    <w:tbl>
      <w:tblPr>
        <w:tblW w:w="5000" w:type="pct"/>
        <w:tblCellMar>
          <w:left w:w="70" w:type="dxa"/>
          <w:right w:w="70" w:type="dxa"/>
        </w:tblCellMar>
        <w:tblLook w:val="00A0" w:firstRow="1" w:lastRow="0" w:firstColumn="1" w:lastColumn="0" w:noHBand="0" w:noVBand="0"/>
      </w:tblPr>
      <w:tblGrid>
        <w:gridCol w:w="9950"/>
      </w:tblGrid>
      <w:tr w:rsidR="005D35AC" w:rsidRPr="005B54EE" w14:paraId="7CE14831" w14:textId="77777777" w:rsidTr="005D35AC">
        <w:trPr>
          <w:trHeight w:val="975"/>
        </w:trPr>
        <w:tc>
          <w:tcPr>
            <w:tcW w:w="9864" w:type="dxa"/>
            <w:shd w:val="clear" w:color="auto" w:fill="auto"/>
          </w:tcPr>
          <w:p w14:paraId="1CDC9E64" w14:textId="77777777" w:rsidR="005D35AC" w:rsidRPr="005B54EE" w:rsidRDefault="005D35AC" w:rsidP="005D35AC">
            <w:pPr>
              <w:rPr>
                <w:color w:val="000000"/>
                <w:sz w:val="18"/>
                <w:szCs w:val="18"/>
              </w:rPr>
            </w:pPr>
            <w:r w:rsidRPr="005B54EE">
              <w:rPr>
                <w:i/>
                <w:color w:val="000000"/>
                <w:sz w:val="18"/>
                <w:vertAlign w:val="superscript"/>
                <w:lang w:val="en-US"/>
              </w:rPr>
              <w:t xml:space="preserve">a   </w:t>
            </w:r>
            <w:r w:rsidRPr="005B54EE">
              <w:rPr>
                <w:color w:val="000000"/>
                <w:sz w:val="18"/>
                <w:lang w:val="en-US"/>
              </w:rPr>
              <w:t>Reporting by a developed country Party on the information specified in the common tabular format does not prejudge the position of other Parties with regard to the treatment of units from market-based mechanisms under the Convention or other market-based mechanisms towards achievement of quantified economy-wide emission reduction targets.</w:t>
            </w:r>
          </w:p>
          <w:p w14:paraId="56B51B33" w14:textId="77777777" w:rsidR="005D35AC" w:rsidRPr="005B54EE" w:rsidRDefault="005D35AC" w:rsidP="005D35AC">
            <w:pPr>
              <w:rPr>
                <w:i/>
                <w:iCs/>
                <w:color w:val="000000"/>
                <w:sz w:val="18"/>
                <w:szCs w:val="18"/>
                <w:lang w:val="en-US"/>
              </w:rPr>
            </w:pPr>
          </w:p>
        </w:tc>
      </w:tr>
      <w:tr w:rsidR="005D35AC" w:rsidRPr="005B54EE" w14:paraId="13F07052" w14:textId="77777777" w:rsidTr="005D35AC">
        <w:trPr>
          <w:trHeight w:val="300"/>
        </w:trPr>
        <w:tc>
          <w:tcPr>
            <w:tcW w:w="9864" w:type="dxa"/>
            <w:shd w:val="clear" w:color="auto" w:fill="auto"/>
          </w:tcPr>
          <w:p w14:paraId="699B89BE" w14:textId="77777777" w:rsidR="005D35AC" w:rsidRPr="005B54EE" w:rsidRDefault="005D35AC" w:rsidP="005D35AC">
            <w:pPr>
              <w:rPr>
                <w:color w:val="000000"/>
                <w:sz w:val="18"/>
                <w:szCs w:val="18"/>
              </w:rPr>
            </w:pPr>
            <w:r w:rsidRPr="005B54EE">
              <w:rPr>
                <w:i/>
                <w:color w:val="000000"/>
                <w:sz w:val="18"/>
                <w:vertAlign w:val="superscript"/>
                <w:lang w:val="en-US"/>
              </w:rPr>
              <w:t xml:space="preserve">d   </w:t>
            </w:r>
            <w:r w:rsidRPr="005B54EE">
              <w:rPr>
                <w:color w:val="000000"/>
                <w:sz w:val="18"/>
                <w:lang w:val="en-US"/>
              </w:rPr>
              <w:t>As indicated in paragraph 5(e) of the guidelines contained in annex I of decision 2/CP.17 .</w:t>
            </w:r>
          </w:p>
          <w:p w14:paraId="0F00274D" w14:textId="77777777" w:rsidR="005D35AC" w:rsidRPr="005B54EE" w:rsidRDefault="005D35AC" w:rsidP="005D35AC">
            <w:pPr>
              <w:rPr>
                <w:i/>
                <w:iCs/>
                <w:color w:val="000000"/>
                <w:sz w:val="18"/>
                <w:szCs w:val="18"/>
                <w:lang w:val="en-US"/>
              </w:rPr>
            </w:pPr>
          </w:p>
        </w:tc>
      </w:tr>
      <w:tr w:rsidR="005D35AC" w:rsidRPr="005B54EE" w14:paraId="6261E4AF" w14:textId="77777777" w:rsidTr="005D35AC">
        <w:trPr>
          <w:trHeight w:val="300"/>
        </w:trPr>
        <w:tc>
          <w:tcPr>
            <w:tcW w:w="9864" w:type="dxa"/>
            <w:shd w:val="clear" w:color="auto" w:fill="auto"/>
          </w:tcPr>
          <w:p w14:paraId="0A11A7E0" w14:textId="77777777" w:rsidR="005D35AC" w:rsidRPr="005B54EE" w:rsidRDefault="005D35AC" w:rsidP="005D35AC">
            <w:pPr>
              <w:rPr>
                <w:i/>
                <w:iCs/>
                <w:color w:val="000000"/>
                <w:sz w:val="18"/>
                <w:szCs w:val="18"/>
              </w:rPr>
            </w:pPr>
            <w:r w:rsidRPr="005B54EE">
              <w:rPr>
                <w:i/>
                <w:color w:val="000000"/>
                <w:sz w:val="18"/>
                <w:vertAlign w:val="superscript"/>
                <w:lang w:val="en-US"/>
              </w:rPr>
              <w:t xml:space="preserve">i   </w:t>
            </w:r>
            <w:r w:rsidRPr="005B54EE">
              <w:rPr>
                <w:color w:val="000000"/>
                <w:sz w:val="18"/>
                <w:lang w:val="en-US"/>
              </w:rPr>
              <w:t>AAUs issued to or purchased by a Party.</w:t>
            </w:r>
          </w:p>
        </w:tc>
      </w:tr>
      <w:tr w:rsidR="005D35AC" w:rsidRPr="005B54EE" w14:paraId="69782F54" w14:textId="77777777" w:rsidTr="005D35AC">
        <w:trPr>
          <w:trHeight w:val="577"/>
        </w:trPr>
        <w:tc>
          <w:tcPr>
            <w:tcW w:w="9864" w:type="dxa"/>
            <w:shd w:val="clear" w:color="auto" w:fill="auto"/>
          </w:tcPr>
          <w:p w14:paraId="608F0323" w14:textId="77777777" w:rsidR="005D35AC" w:rsidRPr="005B54EE" w:rsidRDefault="005D35AC" w:rsidP="005D35AC">
            <w:r w:rsidRPr="005B54EE">
              <w:rPr>
                <w:i/>
                <w:color w:val="000000"/>
                <w:sz w:val="18"/>
                <w:vertAlign w:val="superscript"/>
                <w:lang w:val="en-US"/>
              </w:rPr>
              <w:t xml:space="preserve">j   </w:t>
            </w:r>
            <w:r w:rsidRPr="005B54EE">
              <w:rPr>
                <w:color w:val="000000"/>
                <w:sz w:val="18"/>
                <w:lang w:val="en-US"/>
              </w:rPr>
              <w:t xml:space="preserve">Units carried over from the first to the second commitment periods of the Kyoto Protocol, as described in decision 13/CMP.1 and consistent with decision 1/CMP.8. </w:t>
            </w:r>
          </w:p>
        </w:tc>
      </w:tr>
    </w:tbl>
    <w:p w14:paraId="05C194FD" w14:textId="7C08B770" w:rsidR="0051771F" w:rsidRPr="005B54EE" w:rsidRDefault="0051771F" w:rsidP="005D35AC">
      <w:r w:rsidRPr="005B54EE">
        <w:br w:type="page"/>
      </w:r>
    </w:p>
    <w:p w14:paraId="310BAE04" w14:textId="77777777" w:rsidR="00630A34" w:rsidRPr="005B54EE" w:rsidRDefault="00630A34" w:rsidP="007C589E">
      <w:pPr>
        <w:pStyle w:val="Titre1Niveau1"/>
      </w:pPr>
      <w:r w:rsidRPr="005B54EE">
        <w:br w:type="page"/>
      </w:r>
      <w:bookmarkStart w:id="35" w:name="ChapIII"/>
      <w:bookmarkStart w:id="36" w:name="_Toc121149501"/>
      <w:bookmarkStart w:id="37" w:name="_Toc138344666"/>
      <w:bookmarkEnd w:id="35"/>
      <w:r w:rsidRPr="005B54EE">
        <w:t>Chapter III - Progress towards quantified targets and relevant information - mitigation actions</w:t>
      </w:r>
      <w:bookmarkEnd w:id="36"/>
      <w:bookmarkEnd w:id="37"/>
    </w:p>
    <w:p w14:paraId="281F9703" w14:textId="77777777" w:rsidR="00630A34" w:rsidRPr="005B54EE" w:rsidRDefault="00630A34" w:rsidP="002F4FA6">
      <w:pPr>
        <w:pStyle w:val="Titre2Niveau2"/>
        <w:numPr>
          <w:ilvl w:val="0"/>
          <w:numId w:val="25"/>
        </w:numPr>
      </w:pPr>
      <w:bookmarkStart w:id="38" w:name="_Toc121149502"/>
      <w:bookmarkStart w:id="39" w:name="_Toc138344667"/>
      <w:r w:rsidRPr="005B54EE">
        <w:t>Introduction</w:t>
      </w:r>
      <w:bookmarkEnd w:id="38"/>
      <w:bookmarkEnd w:id="39"/>
    </w:p>
    <w:p w14:paraId="5EF11379" w14:textId="3B1DA7A6" w:rsidR="00630A34" w:rsidRPr="005B54EE" w:rsidRDefault="00630A34" w:rsidP="00630A34">
      <w:r w:rsidRPr="005B54EE">
        <w:t>The EU has largely exceeded its 2020 reduction target under the Convention, which means that its Member States and the UK have also met their emission reduction obligations. As shown in the EU GHG inventory submission for 2022 to the UNFCCC, total GHG emissions, excluding LULUCF and including international aviation, have fallen by 34% in 2020 in the EU-27 + UK compared to the 1990 base year, or 1.94 billion tonnes of CO</w:t>
      </w:r>
      <w:r w:rsidRPr="005B54EE">
        <w:rPr>
          <w:vertAlign w:val="subscript"/>
        </w:rPr>
        <w:t>2eq</w:t>
      </w:r>
      <w:r w:rsidRPr="005B54EE">
        <w:t xml:space="preserve"> (carbon dioxide equivalent).</w:t>
      </w:r>
    </w:p>
    <w:p w14:paraId="75D92917" w14:textId="270A553D" w:rsidR="00117FAB" w:rsidRPr="005B54EE" w:rsidRDefault="00117FAB" w:rsidP="00630A34"/>
    <w:p w14:paraId="3507868C" w14:textId="77777777" w:rsidR="00117FAB" w:rsidRPr="005B54EE" w:rsidRDefault="00117FAB" w:rsidP="00630A34">
      <w:r w:rsidRPr="005B54EE">
        <w:t>This chapter summarises all the policies and measures introduced by France to reduce its GHG emissions, focusing on the measures implemented since the fourth biennial report.</w:t>
      </w:r>
    </w:p>
    <w:p w14:paraId="24449B48" w14:textId="108E7421" w:rsidR="00117FAB" w:rsidRPr="005B54EE" w:rsidRDefault="00117FAB" w:rsidP="00630A34">
      <w:r w:rsidRPr="005B54EE">
        <w:t>Section B lists the main provisions for the governance of France's climate policy, in particular the National Low Carbon Strategy (SNBC), which sets out different sequences of carbon budgets, but also the most recent ecological planning initiative. The institutional tools for monitoring the fulfilment of the targets that France has set itself are also indicated. France's action is part of a European framework of various legislation, which are listed in this same section. Section C details the policies and measures by sector.</w:t>
      </w:r>
    </w:p>
    <w:p w14:paraId="6184EA70" w14:textId="77777777" w:rsidR="00630A34" w:rsidRPr="005B54EE" w:rsidRDefault="00630A34" w:rsidP="004D2261">
      <w:pPr>
        <w:pStyle w:val="Titre2Niveau2"/>
      </w:pPr>
      <w:bookmarkStart w:id="40" w:name="_Toc121149503"/>
      <w:bookmarkStart w:id="41" w:name="_Toc138344668"/>
      <w:r w:rsidRPr="005B54EE">
        <w:t>Design of policies and measures and institutional developments to achieve climate targets</w:t>
      </w:r>
      <w:bookmarkEnd w:id="40"/>
      <w:bookmarkEnd w:id="41"/>
    </w:p>
    <w:p w14:paraId="4322B097" w14:textId="77777777" w:rsidR="00630A34" w:rsidRPr="005B54EE" w:rsidRDefault="00630A34" w:rsidP="00B04A7C">
      <w:pPr>
        <w:pStyle w:val="Titre3Niveau3"/>
      </w:pPr>
      <w:bookmarkStart w:id="42" w:name="_Toc121149504"/>
      <w:bookmarkStart w:id="43" w:name="_Toc138344669"/>
      <w:r w:rsidRPr="005B54EE">
        <w:t>Institutional foundations</w:t>
      </w:r>
      <w:bookmarkEnd w:id="42"/>
      <w:bookmarkEnd w:id="43"/>
    </w:p>
    <w:p w14:paraId="24DD6BE5" w14:textId="77777777" w:rsidR="00630A34" w:rsidRPr="005B54EE" w:rsidRDefault="00630A34" w:rsidP="004D2261">
      <w:pPr>
        <w:pStyle w:val="Titre4niveau4"/>
      </w:pPr>
      <w:r w:rsidRPr="005B54EE">
        <w:t>At the State level</w:t>
      </w:r>
    </w:p>
    <w:p w14:paraId="5BDE7344" w14:textId="77777777" w:rsidR="000863E6" w:rsidRPr="005B54EE" w:rsidRDefault="000863E6" w:rsidP="000863E6">
      <w:pPr>
        <w:pStyle w:val="BodyText"/>
        <w:rPr>
          <w:rFonts w:asciiTheme="minorHAnsi" w:hAnsiTheme="minorHAnsi"/>
          <w:sz w:val="22"/>
        </w:rPr>
      </w:pPr>
      <w:r w:rsidRPr="005B54EE">
        <w:rPr>
          <w:rFonts w:asciiTheme="minorHAnsi" w:hAnsiTheme="minorHAnsi"/>
          <w:sz w:val="22"/>
        </w:rPr>
        <w:t xml:space="preserve">In view of the climate crisis, the President of the Republic has committed France to ecological planning and has given the Prime Minister the strategic role of coordinating this initiative. Ecological planning is a major societal movement to achieve climate, biodiversity and pollution reduction objectives by involving all stakeholders: the State, businesses and local authorities. To successfully implement this initiative, in May 2022, the Prime Minister announced the creation of a General Secretariat for Ecological Planning. </w:t>
      </w:r>
      <w:r w:rsidRPr="005B54EE">
        <w:rPr>
          <w:sz w:val="22"/>
        </w:rPr>
        <w:t>It is responsible for:</w:t>
      </w:r>
      <w:r w:rsidRPr="005B54EE">
        <w:rPr>
          <w:rFonts w:asciiTheme="minorHAnsi" w:hAnsiTheme="minorHAnsi"/>
          <w:sz w:val="22"/>
        </w:rPr>
        <w:t xml:space="preserve"> </w:t>
      </w:r>
    </w:p>
    <w:p w14:paraId="7FF8CD0B" w14:textId="30AA7E5F" w:rsidR="000863E6" w:rsidRPr="005B54EE" w:rsidRDefault="00117FAB" w:rsidP="002F4FA6">
      <w:pPr>
        <w:pStyle w:val="ListParagraph"/>
        <w:numPr>
          <w:ilvl w:val="0"/>
          <w:numId w:val="19"/>
        </w:numPr>
        <w:spacing w:before="240" w:after="240"/>
      </w:pPr>
      <w:r w:rsidRPr="005B54EE">
        <w:t>Coordinating the development of national strategies on climate, energy, biodiversity and the circular economy, ensuring that France's European and international commitments are met. Specifically, it ensures the sustainability of these strategies and their differentiation, in order to adapt to the specific characteristics of each region and to integrate economic and social issues;</w:t>
      </w:r>
    </w:p>
    <w:p w14:paraId="06DF1AEE" w14:textId="17BED1DD" w:rsidR="000863E6" w:rsidRPr="005B54EE" w:rsidRDefault="00117FAB" w:rsidP="002F4FA6">
      <w:pPr>
        <w:pStyle w:val="ListParagraph"/>
        <w:numPr>
          <w:ilvl w:val="0"/>
          <w:numId w:val="19"/>
        </w:numPr>
        <w:spacing w:before="240" w:after="240"/>
      </w:pPr>
      <w:r w:rsidRPr="005B54EE">
        <w:t>Ensuring that these strategies are implemented by all the relevant ministries and that they are translated into action plans;</w:t>
      </w:r>
    </w:p>
    <w:p w14:paraId="3818E0B9" w14:textId="0E85CC7A" w:rsidR="000863E6" w:rsidRPr="005B54EE" w:rsidRDefault="00117FAB" w:rsidP="002F4FA6">
      <w:pPr>
        <w:pStyle w:val="ListParagraph"/>
        <w:numPr>
          <w:ilvl w:val="0"/>
          <w:numId w:val="19"/>
        </w:numPr>
        <w:spacing w:before="240" w:after="240"/>
      </w:pPr>
      <w:r w:rsidRPr="005B54EE">
        <w:t>Ensuring the regular review of the policies carried out under these strategies and action plans and the publication of relevant performance indicators;</w:t>
      </w:r>
    </w:p>
    <w:p w14:paraId="2D71DEE4" w14:textId="3E0218D8" w:rsidR="000863E6" w:rsidRPr="005B54EE" w:rsidRDefault="00117FAB" w:rsidP="002F4FA6">
      <w:pPr>
        <w:pStyle w:val="ListParagraph"/>
        <w:numPr>
          <w:ilvl w:val="0"/>
          <w:numId w:val="19"/>
        </w:numPr>
        <w:spacing w:before="240" w:after="240"/>
      </w:pPr>
      <w:r w:rsidRPr="005B54EE">
        <w:t>Ensuring that all public policies are consistent with the above strategies;</w:t>
      </w:r>
    </w:p>
    <w:p w14:paraId="0480A7D3" w14:textId="717FFCF8" w:rsidR="000863E6" w:rsidRPr="005B54EE" w:rsidRDefault="00117FAB" w:rsidP="002F4FA6">
      <w:pPr>
        <w:pStyle w:val="ListParagraph"/>
        <w:numPr>
          <w:ilvl w:val="0"/>
          <w:numId w:val="19"/>
        </w:numPr>
        <w:spacing w:before="240" w:after="240"/>
        <w:rPr>
          <w:rFonts w:asciiTheme="minorHAnsi" w:hAnsiTheme="minorHAnsi"/>
        </w:rPr>
      </w:pPr>
      <w:r w:rsidRPr="005B54EE">
        <w:t>Preparing and coordinating Government requests and responses to recommendations from the High Council for the Climate.</w:t>
      </w:r>
    </w:p>
    <w:p w14:paraId="56B2F8B5" w14:textId="77777777" w:rsidR="000863E6" w:rsidRPr="005B54EE" w:rsidRDefault="000863E6" w:rsidP="000863E6">
      <w:pPr>
        <w:spacing w:before="240" w:after="240"/>
      </w:pPr>
      <w:r w:rsidRPr="005B54EE">
        <w:t>The Ministry of Ecological Transition and Territorial Cohesion (MTECT) and the Ministry of Energy Transition (MTE) are committed to meeting the environmental and climate challenges of the 21st century. The coordination and leadership of domestic climate change policy is the responsibility of the Climate and Energy Efficiency Service (SCEE) within the Directorate-General for Energy and Climate (DGEC), specifically through its Department for Combating the Greenhouse Effect (DLCES).</w:t>
      </w:r>
    </w:p>
    <w:p w14:paraId="2AFC144B" w14:textId="77777777" w:rsidR="000863E6" w:rsidRPr="005B54EE" w:rsidRDefault="000863E6" w:rsidP="000863E6">
      <w:pPr>
        <w:spacing w:before="240" w:after="240"/>
      </w:pPr>
      <w:r w:rsidRPr="005B54EE">
        <w:t>Regarding adaptation policy, the National Observatory on the Effects of Global Warming (ONERC), created on 21 February 2001 on the initiative of Parliament, is responsible for collecting and disseminating information on global warming and extreme climatic events. It forms part of the DGEC.</w:t>
      </w:r>
    </w:p>
    <w:p w14:paraId="23A3413D" w14:textId="77777777" w:rsidR="000863E6" w:rsidRPr="005B54EE" w:rsidRDefault="000863E6" w:rsidP="000863E6">
      <w:pPr>
        <w:spacing w:before="240" w:after="240"/>
      </w:pPr>
      <w:r w:rsidRPr="005B54EE">
        <w:t>Other ministries provide essential input to the implementation of national climate policy, including the Ministry of Agriculture and Food Sovereignty, the Ministry of Economy and Finance, and the Ministry of Higher Education and Research.</w:t>
      </w:r>
    </w:p>
    <w:p w14:paraId="490A7948" w14:textId="77777777" w:rsidR="000863E6" w:rsidRPr="005B54EE" w:rsidRDefault="000863E6" w:rsidP="000863E6">
      <w:pPr>
        <w:spacing w:before="240" w:after="240"/>
      </w:pPr>
      <w:r w:rsidRPr="005B54EE">
        <w:t>Public bodies are also involved in the implementation of public climate policies. In particular, the French Agency for Ecological Transition (ADEME) provides businesses, local authorities, public authorities and the general public with its expertise and advice and assists in financing projects. The National Housing Agency (ANAH) supports and finances the energy efficiency improvements of the homes of the lowest-income households. Finally, the French Development Agency (AFD) works to implement France's climate funding in developing countries.</w:t>
      </w:r>
    </w:p>
    <w:p w14:paraId="31DB9ADF" w14:textId="77777777" w:rsidR="000863E6" w:rsidRPr="005B54EE" w:rsidRDefault="000863E6" w:rsidP="000863E6">
      <w:pPr>
        <w:spacing w:before="240" w:after="240"/>
      </w:pPr>
      <w:r w:rsidRPr="005B54EE">
        <w:t xml:space="preserve">At the initiative of the President of the Republic, the decree of 14 May 2019 created the High Council for the Climate, an independent body responsible for advising political decision-makers on medium- and long-term guidelines and providing advice and recommendations on the implementation of policies and measures aimed at reducing national greenhouse gas emissions and assessing their consistency with France's climate targets. </w:t>
      </w:r>
    </w:p>
    <w:p w14:paraId="3BED3FB2" w14:textId="6D577A48" w:rsidR="00630A34" w:rsidRPr="005B54EE" w:rsidRDefault="000863E6" w:rsidP="000863E6">
      <w:pPr>
        <w:spacing w:before="240" w:after="240"/>
      </w:pPr>
      <w:r w:rsidRPr="005B54EE">
        <w:t>An Ecological Protection Council has also been set up, consisting of the ministers directly involved in environmental and climate issues, in order to coordinate the State's cross-sectoral action on issues raised.</w:t>
      </w:r>
    </w:p>
    <w:p w14:paraId="17B16E3A" w14:textId="77777777" w:rsidR="00630A34" w:rsidRPr="005B54EE" w:rsidRDefault="00630A34" w:rsidP="004D2261">
      <w:pPr>
        <w:pStyle w:val="Titre4niveau4"/>
      </w:pPr>
      <w:r w:rsidRPr="005B54EE">
        <w:t>At the local authority level</w:t>
      </w:r>
    </w:p>
    <w:p w14:paraId="6BDDD3C3" w14:textId="2B1DF889" w:rsidR="000863E6" w:rsidRPr="005B54EE" w:rsidRDefault="000863E6" w:rsidP="000863E6">
      <w:r w:rsidRPr="005B54EE">
        <w:t>Local and regional authorities, as public bodies, play an important role in the fight against climate change through their infrastructure, their direct operations and, more generally, by setting in motion the entire economic and social framework. Their local field of expertise and action includes, in particular, the management of transport policies, the promotion and support of the buildings refurbishment sector, and the development of the energy potential of their region through their economic and planning policies.</w:t>
      </w:r>
    </w:p>
    <w:p w14:paraId="37D472F1" w14:textId="77777777" w:rsidR="000863E6" w:rsidRPr="005B54EE" w:rsidRDefault="000863E6" w:rsidP="000863E6">
      <w:pPr>
        <w:rPr>
          <w:lang w:eastAsia="en-US"/>
        </w:rPr>
      </w:pPr>
    </w:p>
    <w:p w14:paraId="3811CA2A" w14:textId="77777777" w:rsidR="000863E6" w:rsidRPr="005B54EE" w:rsidRDefault="000863E6" w:rsidP="000863E6">
      <w:r w:rsidRPr="005B54EE">
        <w:t>The climate action of local authorities is based on regional planning tools: the Regional Schemes for Planning, Sustainable Development and Equality of Territories (SRADDET), and the Regional Climate-Air-Energy Plans (PCAET) for inter-communal bodies with more than 20,000 inhabitants.</w:t>
      </w:r>
    </w:p>
    <w:p w14:paraId="59417B95" w14:textId="77777777" w:rsidR="000863E6" w:rsidRPr="005B54EE" w:rsidRDefault="000863E6" w:rsidP="000863E6">
      <w:pPr>
        <w:rPr>
          <w:lang w:eastAsia="en-US"/>
        </w:rPr>
      </w:pPr>
    </w:p>
    <w:p w14:paraId="1D857D82" w14:textId="21F1EDEE" w:rsidR="000863E6" w:rsidRPr="005B54EE" w:rsidRDefault="000863E6" w:rsidP="000863E6">
      <w:r w:rsidRPr="005B54EE">
        <w:t>The SRADDETs, introduced by the NOTRe law in 2016, incorporate several existing schemes, including the regional climate-air-energy schemes (SRCAE), the regional waste prevention and management plans and the regional transport/intermodality schemes. This is a comprehensive document covering planning, transport, energy and the fight against climate change, drawn up by the regions in cooperation with local authorities. The SRADDETs set the strategic guidelines and medium- and long-term targets for each regional area, specifically in terms of mitigating and adapting to climate change, combating atmospheric pollution, controlling energy consumption and developing renewable and recovered energy, in line with national targets.</w:t>
      </w:r>
    </w:p>
    <w:p w14:paraId="30584D55" w14:textId="77777777" w:rsidR="000863E6" w:rsidRPr="005B54EE" w:rsidRDefault="000863E6" w:rsidP="000863E6">
      <w:pPr>
        <w:rPr>
          <w:lang w:eastAsia="en-US"/>
        </w:rPr>
      </w:pPr>
    </w:p>
    <w:p w14:paraId="252CAC4F" w14:textId="48F05B45" w:rsidR="000863E6" w:rsidRPr="005B54EE" w:rsidRDefault="000863E6" w:rsidP="000863E6">
      <w:r w:rsidRPr="005B54EE">
        <w:t>Even though the development of the SRADDET is decentralised, the process still requires consultation with the State, public authorities and the main groups of authorities concerned, as well as the EPCIs.</w:t>
      </w:r>
    </w:p>
    <w:p w14:paraId="47EA3B09" w14:textId="77777777" w:rsidR="000863E6" w:rsidRPr="005B54EE" w:rsidRDefault="000863E6" w:rsidP="000863E6">
      <w:pPr>
        <w:rPr>
          <w:lang w:eastAsia="en-US"/>
        </w:rPr>
      </w:pPr>
    </w:p>
    <w:p w14:paraId="3DDB2280" w14:textId="08F852BF" w:rsidR="000863E6" w:rsidRPr="005B54EE" w:rsidRDefault="000863E6" w:rsidP="000863E6">
      <w:r w:rsidRPr="005B54EE">
        <w:t>In the overseas departments, the regional development plan (SAR) is the main land use management planning tool for low-carbon planning.</w:t>
      </w:r>
    </w:p>
    <w:p w14:paraId="398B105A" w14:textId="77777777" w:rsidR="000863E6" w:rsidRPr="005B54EE" w:rsidRDefault="000863E6" w:rsidP="000863E6">
      <w:pPr>
        <w:rPr>
          <w:lang w:eastAsia="en-US"/>
        </w:rPr>
      </w:pPr>
    </w:p>
    <w:p w14:paraId="7F9916BF" w14:textId="5618A284" w:rsidR="000863E6" w:rsidRPr="005B54EE" w:rsidRDefault="000863E6" w:rsidP="007C589E">
      <w:r w:rsidRPr="005B54EE">
        <w:t>SARs and SRADDETs are expected to reflect the national low-carbon strategy (SNBC).</w:t>
      </w:r>
    </w:p>
    <w:p w14:paraId="515883D1" w14:textId="04746025" w:rsidR="00630A34" w:rsidRPr="005B54EE" w:rsidRDefault="000863E6" w:rsidP="000863E6">
      <w:pPr>
        <w:pStyle w:val="ListParagraph"/>
        <w:spacing w:before="240" w:after="240"/>
        <w:ind w:left="0"/>
      </w:pPr>
      <w:r w:rsidRPr="005B54EE">
        <w:t>The PCAETs replace the earlier Regional Climate and Energy Plans (PCETs). Their implementation is required for intercommunal agencies representing more than 20,000 inhabitants operating on 1 January 2017. Until the end of 2016, the former PCETs only applied to communities with more than 50,000 inhabitants. The PCAET is a tool for the coordination of the area that defines strategic and operational targets in order to mitigate climate change, adapt to it, develop renewable energies and control energy use, in line with national and regional guidelines. It comprises a detailed study, a strategy and quantified targets, an action plan, and a monitoring and appraisal system.</w:t>
      </w:r>
      <w:r w:rsidRPr="005B54EE">
        <w:rPr>
          <w:rStyle w:val="FootnoteReference"/>
          <w:lang w:eastAsia="en-US"/>
        </w:rPr>
        <w:footnoteReference w:id="1"/>
      </w:r>
      <w:r w:rsidRPr="005B54EE">
        <w:t>.</w:t>
      </w:r>
    </w:p>
    <w:p w14:paraId="4BC5C2C4" w14:textId="77777777" w:rsidR="00630A34" w:rsidRPr="005B54EE" w:rsidRDefault="00630A34" w:rsidP="00B04A7C">
      <w:pPr>
        <w:pStyle w:val="Titre3Niveau3"/>
      </w:pPr>
      <w:bookmarkStart w:id="44" w:name="_Toc121149505"/>
      <w:bookmarkStart w:id="45" w:name="_Toc138344670"/>
      <w:r w:rsidRPr="005B54EE">
        <w:t>The foundations of the climate policy</w:t>
      </w:r>
      <w:bookmarkEnd w:id="44"/>
      <w:bookmarkEnd w:id="45"/>
    </w:p>
    <w:p w14:paraId="5DE8C374" w14:textId="77777777" w:rsidR="000863E6" w:rsidRPr="005B54EE" w:rsidRDefault="000863E6" w:rsidP="000863E6">
      <w:pPr>
        <w:spacing w:before="240" w:after="240"/>
      </w:pPr>
      <w:r w:rsidRPr="005B54EE">
        <w:t>France's greenhouse gas emission reduction strategy has been tightened in recent years.</w:t>
      </w:r>
    </w:p>
    <w:p w14:paraId="459F1215" w14:textId="77777777" w:rsidR="000863E6" w:rsidRPr="005B54EE" w:rsidRDefault="000863E6" w:rsidP="000863E6">
      <w:pPr>
        <w:spacing w:before="240" w:after="240"/>
      </w:pPr>
      <w:r w:rsidRPr="005B54EE">
        <w:t>During the 2000s, the establishment of policies to combat climate change was underpinned by successive Climate Plans.</w:t>
      </w:r>
    </w:p>
    <w:p w14:paraId="02857A69" w14:textId="77777777" w:rsidR="000863E6" w:rsidRPr="005B54EE" w:rsidRDefault="000863E6" w:rsidP="000863E6">
      <w:pPr>
        <w:spacing w:before="240" w:after="240"/>
      </w:pPr>
      <w:r w:rsidRPr="005B54EE">
        <w:t>In 2009 and 2010, France committed to reducing its greenhouse gas emissions by 2050 to a quarter of their 1990 level (factor 4) through the Grenelle I and II laws.</w:t>
      </w:r>
    </w:p>
    <w:p w14:paraId="55B5CC42" w14:textId="77777777" w:rsidR="000863E6" w:rsidRPr="005B54EE" w:rsidRDefault="000863E6" w:rsidP="000863E6">
      <w:pPr>
        <w:spacing w:before="240" w:after="240"/>
      </w:pPr>
      <w:r w:rsidRPr="005B54EE">
        <w:t>In 2015, the law on the energy transition for green growth (LTECV) set a target of a 40% reduction in greenhouse gas emissions by 2030 with respect to 1990 and confirmed the ‘factor 4’. The LTECV also introduced the first National Low-Carbon Strategy (‘Stratégie Nationale Bas-Carbone’, SNBC), which defines the guidelines for combating climate change as well as carbon budgets, emission ceilings that must not be exceeded, which are set for five-year periods by decree. The first SNBC was issued in 2015.</w:t>
      </w:r>
    </w:p>
    <w:p w14:paraId="3A69F013" w14:textId="77777777" w:rsidR="000863E6" w:rsidRPr="005B54EE" w:rsidRDefault="000863E6" w:rsidP="000863E6">
      <w:pPr>
        <w:spacing w:before="240" w:after="240"/>
      </w:pPr>
      <w:r w:rsidRPr="005B54EE">
        <w:t xml:space="preserve">The </w:t>
      </w:r>
      <w:r w:rsidRPr="005B54EE">
        <w:rPr>
          <w:b/>
          <w:bCs/>
        </w:rPr>
        <w:t>8 November 2019 law on energy and climate (LEC)</w:t>
      </w:r>
      <w:r w:rsidRPr="005B54EE">
        <w:t xml:space="preserve"> established in law the target of carbon neutrality by 2050, specifying that anthropogenic emissions must be reduced by a factor of at least 6, with residual emissions being offset by anthropogenic absorption. It confirms the 40% reduction in emissions by 2030 target . It also establishes a set of measures that address different areas of the energy transition, including the fight against thermal leakage in buildings and the creation or revision of instruments for steering, governing and assessing national climate policy.</w:t>
      </w:r>
    </w:p>
    <w:p w14:paraId="0D2BC932" w14:textId="77777777" w:rsidR="000863E6" w:rsidRPr="005B54EE" w:rsidRDefault="000863E6" w:rsidP="000863E6">
      <w:pPr>
        <w:spacing w:before="240" w:after="240"/>
      </w:pPr>
      <w:r w:rsidRPr="005B54EE">
        <w:t xml:space="preserve">The second </w:t>
      </w:r>
      <w:r w:rsidRPr="005B54EE">
        <w:rPr>
          <w:b/>
          <w:bCs/>
        </w:rPr>
        <w:t>National Low-Carbon Strategy (SNBC)</w:t>
      </w:r>
      <w:r w:rsidRPr="005B54EE">
        <w:t xml:space="preserve"> was enacted by Decree No. 2020-457 of 21 April 2020 This 2nd SNBC sets out to achieve carbon neutrality by 2050, while maintaining the 40% by 2030 compared to 1990 milestone. </w:t>
      </w:r>
    </w:p>
    <w:p w14:paraId="53F6D878" w14:textId="7822B9EF" w:rsidR="00630A34" w:rsidRPr="005B54EE" w:rsidRDefault="000863E6" w:rsidP="00776ED7">
      <w:pPr>
        <w:spacing w:before="240" w:after="240"/>
      </w:pPr>
      <w:r w:rsidRPr="005B54EE">
        <w:t xml:space="preserve">The sectoral guidelines of the SNBC-2 have since been incorporated into legislation through papers, committing to long-term changes in each sector that emits GHGs in France: the mobility orientation law on transport, the law on the fight against waste and the circular economy, the climate and resilience law (see Chapter 1 - A.2 Recent developments). </w:t>
      </w:r>
    </w:p>
    <w:p w14:paraId="3FDB6077" w14:textId="77777777" w:rsidR="00630A34" w:rsidRPr="005B54EE" w:rsidRDefault="00630A34" w:rsidP="00B04A7C">
      <w:pPr>
        <w:pStyle w:val="Titre3Niveau3"/>
      </w:pPr>
      <w:bookmarkStart w:id="46" w:name="_Toc121149506"/>
      <w:bookmarkStart w:id="47" w:name="_Toc138344671"/>
      <w:r w:rsidRPr="005B54EE">
        <w:t>Monitoring and evaluation of climate policy</w:t>
      </w:r>
      <w:bookmarkEnd w:id="46"/>
      <w:bookmarkEnd w:id="47"/>
    </w:p>
    <w:p w14:paraId="6D403B7C" w14:textId="77777777" w:rsidR="000863E6" w:rsidRPr="005B54EE" w:rsidRDefault="000863E6" w:rsidP="000863E6">
      <w:pPr>
        <w:pStyle w:val="Titre4niveau4"/>
      </w:pPr>
      <w:r w:rsidRPr="005B54EE">
        <w:t>Government-led monitoring</w:t>
      </w:r>
    </w:p>
    <w:p w14:paraId="5436F380" w14:textId="202B151F" w:rsidR="000863E6" w:rsidRPr="005B54EE" w:rsidRDefault="000863E6" w:rsidP="000863E6">
      <w:pPr>
        <w:spacing w:before="240" w:after="240"/>
      </w:pPr>
      <w:r w:rsidRPr="005B54EE">
        <w:t>The National Low-Carbon Strategy is regularly reviewed on the basis of a set of 162 metrics, including both performance metrics (updated annually) and metrics for monitoring the SNBC's guidelines (updated every two years). Contextual and environmental indices (updated every two years) complete the set and allow the results to be put into context</w:t>
      </w:r>
      <w:r w:rsidRPr="005B54EE">
        <w:rPr>
          <w:rStyle w:val="FootnoteReference"/>
          <w:lang w:val="fr" w:eastAsia="en-US"/>
        </w:rPr>
        <w:footnoteReference w:id="2"/>
      </w:r>
      <w:r w:rsidRPr="005B54EE">
        <w:t>. These metrics enable trends to be analysed and their suitability for the targets to be assessed in order to recommend new measures, if necessary.</w:t>
      </w:r>
    </w:p>
    <w:p w14:paraId="5B2869DD" w14:textId="77777777" w:rsidR="000863E6" w:rsidRPr="005B54EE" w:rsidRDefault="000863E6" w:rsidP="000863E6">
      <w:pPr>
        <w:pStyle w:val="Titre4niveau4"/>
        <w:spacing w:before="240"/>
      </w:pPr>
      <w:r w:rsidRPr="005B54EE">
        <w:t>Government-led review</w:t>
      </w:r>
    </w:p>
    <w:p w14:paraId="3872207F" w14:textId="77777777" w:rsidR="000863E6" w:rsidRPr="005B54EE" w:rsidRDefault="000863E6" w:rsidP="000863E6">
      <w:pPr>
        <w:pStyle w:val="NormalWeb"/>
        <w:rPr>
          <w:rFonts w:ascii="Marianne" w:hAnsi="Marianne"/>
          <w:sz w:val="24"/>
        </w:rPr>
      </w:pPr>
      <w:r w:rsidRPr="005B54EE">
        <w:rPr>
          <w:rFonts w:ascii="Marianne" w:hAnsi="Marianne"/>
        </w:rPr>
        <w:t xml:space="preserve">For each cycle, the </w:t>
      </w:r>
      <w:r w:rsidRPr="005B54EE">
        <w:rPr>
          <w:rStyle w:val="Strong"/>
          <w:rFonts w:ascii="Marianne" w:hAnsi="Marianne"/>
        </w:rPr>
        <w:t>National Low-Carbon Strategy</w:t>
      </w:r>
      <w:r w:rsidRPr="005B54EE">
        <w:rPr>
          <w:rFonts w:ascii="Marianne" w:hAnsi="Marianne"/>
        </w:rPr>
        <w:t xml:space="preserve"> is subject to several supplementary reviews:</w:t>
      </w:r>
    </w:p>
    <w:p w14:paraId="0D55807B" w14:textId="47C54F6A" w:rsidR="000863E6" w:rsidRPr="005B54EE" w:rsidRDefault="000863E6" w:rsidP="002F4FA6">
      <w:pPr>
        <w:numPr>
          <w:ilvl w:val="0"/>
          <w:numId w:val="24"/>
        </w:numPr>
        <w:spacing w:before="100" w:beforeAutospacing="1" w:after="100" w:afterAutospacing="1"/>
      </w:pPr>
      <w:r w:rsidRPr="005B54EE">
        <w:t xml:space="preserve">A </w:t>
      </w:r>
      <w:r w:rsidRPr="005B54EE">
        <w:rPr>
          <w:rStyle w:val="Strong"/>
        </w:rPr>
        <w:t>backward evaluation</w:t>
      </w:r>
      <w:r w:rsidRPr="005B54EE">
        <w:t xml:space="preserve"> of the SNBC at the end of the cycle is carried out to identify any deviation from the trajectory and target objectives and to assess the underlying causes. The backward evaluation of the SNBC1 conducted before the SNBC2 is included in chapter 1.2 of the </w:t>
      </w:r>
      <w:hyperlink r:id="rId28" w:tgtFrame="_blank" w:history="1">
        <w:r w:rsidRPr="005B54EE">
          <w:rPr>
            <w:rStyle w:val="Hyperlink"/>
          </w:rPr>
          <w:t>SNBC2</w:t>
        </w:r>
      </w:hyperlink>
      <w:r w:rsidRPr="005B54EE">
        <w:t>. This assessment provides useful feedback for a realistic understanding of the strategy review and its baseline scenario The backward evaluation of the SNBC2 (SNBC in force) will be made public in 2023 in accordance with the Climate and Resilience Act (Article 298);</w:t>
      </w:r>
    </w:p>
    <w:p w14:paraId="567629B2" w14:textId="402A1B82" w:rsidR="005D59BC" w:rsidRPr="005B54EE" w:rsidRDefault="000863E6" w:rsidP="005D59BC">
      <w:pPr>
        <w:numPr>
          <w:ilvl w:val="0"/>
          <w:numId w:val="24"/>
        </w:numPr>
        <w:spacing w:before="100" w:beforeAutospacing="1" w:after="100" w:afterAutospacing="1"/>
      </w:pPr>
      <w:r w:rsidRPr="005B54EE">
        <w:t xml:space="preserve">In accordance with Article </w:t>
      </w:r>
      <w:hyperlink r:id="rId29" w:tgtFrame="_blank" w:history="1">
        <w:r w:rsidRPr="005B54EE">
          <w:rPr>
            <w:rStyle w:val="Hyperlink"/>
          </w:rPr>
          <w:t>L. 222-1 D of the Environmental Code</w:t>
        </w:r>
      </w:hyperlink>
      <w:r w:rsidRPr="005B54EE">
        <w:t xml:space="preserve">, the draft revised SNBC is subject to a </w:t>
      </w:r>
      <w:r w:rsidRPr="005B54EE">
        <w:rPr>
          <w:rStyle w:val="Strong"/>
        </w:rPr>
        <w:t>future-oriented assessment</w:t>
      </w:r>
      <w:r w:rsidRPr="005B54EE">
        <w:t xml:space="preserve"> setting out how the draft carbon budget and low-carbon strategy integrate France's climate and energy targets as well as its European and international commitments. The future-oriented assessment drawn up on the basis of the draft SNBC2 is available on the </w:t>
      </w:r>
      <w:hyperlink r:id="rId30" w:tgtFrame="_blank" w:history="1">
        <w:r w:rsidRPr="005B54EE">
          <w:rPr>
            <w:rStyle w:val="Hyperlink"/>
          </w:rPr>
          <w:t>Ministry's website</w:t>
        </w:r>
      </w:hyperlink>
      <w:r w:rsidRPr="005B54EE">
        <w:t>. The future-oriented assessment of the planned SNBC (SNBC3) will be made public in 2024.</w:t>
      </w:r>
    </w:p>
    <w:p w14:paraId="2CF2E65A" w14:textId="0309B05F" w:rsidR="000863E6" w:rsidRPr="005B54EE" w:rsidRDefault="000863E6" w:rsidP="005D59BC">
      <w:pPr>
        <w:numPr>
          <w:ilvl w:val="0"/>
          <w:numId w:val="24"/>
        </w:numPr>
        <w:spacing w:before="100" w:beforeAutospacing="1" w:after="100" w:afterAutospacing="1"/>
      </w:pPr>
      <w:r w:rsidRPr="005B54EE">
        <w:t>Finally, the first and second SNBCs were subject to a macro-economic evaluation to determine their economic and social impacts. The second SNBC was also subject to a strategic environmental assessment in order to evaluate its impact on the environment; the guidelines and metrics resulting from this assessment are incorporated into the SNBC2 and the monitoring guidelines.</w:t>
      </w:r>
    </w:p>
    <w:p w14:paraId="7D7BD16D" w14:textId="77777777" w:rsidR="000863E6" w:rsidRPr="005B54EE" w:rsidRDefault="000863E6" w:rsidP="000863E6">
      <w:pPr>
        <w:spacing w:before="240" w:after="240"/>
      </w:pPr>
      <w:r w:rsidRPr="005B54EE">
        <w:t>Additionally, every year, the Government submits a report to Parliament, as an appendix to the Finance Bill, presenting a review of the public and private financial resources used to finance the ecological and energy transition and their suitability in relation to the financial resources required to meet European commitments, the Paris Agreement and the 2030 Agenda for Sustainable Development.</w:t>
      </w:r>
    </w:p>
    <w:p w14:paraId="121E2E6C" w14:textId="77777777" w:rsidR="000863E6" w:rsidRPr="005B54EE" w:rsidRDefault="000863E6" w:rsidP="000863E6">
      <w:pPr>
        <w:spacing w:before="240" w:after="240"/>
      </w:pPr>
      <w:r w:rsidRPr="005B54EE">
        <w:t>In the context of its European reporting requirements set out in Regulation (EU) 2018/1999 on the governance of the Energy Union and climate action, referred to as the ‘Governance’ Regulation, every two years France sends the European Commission information on the measures adopted, introduced or planned to reduce its GHG emissions, assesses their impacts (on GHG emissions and, where possible, on costs) and describes the medium-term emission reduction prospects, specifically by means of a scenario that takes into account the measures already implemented. This information is made public.</w:t>
      </w:r>
    </w:p>
    <w:p w14:paraId="2AE7A766" w14:textId="77777777" w:rsidR="000863E6" w:rsidRPr="005B54EE" w:rsidRDefault="000863E6" w:rsidP="000863E6">
      <w:pPr>
        <w:spacing w:before="240" w:after="240"/>
      </w:pPr>
      <w:r w:rsidRPr="005B54EE">
        <w:t>Reviews of mitigation policies and measures published under the Governance Regulation are carried out by the DLCES. All assumptions, calculation methods and results of the reviews in terms of greenhouse gas emission reductions and costs are detailed in the reports submitted to the Commission</w:t>
      </w:r>
      <w:r w:rsidRPr="005B54EE">
        <w:rPr>
          <w:rStyle w:val="FootnoteReference"/>
          <w:lang w:eastAsia="en-US"/>
        </w:rPr>
        <w:footnoteReference w:id="3"/>
      </w:r>
      <w:r w:rsidRPr="005B54EE">
        <w:t xml:space="preserve">. </w:t>
      </w:r>
    </w:p>
    <w:p w14:paraId="140DB672" w14:textId="77777777" w:rsidR="000863E6" w:rsidRPr="005B54EE" w:rsidRDefault="000863E6" w:rsidP="000863E6">
      <w:pPr>
        <w:pStyle w:val="Titre4niveau4"/>
        <w:spacing w:before="240"/>
      </w:pPr>
      <w:r w:rsidRPr="005B54EE">
        <w:t>The review of government action by the High Council for Climate</w:t>
      </w:r>
    </w:p>
    <w:p w14:paraId="6D1CE457" w14:textId="77777777" w:rsidR="000863E6" w:rsidRPr="005B54EE" w:rsidRDefault="000863E6" w:rsidP="000863E6">
      <w:pPr>
        <w:spacing w:before="240" w:after="240"/>
        <w:rPr>
          <w:rFonts w:cs="Arial"/>
          <w:sz w:val="20"/>
          <w:szCs w:val="20"/>
        </w:rPr>
      </w:pPr>
      <w:r w:rsidRPr="005B54EE">
        <w:t>The High Climate Council (a body created by the 2019 Energy and Climate Act) is mandated to independently evaluate French climate action. Specifically, it submits:</w:t>
      </w:r>
    </w:p>
    <w:p w14:paraId="0870CEE7" w14:textId="77777777" w:rsidR="000863E6" w:rsidRPr="005B54EE" w:rsidRDefault="000863E6" w:rsidP="002F4FA6">
      <w:pPr>
        <w:pStyle w:val="ListParagraph"/>
        <w:numPr>
          <w:ilvl w:val="0"/>
          <w:numId w:val="23"/>
        </w:numPr>
        <w:spacing w:after="200"/>
        <w:rPr>
          <w:rFonts w:cs="Arial"/>
          <w:sz w:val="20"/>
          <w:szCs w:val="20"/>
        </w:rPr>
      </w:pPr>
      <w:r w:rsidRPr="005B54EE">
        <w:rPr>
          <w:b/>
          <w:bCs/>
          <w:sz w:val="20"/>
        </w:rPr>
        <w:t>each year</w:t>
      </w:r>
      <w:r w:rsidRPr="005B54EE">
        <w:rPr>
          <w:sz w:val="20"/>
        </w:rPr>
        <w:t>, around 1 July, a report on compliance with the GHG emission reduction trajectory established in the SNBC and on the implementation of climate policies at national and regional level. The government must respond within 6 months (Article L. 132-4 of the Environmental Code);</w:t>
      </w:r>
    </w:p>
    <w:p w14:paraId="6ABE199B" w14:textId="77777777" w:rsidR="000863E6" w:rsidRPr="005B54EE" w:rsidRDefault="000863E6" w:rsidP="002F4FA6">
      <w:pPr>
        <w:pStyle w:val="ListParagraph"/>
        <w:numPr>
          <w:ilvl w:val="0"/>
          <w:numId w:val="23"/>
        </w:numPr>
        <w:spacing w:after="200"/>
        <w:rPr>
          <w:rFonts w:cs="Arial"/>
          <w:sz w:val="20"/>
          <w:szCs w:val="20"/>
        </w:rPr>
      </w:pPr>
      <w:r w:rsidRPr="005B54EE">
        <w:rPr>
          <w:sz w:val="20"/>
        </w:rPr>
        <w:t>every 3 years, a report reviewing the performance of local and regional authorities in terms of reducing greenhouse gas emissions and adapting to climate change (Article 299 of the ‘climate and resilience’ law). This review is made public and is subject to a response from the government, which is also made public;</w:t>
      </w:r>
    </w:p>
    <w:p w14:paraId="19E93729" w14:textId="77777777" w:rsidR="000863E6" w:rsidRPr="005B54EE" w:rsidRDefault="000863E6" w:rsidP="002F4FA6">
      <w:pPr>
        <w:pStyle w:val="ListParagraph"/>
        <w:numPr>
          <w:ilvl w:val="0"/>
          <w:numId w:val="23"/>
        </w:numPr>
        <w:spacing w:after="200"/>
        <w:rPr>
          <w:rFonts w:cs="Arial"/>
          <w:sz w:val="20"/>
          <w:szCs w:val="20"/>
        </w:rPr>
      </w:pPr>
      <w:r w:rsidRPr="005B54EE">
        <w:rPr>
          <w:b/>
          <w:bCs/>
          <w:sz w:val="20"/>
        </w:rPr>
        <w:t>at least every three years</w:t>
      </w:r>
      <w:r w:rsidRPr="005B54EE">
        <w:rPr>
          <w:sz w:val="20"/>
        </w:rPr>
        <w:t>, an opinion is delivered on the progress report on the adoption and implementation of roadmaps by the government's high-emission sectors (Article 301 of the Climate and Resilience Act).</w:t>
      </w:r>
    </w:p>
    <w:p w14:paraId="7B2D9D4F" w14:textId="22F5F04B" w:rsidR="00630A34" w:rsidRPr="005B54EE" w:rsidRDefault="000863E6" w:rsidP="000863E6">
      <w:r w:rsidRPr="005B54EE">
        <w:rPr>
          <w:sz w:val="20"/>
        </w:rPr>
        <w:t xml:space="preserve">Its reports serve to ensure that the climate issue is kept at the centre of the political debate. </w:t>
      </w:r>
      <w:r w:rsidRPr="005B54EE">
        <w:t>They provide an independent perspective on the government's climate policy.</w:t>
      </w:r>
    </w:p>
    <w:p w14:paraId="1FF8E90C" w14:textId="77777777" w:rsidR="00630A34" w:rsidRPr="005B54EE" w:rsidRDefault="00630A34" w:rsidP="00B04A7C">
      <w:pPr>
        <w:pStyle w:val="Titre3Niveau3"/>
      </w:pPr>
      <w:bookmarkStart w:id="48" w:name="_Toc121149508"/>
      <w:bookmarkStart w:id="49" w:name="_Toc138344672"/>
      <w:r w:rsidRPr="005B54EE">
        <w:t>Implementing European policies</w:t>
      </w:r>
      <w:bookmarkEnd w:id="48"/>
      <w:bookmarkEnd w:id="49"/>
    </w:p>
    <w:p w14:paraId="6CCF1667" w14:textId="77777777" w:rsidR="000863E6" w:rsidRPr="005B54EE" w:rsidRDefault="000863E6" w:rsidP="000863E6">
      <w:r w:rsidRPr="005B54EE">
        <w:t>France defines its climate action within the binding framework of the European Union's climate and energy targets and sectoral regulations.</w:t>
      </w:r>
    </w:p>
    <w:p w14:paraId="5F9B58DD" w14:textId="77777777" w:rsidR="000863E6" w:rsidRPr="005B54EE" w:rsidRDefault="000863E6" w:rsidP="000863E6">
      <w:pPr>
        <w:rPr>
          <w:lang w:eastAsia="en-US"/>
        </w:rPr>
      </w:pPr>
    </w:p>
    <w:p w14:paraId="65AD0268" w14:textId="31E5A6F8" w:rsidR="000863E6" w:rsidRPr="005B54EE" w:rsidRDefault="000863E6" w:rsidP="000863E6">
      <w:r w:rsidRPr="005B54EE">
        <w:t>Under the Green Pact for Europe, the European Union has set itself the objective of achieving climate neutrality by 2050 and has committed to accelerate its reduction of greenhouse gas emissions by 2030 by increasing it from -40% to at least -55% net compared to 1990 (including absorptions).</w:t>
      </w:r>
    </w:p>
    <w:p w14:paraId="39422DBE" w14:textId="77777777" w:rsidR="000863E6" w:rsidRPr="005B54EE" w:rsidRDefault="000863E6" w:rsidP="000863E6">
      <w:pPr>
        <w:rPr>
          <w:lang w:eastAsia="en-US"/>
        </w:rPr>
      </w:pPr>
    </w:p>
    <w:p w14:paraId="3AE1A352" w14:textId="0E2C3E6C" w:rsidR="000863E6" w:rsidRPr="005B54EE" w:rsidRDefault="000863E6" w:rsidP="000863E6">
      <w:r w:rsidRPr="005B54EE">
        <w:t>The European Climate Law (ECL) of July 2021 makes these European targets for 2030 and 2050 legally binding, while limiting the European carbon sink's contribution to the 2030 target to 225 MtCO</w:t>
      </w:r>
      <w:r w:rsidRPr="005B54EE">
        <w:rPr>
          <w:vertAlign w:val="subscript"/>
        </w:rPr>
        <w:t>2eq</w:t>
      </w:r>
      <w:r w:rsidRPr="005B54EE">
        <w:t xml:space="preserve"> (-2.2%), equivalent to the level expected under the current LULUCF regulation. </w:t>
      </w:r>
    </w:p>
    <w:p w14:paraId="7D435DB2" w14:textId="77777777" w:rsidR="000863E6" w:rsidRPr="005B54EE" w:rsidRDefault="000863E6" w:rsidP="000863E6">
      <w:pPr>
        <w:rPr>
          <w:lang w:eastAsia="en-US"/>
        </w:rPr>
      </w:pPr>
    </w:p>
    <w:p w14:paraId="1C6E7EDC" w14:textId="77777777" w:rsidR="000863E6" w:rsidRPr="005B54EE" w:rsidRDefault="000863E6" w:rsidP="000863E6">
      <w:r w:rsidRPr="005B54EE">
        <w:t>This new and improved target was communicated to the UNFCCC on 18 December 2020 as part of the Nationally Determined Contribution (NDC) of the European Union and its Member States.</w:t>
      </w:r>
    </w:p>
    <w:p w14:paraId="560587E0" w14:textId="77777777" w:rsidR="000863E6" w:rsidRPr="005B54EE" w:rsidRDefault="000863E6" w:rsidP="000863E6">
      <w:pPr>
        <w:rPr>
          <w:lang w:eastAsia="en-US"/>
        </w:rPr>
      </w:pPr>
    </w:p>
    <w:p w14:paraId="2D3A80EE" w14:textId="77777777" w:rsidR="000863E6" w:rsidRPr="005B54EE" w:rsidRDefault="000863E6" w:rsidP="000863E6">
      <w:r w:rsidRPr="005B54EE">
        <w:t>In July 2021, the European Commission published a legislative package called ‘Fit for 55’, comprising 13 proposals for review, or new legislation with impact assessments, to align the EU's energy and climate framework with this new climate goal by 2030 and the achievement of a carbon neutral EU by 2050.</w:t>
      </w:r>
    </w:p>
    <w:p w14:paraId="3870FB29" w14:textId="77777777" w:rsidR="000863E6" w:rsidRPr="005B54EE" w:rsidRDefault="000863E6" w:rsidP="000863E6">
      <w:pPr>
        <w:rPr>
          <w:lang w:eastAsia="en-US"/>
        </w:rPr>
      </w:pPr>
    </w:p>
    <w:p w14:paraId="61601F6C" w14:textId="77777777" w:rsidR="000863E6" w:rsidRPr="005B54EE" w:rsidRDefault="000863E6" w:rsidP="000863E6">
      <w:r w:rsidRPr="005B54EE">
        <w:t xml:space="preserve">This ‘Fit for 55’ package retains the previous climate-energy action framework based on the three following pillars, aligning their respective targets to this increased commitment: </w:t>
      </w:r>
    </w:p>
    <w:p w14:paraId="3FA24FAC" w14:textId="77777777" w:rsidR="000863E6" w:rsidRPr="005B54EE" w:rsidRDefault="000863E6" w:rsidP="002F4FA6">
      <w:pPr>
        <w:pStyle w:val="ListParagraph"/>
        <w:numPr>
          <w:ilvl w:val="0"/>
          <w:numId w:val="26"/>
        </w:numPr>
      </w:pPr>
      <w:r w:rsidRPr="005B54EE">
        <w:t>The European Union Emission Trading System (EU ETS) with an increased emission reduction target of -43% to -61% against 1990 (corresponding to an emission reduction of -64% for fixed industrial installations);</w:t>
      </w:r>
    </w:p>
    <w:p w14:paraId="50D7405E" w14:textId="77777777" w:rsidR="000863E6" w:rsidRPr="005B54EE" w:rsidRDefault="000863E6" w:rsidP="002F4FA6">
      <w:pPr>
        <w:pStyle w:val="ListParagraph"/>
        <w:numPr>
          <w:ilvl w:val="0"/>
          <w:numId w:val="26"/>
        </w:numPr>
      </w:pPr>
      <w:r w:rsidRPr="005B54EE">
        <w:t>The Effort Sharing Regulation (ESR) for member States, with an increased target of -30% to -40% compared to 2005 for agriculture, buildings, transport, waste and industry not covered by the historic EU ETS;</w:t>
      </w:r>
    </w:p>
    <w:p w14:paraId="6CCD298B" w14:textId="4AF6FCD0" w:rsidR="000863E6" w:rsidRPr="005B54EE" w:rsidRDefault="000863E6" w:rsidP="002F4FA6">
      <w:pPr>
        <w:pStyle w:val="ListParagraph"/>
        <w:numPr>
          <w:ilvl w:val="0"/>
          <w:numId w:val="26"/>
        </w:numPr>
      </w:pPr>
      <w:r w:rsidRPr="005B54EE">
        <w:t>A framework for recording emissions and absorptions from the land and forestry sector (‘LULUCF’ regulation, Land Use, Land-Use Change and Forestry) with a target of 310 M tonnes of CO2 equivalent for the European carbon sink.</w:t>
      </w:r>
    </w:p>
    <w:p w14:paraId="15BF99B5" w14:textId="77777777" w:rsidR="000863E6" w:rsidRPr="005B54EE" w:rsidRDefault="000863E6" w:rsidP="000863E6">
      <w:pPr>
        <w:rPr>
          <w:lang w:eastAsia="en-US"/>
        </w:rPr>
      </w:pPr>
    </w:p>
    <w:p w14:paraId="727870EB" w14:textId="77777777" w:rsidR="000863E6" w:rsidRPr="005B54EE" w:rsidRDefault="000863E6" w:rsidP="000863E6">
      <w:r w:rsidRPr="005B54EE">
        <w:t>In addition to raising the overall reduction target, the EU is also reforming its European carbon market, specifically by expanding its remit to include maritime transport. It is also setting up a new European carbon market for energy consumption from road transport and construction. In order to mitigate the impact of this new carbon market, the European Union and its Member States are creating a Social Climate Fund (SCF) aimed at supporting the most disadvantaged households and micro-enterprises towards low carbon solutions.</w:t>
      </w:r>
    </w:p>
    <w:p w14:paraId="1190E21B" w14:textId="77777777" w:rsidR="000863E6" w:rsidRPr="005B54EE" w:rsidRDefault="000863E6" w:rsidP="000863E6">
      <w:r w:rsidRPr="005B54EE">
        <w:t>Complementing and supporting these climate tools are sectoral policies and measures that have also been further revised in the energy sector with more ambitious targets:</w:t>
      </w:r>
    </w:p>
    <w:p w14:paraId="7E3EEDA9" w14:textId="77777777" w:rsidR="000863E6" w:rsidRPr="005B54EE" w:rsidRDefault="000863E6" w:rsidP="002F4FA6">
      <w:pPr>
        <w:pStyle w:val="ListParagraph"/>
        <w:numPr>
          <w:ilvl w:val="0"/>
          <w:numId w:val="27"/>
        </w:numPr>
      </w:pPr>
      <w:r w:rsidRPr="005B54EE">
        <w:t>Increasing the share of renewable energy in gross final energy consumption from the current 32% to 40%;</w:t>
      </w:r>
    </w:p>
    <w:p w14:paraId="4F307404" w14:textId="77777777" w:rsidR="000863E6" w:rsidRPr="005B54EE" w:rsidRDefault="000863E6" w:rsidP="002F4FA6">
      <w:pPr>
        <w:pStyle w:val="ListParagraph"/>
        <w:numPr>
          <w:ilvl w:val="0"/>
          <w:numId w:val="27"/>
        </w:numPr>
      </w:pPr>
      <w:r w:rsidRPr="005B54EE">
        <w:t>Reducing the share of primary and final energy consumption from the current 32.5% to at least 36% of final energy consumption and 39% of primary energy consumption in comparison with the Baseline 2007 benchmark.</w:t>
      </w:r>
    </w:p>
    <w:p w14:paraId="10DF8E9B" w14:textId="77777777" w:rsidR="000863E6" w:rsidRPr="005B54EE" w:rsidRDefault="000863E6" w:rsidP="000863E6">
      <w:pPr>
        <w:rPr>
          <w:lang w:eastAsia="en-US"/>
        </w:rPr>
      </w:pPr>
    </w:p>
    <w:p w14:paraId="6B6E78EB" w14:textId="3DC9ABD2" w:rsidR="000863E6" w:rsidRPr="005B54EE" w:rsidRDefault="000863E6" w:rsidP="000863E6">
      <w:r w:rsidRPr="005B54EE">
        <w:t>The ‘Fit for 55’ package reviews energy legislation in the framework of the directives on renewable energies, energy efficiency and energy taxation, as well as transport (regulation on CO</w:t>
      </w:r>
      <w:r w:rsidRPr="005B54EE">
        <w:rPr>
          <w:vertAlign w:val="subscript"/>
        </w:rPr>
        <w:t>2</w:t>
      </w:r>
      <w:r w:rsidRPr="005B54EE">
        <w:t xml:space="preserve"> emission standards for light vehicles, alternative fuels in the various modes of transport). This body of legislation is intended to accelerate the decarbonisation of the European economy across all sectors so that Member States can achieve their climate targets. </w:t>
      </w:r>
    </w:p>
    <w:p w14:paraId="0821BA73" w14:textId="77777777" w:rsidR="000863E6" w:rsidRPr="005B54EE" w:rsidRDefault="000863E6" w:rsidP="000863E6">
      <w:r w:rsidRPr="005B54EE">
        <w:t>In order to ensure the continued competitiveness of sectors exposed to the risk of ‘carbon leakage’, a cross-border carbon adjustment mechanism (CBAM) is created in pilot sectors (steel, cement, electricity, fertilisers, aluminium) and in line with the strengthened European carbon market, with an effective implementation date of 2026.</w:t>
      </w:r>
    </w:p>
    <w:p w14:paraId="6547866F" w14:textId="49A42886" w:rsidR="00630A34" w:rsidRPr="005B54EE" w:rsidRDefault="000863E6" w:rsidP="000863E6">
      <w:r w:rsidRPr="005B54EE">
        <w:t>These proposals are the subject of in-depth negotiations between the European Parliament and the Council of the European Union (Member States). To date, agreements have been reached on several legislative documents (ESR, LULUCF, CO</w:t>
      </w:r>
      <w:r w:rsidRPr="005B54EE">
        <w:rPr>
          <w:vertAlign w:val="subscript"/>
        </w:rPr>
        <w:t>2</w:t>
      </w:r>
      <w:r w:rsidRPr="005B54EE">
        <w:t xml:space="preserve"> from vehicles, CBAM) under the Czech Presidency of the Council of the European Union. Other documents should also be agreed soon (EU ETS, SCF, etc.). The final adoption of these legislative documents should be effective at the beginning of 2023.</w:t>
      </w:r>
    </w:p>
    <w:p w14:paraId="03FD4AD6" w14:textId="072AAD3B" w:rsidR="00630A34" w:rsidRPr="005B54EE" w:rsidRDefault="00630A34" w:rsidP="004D2261">
      <w:pPr>
        <w:pStyle w:val="Titre2Niveau2"/>
      </w:pPr>
      <w:bookmarkStart w:id="50" w:name="_Toc121149509"/>
      <w:bookmarkStart w:id="51" w:name="_Toc138344673"/>
      <w:r w:rsidRPr="005B54EE">
        <w:t>Policies and measures and their impacts</w:t>
      </w:r>
      <w:bookmarkEnd w:id="50"/>
      <w:bookmarkEnd w:id="51"/>
    </w:p>
    <w:p w14:paraId="4E23F12F" w14:textId="6E3BEC65" w:rsidR="00117FAB" w:rsidRPr="005B54EE" w:rsidRDefault="00117FAB" w:rsidP="00117FAB">
      <w:pPr>
        <w:spacing w:after="120"/>
        <w:rPr>
          <w:rFonts w:asciiTheme="minorHAnsi" w:hAnsiTheme="minorHAnsi" w:cs="Arial"/>
          <w:szCs w:val="22"/>
        </w:rPr>
      </w:pPr>
      <w:r w:rsidRPr="005B54EE">
        <w:rPr>
          <w:rFonts w:asciiTheme="minorHAnsi" w:hAnsiTheme="minorHAnsi"/>
        </w:rPr>
        <w:t xml:space="preserve">During the previous five-year period (2017-2022), the sectoral guidelines of the SNBC-2 have been </w:t>
      </w:r>
      <w:r w:rsidRPr="005B54EE">
        <w:rPr>
          <w:rFonts w:asciiTheme="minorHAnsi" w:hAnsiTheme="minorHAnsi"/>
          <w:b/>
          <w:bCs/>
        </w:rPr>
        <w:t>progressively reflected at the legislative level by structuring documents for the reduction of greenhouse gas emissions</w:t>
      </w:r>
      <w:r w:rsidRPr="005B54EE">
        <w:rPr>
          <w:rFonts w:asciiTheme="minorHAnsi" w:hAnsiTheme="minorHAnsi"/>
        </w:rPr>
        <w:t>, committing to long-term changes in each sector of the economy.</w:t>
      </w:r>
    </w:p>
    <w:tbl>
      <w:tblPr>
        <w:tblStyle w:val="ListTable7Colorful-Accent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96"/>
        <w:gridCol w:w="1134"/>
        <w:gridCol w:w="1134"/>
        <w:gridCol w:w="1236"/>
        <w:gridCol w:w="1298"/>
        <w:gridCol w:w="1298"/>
      </w:tblGrid>
      <w:tr w:rsidR="00117FAB" w:rsidRPr="005B54EE" w14:paraId="5A339C39" w14:textId="77777777" w:rsidTr="005D59BC">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127" w:type="dxa"/>
            <w:tcBorders>
              <w:bottom w:val="none" w:sz="0" w:space="0" w:color="auto"/>
              <w:right w:val="none" w:sz="0" w:space="0" w:color="auto"/>
            </w:tcBorders>
            <w:noWrap/>
          </w:tcPr>
          <w:p w14:paraId="53E881DF" w14:textId="77777777" w:rsidR="00117FAB" w:rsidRPr="005B54EE" w:rsidRDefault="00117FAB" w:rsidP="00891B49">
            <w:pPr>
              <w:jc w:val="center"/>
              <w:rPr>
                <w:rFonts w:ascii="Arial" w:hAnsi="Arial" w:cs="Arial"/>
                <w:color w:val="000000"/>
                <w:sz w:val="20"/>
                <w:szCs w:val="20"/>
              </w:rPr>
            </w:pPr>
          </w:p>
        </w:tc>
        <w:tc>
          <w:tcPr>
            <w:tcW w:w="1696" w:type="dxa"/>
            <w:tcBorders>
              <w:bottom w:val="none" w:sz="0" w:space="0" w:color="auto"/>
            </w:tcBorders>
            <w:vAlign w:val="center"/>
            <w:hideMark/>
          </w:tcPr>
          <w:p w14:paraId="19CB3423" w14:textId="77777777" w:rsidR="00117FAB" w:rsidRPr="005B54EE" w:rsidRDefault="00117FAB" w:rsidP="00891B49">
            <w:pPr>
              <w:spacing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color w:val="000000"/>
                <w:sz w:val="20"/>
                <w:szCs w:val="20"/>
              </w:rPr>
            </w:pPr>
            <w:r w:rsidRPr="005B54EE">
              <w:rPr>
                <w:rFonts w:ascii="Arial" w:hAnsi="Arial"/>
                <w:b/>
                <w:i w:val="0"/>
                <w:color w:val="000000"/>
                <w:sz w:val="20"/>
              </w:rPr>
              <w:t>Hydrocarbons law (2017)</w:t>
            </w:r>
          </w:p>
        </w:tc>
        <w:tc>
          <w:tcPr>
            <w:tcW w:w="1134" w:type="dxa"/>
            <w:tcBorders>
              <w:bottom w:val="none" w:sz="0" w:space="0" w:color="auto"/>
            </w:tcBorders>
            <w:vAlign w:val="center"/>
            <w:hideMark/>
          </w:tcPr>
          <w:p w14:paraId="239BDA50" w14:textId="77777777" w:rsidR="00117FAB" w:rsidRPr="005B54EE" w:rsidRDefault="00117FAB" w:rsidP="00891B49">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color w:val="000000"/>
                <w:sz w:val="20"/>
                <w:szCs w:val="20"/>
              </w:rPr>
            </w:pPr>
            <w:r w:rsidRPr="005B54EE">
              <w:rPr>
                <w:rFonts w:ascii="Arial" w:hAnsi="Arial"/>
                <w:b/>
                <w:i w:val="0"/>
                <w:color w:val="000000"/>
                <w:sz w:val="20"/>
              </w:rPr>
              <w:t>ELAN (2018)</w:t>
            </w:r>
          </w:p>
        </w:tc>
        <w:tc>
          <w:tcPr>
            <w:tcW w:w="1134" w:type="dxa"/>
            <w:tcBorders>
              <w:bottom w:val="none" w:sz="0" w:space="0" w:color="auto"/>
            </w:tcBorders>
            <w:vAlign w:val="center"/>
            <w:hideMark/>
          </w:tcPr>
          <w:p w14:paraId="2D13005C" w14:textId="77777777" w:rsidR="00117FAB" w:rsidRPr="005B54EE" w:rsidRDefault="00117FAB" w:rsidP="00891B49">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color w:val="000000"/>
                <w:sz w:val="20"/>
                <w:szCs w:val="20"/>
              </w:rPr>
            </w:pPr>
            <w:r w:rsidRPr="005B54EE">
              <w:rPr>
                <w:rFonts w:ascii="Arial" w:hAnsi="Arial"/>
                <w:b/>
                <w:i w:val="0"/>
                <w:color w:val="000000"/>
                <w:sz w:val="20"/>
              </w:rPr>
              <w:t>EGALIM (2018)</w:t>
            </w:r>
          </w:p>
        </w:tc>
        <w:tc>
          <w:tcPr>
            <w:tcW w:w="1236" w:type="dxa"/>
            <w:tcBorders>
              <w:bottom w:val="none" w:sz="0" w:space="0" w:color="auto"/>
            </w:tcBorders>
            <w:vAlign w:val="center"/>
            <w:hideMark/>
          </w:tcPr>
          <w:p w14:paraId="4D01A655" w14:textId="77777777" w:rsidR="00117FAB" w:rsidRPr="005B54EE" w:rsidRDefault="00117FAB" w:rsidP="00891B49">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color w:val="000000"/>
                <w:sz w:val="20"/>
                <w:szCs w:val="20"/>
              </w:rPr>
            </w:pPr>
            <w:r w:rsidRPr="005B54EE">
              <w:rPr>
                <w:rFonts w:ascii="Arial" w:hAnsi="Arial"/>
                <w:b/>
                <w:i w:val="0"/>
                <w:color w:val="000000"/>
                <w:sz w:val="20"/>
              </w:rPr>
              <w:t>LEC (2019)</w:t>
            </w:r>
          </w:p>
        </w:tc>
        <w:tc>
          <w:tcPr>
            <w:tcW w:w="1298" w:type="dxa"/>
            <w:tcBorders>
              <w:bottom w:val="none" w:sz="0" w:space="0" w:color="auto"/>
            </w:tcBorders>
            <w:vAlign w:val="center"/>
            <w:hideMark/>
          </w:tcPr>
          <w:p w14:paraId="5356EDB5" w14:textId="77777777" w:rsidR="00117FAB" w:rsidRPr="005B54EE" w:rsidRDefault="00117FAB" w:rsidP="00891B49">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color w:val="000000"/>
                <w:sz w:val="20"/>
                <w:szCs w:val="20"/>
              </w:rPr>
            </w:pPr>
            <w:r w:rsidRPr="005B54EE">
              <w:rPr>
                <w:rFonts w:ascii="Arial" w:hAnsi="Arial"/>
                <w:b/>
                <w:i w:val="0"/>
                <w:color w:val="000000"/>
                <w:sz w:val="20"/>
              </w:rPr>
              <w:t>LOM (2019)</w:t>
            </w:r>
          </w:p>
        </w:tc>
        <w:tc>
          <w:tcPr>
            <w:tcW w:w="1298" w:type="dxa"/>
            <w:tcBorders>
              <w:bottom w:val="none" w:sz="0" w:space="0" w:color="auto"/>
            </w:tcBorders>
            <w:vAlign w:val="center"/>
            <w:hideMark/>
          </w:tcPr>
          <w:p w14:paraId="48EA28FF" w14:textId="77777777" w:rsidR="00117FAB" w:rsidRPr="005B54EE" w:rsidRDefault="00117FAB" w:rsidP="00891B49">
            <w:pPr>
              <w:jc w:val="center"/>
              <w:cnfStyle w:val="100000000000" w:firstRow="1" w:lastRow="0" w:firstColumn="0" w:lastColumn="0" w:oddVBand="0" w:evenVBand="0" w:oddHBand="0" w:evenHBand="0" w:firstRowFirstColumn="0" w:firstRowLastColumn="0" w:lastRowFirstColumn="0" w:lastRowLastColumn="0"/>
              <w:rPr>
                <w:rFonts w:ascii="Arial" w:hAnsi="Arial" w:cs="Arial"/>
                <w:b/>
                <w:i w:val="0"/>
                <w:color w:val="000000"/>
                <w:sz w:val="20"/>
                <w:szCs w:val="20"/>
              </w:rPr>
            </w:pPr>
            <w:r w:rsidRPr="005B54EE">
              <w:rPr>
                <w:rFonts w:ascii="Arial" w:hAnsi="Arial"/>
                <w:b/>
                <w:i w:val="0"/>
                <w:color w:val="000000"/>
                <w:sz w:val="20"/>
              </w:rPr>
              <w:t>AGEC  (2020)</w:t>
            </w:r>
          </w:p>
        </w:tc>
      </w:tr>
      <w:tr w:rsidR="00117FAB" w:rsidRPr="005B54EE" w14:paraId="4C4179FC" w14:textId="77777777" w:rsidTr="005D59BC">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08FD0B88" w14:textId="77777777" w:rsidR="00117FAB" w:rsidRPr="005B54EE" w:rsidRDefault="00117FAB" w:rsidP="00891B49">
            <w:pPr>
              <w:rPr>
                <w:rFonts w:ascii="Arial" w:hAnsi="Arial" w:cs="Arial"/>
                <w:color w:val="000000"/>
                <w:sz w:val="20"/>
                <w:szCs w:val="20"/>
              </w:rPr>
            </w:pPr>
            <w:r w:rsidRPr="005B54EE">
              <w:rPr>
                <w:rFonts w:ascii="Arial" w:hAnsi="Arial"/>
                <w:color w:val="000000"/>
                <w:sz w:val="20"/>
              </w:rPr>
              <w:t>Transport</w:t>
            </w:r>
          </w:p>
        </w:tc>
        <w:tc>
          <w:tcPr>
            <w:tcW w:w="1696" w:type="dxa"/>
            <w:noWrap/>
            <w:hideMark/>
          </w:tcPr>
          <w:p w14:paraId="6EB00532"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71C4301E"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0E76F0E7"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36" w:type="dxa"/>
            <w:noWrap/>
            <w:hideMark/>
          </w:tcPr>
          <w:p w14:paraId="04048718"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3CBF4789"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w:t>
            </w:r>
          </w:p>
        </w:tc>
        <w:tc>
          <w:tcPr>
            <w:tcW w:w="1298" w:type="dxa"/>
            <w:noWrap/>
            <w:hideMark/>
          </w:tcPr>
          <w:p w14:paraId="112825DE"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r>
      <w:tr w:rsidR="00117FAB" w:rsidRPr="005B54EE" w14:paraId="739401B4" w14:textId="77777777" w:rsidTr="005D59BC">
        <w:trPr>
          <w:trHeight w:val="219"/>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06F18534" w14:textId="77777777" w:rsidR="00117FAB" w:rsidRPr="005B54EE" w:rsidRDefault="00117FAB" w:rsidP="00891B49">
            <w:pPr>
              <w:rPr>
                <w:rFonts w:ascii="Arial" w:hAnsi="Arial" w:cs="Arial"/>
                <w:color w:val="000000"/>
                <w:sz w:val="20"/>
                <w:szCs w:val="20"/>
              </w:rPr>
            </w:pPr>
            <w:r w:rsidRPr="005B54EE">
              <w:rPr>
                <w:rFonts w:ascii="Arial" w:hAnsi="Arial"/>
                <w:color w:val="000000"/>
                <w:sz w:val="20"/>
              </w:rPr>
              <w:t>Construction</w:t>
            </w:r>
          </w:p>
        </w:tc>
        <w:tc>
          <w:tcPr>
            <w:tcW w:w="1696" w:type="dxa"/>
            <w:noWrap/>
            <w:hideMark/>
          </w:tcPr>
          <w:p w14:paraId="7A8FC865"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7907C6D8"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w:t>
            </w:r>
          </w:p>
        </w:tc>
        <w:tc>
          <w:tcPr>
            <w:tcW w:w="1134" w:type="dxa"/>
            <w:noWrap/>
            <w:hideMark/>
          </w:tcPr>
          <w:p w14:paraId="3A644BEC"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36" w:type="dxa"/>
            <w:noWrap/>
            <w:hideMark/>
          </w:tcPr>
          <w:p w14:paraId="34C17587"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w:t>
            </w:r>
          </w:p>
        </w:tc>
        <w:tc>
          <w:tcPr>
            <w:tcW w:w="1298" w:type="dxa"/>
            <w:noWrap/>
            <w:hideMark/>
          </w:tcPr>
          <w:p w14:paraId="7CC678E2"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651862D2"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r>
      <w:tr w:rsidR="00117FAB" w:rsidRPr="005B54EE" w14:paraId="62732343" w14:textId="77777777" w:rsidTr="005D59BC">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10125A6B" w14:textId="77777777" w:rsidR="00117FAB" w:rsidRPr="005B54EE" w:rsidRDefault="00117FAB" w:rsidP="00891B49">
            <w:pPr>
              <w:rPr>
                <w:rFonts w:ascii="Arial" w:hAnsi="Arial" w:cs="Arial"/>
                <w:color w:val="000000"/>
                <w:sz w:val="20"/>
                <w:szCs w:val="20"/>
              </w:rPr>
            </w:pPr>
            <w:r w:rsidRPr="005B54EE">
              <w:rPr>
                <w:rFonts w:ascii="Arial" w:hAnsi="Arial"/>
                <w:color w:val="000000"/>
                <w:sz w:val="20"/>
              </w:rPr>
              <w:t>Agriculture</w:t>
            </w:r>
          </w:p>
        </w:tc>
        <w:tc>
          <w:tcPr>
            <w:tcW w:w="1696" w:type="dxa"/>
            <w:noWrap/>
            <w:hideMark/>
          </w:tcPr>
          <w:p w14:paraId="2B237072"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099D9A63"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7E387AB0"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w:t>
            </w:r>
          </w:p>
        </w:tc>
        <w:tc>
          <w:tcPr>
            <w:tcW w:w="1236" w:type="dxa"/>
            <w:noWrap/>
            <w:hideMark/>
          </w:tcPr>
          <w:p w14:paraId="57C7B104"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22DEC2B1"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56DFCAC7"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117FAB" w:rsidRPr="005B54EE" w14:paraId="12E0BDB4" w14:textId="77777777" w:rsidTr="005D59BC">
        <w:trPr>
          <w:trHeight w:val="219"/>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761C9B8D" w14:textId="77777777" w:rsidR="00117FAB" w:rsidRPr="005B54EE" w:rsidRDefault="00117FAB" w:rsidP="00891B49">
            <w:pPr>
              <w:rPr>
                <w:rFonts w:ascii="Arial" w:hAnsi="Arial" w:cs="Arial"/>
                <w:color w:val="000000"/>
                <w:sz w:val="20"/>
                <w:szCs w:val="20"/>
              </w:rPr>
            </w:pPr>
            <w:r w:rsidRPr="005B54EE">
              <w:rPr>
                <w:rFonts w:ascii="Arial" w:hAnsi="Arial"/>
                <w:color w:val="000000"/>
                <w:sz w:val="20"/>
              </w:rPr>
              <w:t>Industry</w:t>
            </w:r>
          </w:p>
        </w:tc>
        <w:tc>
          <w:tcPr>
            <w:tcW w:w="1696" w:type="dxa"/>
            <w:noWrap/>
            <w:hideMark/>
          </w:tcPr>
          <w:p w14:paraId="428864BC"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058D6B86"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1D62A463"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36" w:type="dxa"/>
            <w:noWrap/>
            <w:hideMark/>
          </w:tcPr>
          <w:p w14:paraId="6C491FFC"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4C5D0553"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27A227E1"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 </w:t>
            </w:r>
          </w:p>
        </w:tc>
      </w:tr>
      <w:tr w:rsidR="00117FAB" w:rsidRPr="005B54EE" w14:paraId="5563B478" w14:textId="77777777" w:rsidTr="005D59BC">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52DA697F" w14:textId="77777777" w:rsidR="00117FAB" w:rsidRPr="005B54EE" w:rsidRDefault="00117FAB" w:rsidP="00891B49">
            <w:pPr>
              <w:rPr>
                <w:rFonts w:ascii="Arial" w:hAnsi="Arial" w:cs="Arial"/>
                <w:color w:val="000000"/>
                <w:sz w:val="20"/>
                <w:szCs w:val="20"/>
              </w:rPr>
            </w:pPr>
            <w:r w:rsidRPr="005B54EE">
              <w:rPr>
                <w:rFonts w:ascii="Arial" w:hAnsi="Arial"/>
                <w:color w:val="000000"/>
                <w:sz w:val="20"/>
              </w:rPr>
              <w:t>Energy production</w:t>
            </w:r>
          </w:p>
        </w:tc>
        <w:tc>
          <w:tcPr>
            <w:tcW w:w="1696" w:type="dxa"/>
            <w:noWrap/>
            <w:hideMark/>
          </w:tcPr>
          <w:p w14:paraId="200E1570"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w:t>
            </w:r>
          </w:p>
        </w:tc>
        <w:tc>
          <w:tcPr>
            <w:tcW w:w="1134" w:type="dxa"/>
            <w:noWrap/>
            <w:hideMark/>
          </w:tcPr>
          <w:p w14:paraId="57593D88"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159A6E10"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36" w:type="dxa"/>
            <w:noWrap/>
            <w:hideMark/>
          </w:tcPr>
          <w:p w14:paraId="607D259D"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w:t>
            </w:r>
          </w:p>
        </w:tc>
        <w:tc>
          <w:tcPr>
            <w:tcW w:w="1298" w:type="dxa"/>
            <w:noWrap/>
            <w:hideMark/>
          </w:tcPr>
          <w:p w14:paraId="3C18F504"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247C7365" w14:textId="77777777" w:rsidR="00117FAB" w:rsidRPr="005B54EE" w:rsidRDefault="00117FAB" w:rsidP="00891B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r>
      <w:tr w:rsidR="00117FAB" w:rsidRPr="005B54EE" w14:paraId="26BBE6F6" w14:textId="77777777" w:rsidTr="005D59BC">
        <w:trPr>
          <w:trHeight w:val="219"/>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6D0F4412" w14:textId="77777777" w:rsidR="00117FAB" w:rsidRPr="005B54EE" w:rsidRDefault="00117FAB" w:rsidP="00891B49">
            <w:pPr>
              <w:rPr>
                <w:rFonts w:ascii="Arial" w:hAnsi="Arial" w:cs="Arial"/>
                <w:color w:val="000000"/>
                <w:sz w:val="20"/>
                <w:szCs w:val="20"/>
              </w:rPr>
            </w:pPr>
            <w:r w:rsidRPr="005B54EE">
              <w:rPr>
                <w:rFonts w:ascii="Arial" w:hAnsi="Arial"/>
                <w:color w:val="000000"/>
                <w:sz w:val="20"/>
              </w:rPr>
              <w:t>Waste</w:t>
            </w:r>
          </w:p>
        </w:tc>
        <w:tc>
          <w:tcPr>
            <w:tcW w:w="1696" w:type="dxa"/>
            <w:noWrap/>
            <w:hideMark/>
          </w:tcPr>
          <w:p w14:paraId="7DB356A1"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640F5480"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134" w:type="dxa"/>
            <w:noWrap/>
            <w:hideMark/>
          </w:tcPr>
          <w:p w14:paraId="3B298FA3"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 </w:t>
            </w:r>
          </w:p>
        </w:tc>
        <w:tc>
          <w:tcPr>
            <w:tcW w:w="1236" w:type="dxa"/>
            <w:noWrap/>
            <w:hideMark/>
          </w:tcPr>
          <w:p w14:paraId="44783196"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52132B5F"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 </w:t>
            </w:r>
          </w:p>
        </w:tc>
        <w:tc>
          <w:tcPr>
            <w:tcW w:w="1298" w:type="dxa"/>
            <w:noWrap/>
            <w:hideMark/>
          </w:tcPr>
          <w:p w14:paraId="4473BA39" w14:textId="77777777" w:rsidR="00117FAB" w:rsidRPr="005B54EE" w:rsidRDefault="00117FAB" w:rsidP="00891B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B54EE">
              <w:rPr>
                <w:rFonts w:ascii="Arial" w:hAnsi="Arial"/>
                <w:color w:val="000000"/>
                <w:sz w:val="20"/>
              </w:rPr>
              <w:t>X</w:t>
            </w:r>
          </w:p>
        </w:tc>
      </w:tr>
    </w:tbl>
    <w:p w14:paraId="1198456F" w14:textId="77777777" w:rsidR="00117FAB" w:rsidRPr="005B54EE" w:rsidRDefault="00117FAB" w:rsidP="00117FAB">
      <w:pPr>
        <w:spacing w:after="120"/>
        <w:rPr>
          <w:rFonts w:ascii="Arial" w:eastAsiaTheme="majorEastAsia" w:hAnsi="Arial" w:cs="Arial"/>
          <w:b/>
          <w:i/>
          <w:iCs/>
          <w:color w:val="365F91" w:themeColor="accent1" w:themeShade="BF"/>
          <w:sz w:val="20"/>
          <w:szCs w:val="20"/>
        </w:rPr>
      </w:pPr>
    </w:p>
    <w:p w14:paraId="19AC738A" w14:textId="77777777" w:rsidR="00117FAB" w:rsidRPr="005B54EE" w:rsidRDefault="00117FAB" w:rsidP="006E0C3B">
      <w:pPr>
        <w:pStyle w:val="titreencadre"/>
        <w:rPr>
          <w:rFonts w:eastAsiaTheme="majorEastAsia"/>
        </w:rPr>
      </w:pPr>
      <w:r w:rsidRPr="005B54EE">
        <w:t>Legislation to end hydrocarbon exploration and production in France - 2017</w:t>
      </w:r>
    </w:p>
    <w:p w14:paraId="07D9422A" w14:textId="77777777" w:rsidR="00117FAB" w:rsidRPr="005B54EE" w:rsidRDefault="00117FAB" w:rsidP="00117FAB">
      <w:pPr>
        <w:rPr>
          <w:rFonts w:asciiTheme="minorHAnsi" w:hAnsiTheme="minorHAnsi" w:cs="Arial"/>
          <w:szCs w:val="22"/>
        </w:rPr>
      </w:pPr>
      <w:r w:rsidRPr="005B54EE">
        <w:t>This law includes:</w:t>
      </w:r>
    </w:p>
    <w:p w14:paraId="34CBEE3F" w14:textId="77777777" w:rsidR="00117FAB" w:rsidRPr="005B54EE" w:rsidRDefault="00117FAB" w:rsidP="00117FAB">
      <w:pPr>
        <w:numPr>
          <w:ilvl w:val="0"/>
          <w:numId w:val="62"/>
        </w:numPr>
        <w:spacing w:after="120" w:line="259" w:lineRule="auto"/>
        <w:contextualSpacing/>
        <w:rPr>
          <w:rFonts w:asciiTheme="minorHAnsi" w:hAnsiTheme="minorHAnsi" w:cs="Arial"/>
          <w:szCs w:val="22"/>
        </w:rPr>
      </w:pPr>
      <w:r w:rsidRPr="005B54EE">
        <w:rPr>
          <w:rFonts w:asciiTheme="minorHAnsi" w:hAnsiTheme="minorHAnsi"/>
        </w:rPr>
        <w:t xml:space="preserve">A ban on the renewal of existing exploitation concessions beyond 2040, </w:t>
      </w:r>
    </w:p>
    <w:p w14:paraId="0E7FA814" w14:textId="77777777" w:rsidR="00117FAB" w:rsidRPr="005B54EE" w:rsidRDefault="00117FAB" w:rsidP="00117FAB">
      <w:pPr>
        <w:numPr>
          <w:ilvl w:val="0"/>
          <w:numId w:val="62"/>
        </w:numPr>
        <w:spacing w:after="120" w:line="259" w:lineRule="auto"/>
        <w:contextualSpacing/>
        <w:rPr>
          <w:rFonts w:asciiTheme="minorHAnsi" w:hAnsiTheme="minorHAnsi" w:cs="Arial"/>
          <w:szCs w:val="22"/>
        </w:rPr>
      </w:pPr>
      <w:r w:rsidRPr="005B54EE">
        <w:rPr>
          <w:rFonts w:asciiTheme="minorHAnsi" w:hAnsiTheme="minorHAnsi"/>
        </w:rPr>
        <w:t xml:space="preserve">A ban on the issue of new hydrocarbon exploration licences from 2017. </w:t>
      </w:r>
    </w:p>
    <w:p w14:paraId="525FBBCA" w14:textId="77777777" w:rsidR="00117FAB" w:rsidRPr="005B54EE" w:rsidRDefault="00117FAB" w:rsidP="00117FAB">
      <w:pPr>
        <w:spacing w:after="120"/>
        <w:rPr>
          <w:rFonts w:asciiTheme="minorHAnsi" w:hAnsiTheme="minorHAnsi" w:cs="Arial"/>
          <w:szCs w:val="22"/>
        </w:rPr>
      </w:pPr>
      <w:r w:rsidRPr="005B54EE">
        <w:rPr>
          <w:rFonts w:asciiTheme="minorHAnsi" w:hAnsiTheme="minorHAnsi"/>
        </w:rPr>
        <w:t>Crude oil production in France has been reduced by a factor of more than five since the end of the 1980s. In 2020, it stood at 645 thousand tonnes.</w:t>
      </w:r>
    </w:p>
    <w:p w14:paraId="3DB41AE3" w14:textId="40B3F410" w:rsidR="00117FAB" w:rsidRPr="005B54EE" w:rsidRDefault="00117FAB" w:rsidP="006E0C3B">
      <w:pPr>
        <w:pStyle w:val="titreencadre"/>
        <w:rPr>
          <w:rFonts w:eastAsiaTheme="majorEastAsia"/>
        </w:rPr>
      </w:pPr>
      <w:r w:rsidRPr="005B54EE">
        <w:t>Law on the development of housing, land management and digital technology (ELAN) - 2018</w:t>
      </w:r>
    </w:p>
    <w:p w14:paraId="41783C86" w14:textId="77777777" w:rsidR="00117FAB" w:rsidRPr="005B54EE" w:rsidRDefault="00117FAB" w:rsidP="00117FAB">
      <w:pPr>
        <w:spacing w:after="120"/>
        <w:rPr>
          <w:rFonts w:asciiTheme="minorHAnsi" w:hAnsiTheme="minorHAnsi" w:cs="Arial"/>
          <w:szCs w:val="22"/>
        </w:rPr>
      </w:pPr>
      <w:r w:rsidRPr="005B54EE">
        <w:rPr>
          <w:rFonts w:asciiTheme="minorHAnsi" w:hAnsiTheme="minorHAnsi"/>
        </w:rPr>
        <w:t xml:space="preserve">This law is intended to simplify the construction process while giving stakeholders a sense of responsibility in reducing the energy consumption of buildings. This law has laid the foundations for the environmental regulation for new buildings, called RE2020, which comes into force on 1 January 2022, replacing the earlier thermal regulation (RT2012). </w:t>
      </w:r>
    </w:p>
    <w:p w14:paraId="3CB6B426" w14:textId="77777777" w:rsidR="00117FAB" w:rsidRPr="005B54EE" w:rsidRDefault="00117FAB" w:rsidP="006E0C3B">
      <w:pPr>
        <w:pStyle w:val="titreencadre"/>
        <w:rPr>
          <w:rFonts w:eastAsiaTheme="majorEastAsia"/>
        </w:rPr>
      </w:pPr>
      <w:r w:rsidRPr="005B54EE">
        <w:t>Law for fair trade relations in the agricultural and food sector and healthy, sustainable and accessible food for all (EGALIM) - 2018</w:t>
      </w:r>
    </w:p>
    <w:p w14:paraId="4829FCFB" w14:textId="77777777" w:rsidR="00117FAB" w:rsidRPr="005B54EE" w:rsidRDefault="00117FAB" w:rsidP="00117FAB">
      <w:pPr>
        <w:spacing w:after="120"/>
        <w:rPr>
          <w:rFonts w:asciiTheme="minorHAnsi" w:hAnsiTheme="minorHAnsi" w:cs="Arial"/>
          <w:szCs w:val="22"/>
        </w:rPr>
      </w:pPr>
      <w:r w:rsidRPr="005B54EE">
        <w:rPr>
          <w:rFonts w:asciiTheme="minorHAnsi" w:hAnsiTheme="minorHAnsi"/>
        </w:rPr>
        <w:t xml:space="preserve">This law is intended to initiate a significant change in the way we eat to support a more environmentally friendly agricultural system. </w:t>
      </w:r>
      <w:r w:rsidRPr="005B54EE">
        <w:t>Specifically, the EGALIM law:</w:t>
      </w:r>
    </w:p>
    <w:p w14:paraId="0DDB0799" w14:textId="77777777" w:rsidR="00117FAB" w:rsidRPr="005B54EE" w:rsidRDefault="00117FAB" w:rsidP="00117FAB">
      <w:pPr>
        <w:numPr>
          <w:ilvl w:val="0"/>
          <w:numId w:val="61"/>
        </w:numPr>
        <w:spacing w:after="120" w:line="259" w:lineRule="auto"/>
        <w:contextualSpacing/>
        <w:rPr>
          <w:rFonts w:asciiTheme="minorHAnsi" w:hAnsiTheme="minorHAnsi" w:cs="Arial"/>
          <w:szCs w:val="22"/>
        </w:rPr>
      </w:pPr>
      <w:r w:rsidRPr="005B54EE">
        <w:t>Supports organic production systems by establishing a minimum share of quality and sustainable products served in public catering by 1 January 2022;</w:t>
      </w:r>
      <w:r w:rsidRPr="005B54EE">
        <w:rPr>
          <w:rFonts w:asciiTheme="minorHAnsi" w:hAnsiTheme="minorHAnsi"/>
        </w:rPr>
        <w:t xml:space="preserve"> </w:t>
      </w:r>
    </w:p>
    <w:p w14:paraId="26BF26F7" w14:textId="77777777" w:rsidR="00117FAB" w:rsidRPr="005B54EE" w:rsidRDefault="00117FAB" w:rsidP="00117FAB">
      <w:pPr>
        <w:numPr>
          <w:ilvl w:val="0"/>
          <w:numId w:val="61"/>
        </w:numPr>
        <w:spacing w:after="120" w:line="259" w:lineRule="auto"/>
        <w:contextualSpacing/>
        <w:rPr>
          <w:rFonts w:asciiTheme="minorHAnsi" w:hAnsiTheme="minorHAnsi" w:cs="Arial"/>
          <w:szCs w:val="22"/>
        </w:rPr>
      </w:pPr>
      <w:r w:rsidRPr="005B54EE">
        <w:rPr>
          <w:rFonts w:asciiTheme="minorHAnsi" w:hAnsiTheme="minorHAnsi"/>
        </w:rPr>
        <w:t>Provides for a weekly vegetarian menu to be offered in public catering services on an experimental basis.</w:t>
      </w:r>
    </w:p>
    <w:p w14:paraId="0E4695EB" w14:textId="77777777" w:rsidR="00117FAB" w:rsidRPr="005B54EE" w:rsidRDefault="00117FAB" w:rsidP="00117FAB">
      <w:pPr>
        <w:spacing w:after="120"/>
        <w:ind w:left="720"/>
        <w:contextualSpacing/>
        <w:rPr>
          <w:rFonts w:ascii="Arial" w:hAnsi="Arial" w:cs="Arial"/>
          <w:sz w:val="20"/>
          <w:szCs w:val="20"/>
        </w:rPr>
      </w:pPr>
    </w:p>
    <w:p w14:paraId="44F21716" w14:textId="77777777" w:rsidR="00117FAB" w:rsidRPr="005B54EE" w:rsidRDefault="00117FAB" w:rsidP="006E0C3B">
      <w:pPr>
        <w:pStyle w:val="titreencadre"/>
        <w:rPr>
          <w:rFonts w:eastAsiaTheme="majorEastAsia"/>
        </w:rPr>
      </w:pPr>
      <w:r w:rsidRPr="005B54EE">
        <w:t>Energy and Climate Law (LEC) - 2019</w:t>
      </w:r>
    </w:p>
    <w:p w14:paraId="166C821C" w14:textId="77777777" w:rsidR="00117FAB" w:rsidRPr="005B54EE" w:rsidRDefault="00117FAB" w:rsidP="00117FAB">
      <w:pPr>
        <w:rPr>
          <w:rFonts w:asciiTheme="minorHAnsi" w:hAnsiTheme="minorHAnsi" w:cs="Arial"/>
          <w:szCs w:val="22"/>
        </w:rPr>
      </w:pPr>
      <w:r w:rsidRPr="005B54EE">
        <w:rPr>
          <w:rFonts w:asciiTheme="minorHAnsi" w:hAnsiTheme="minorHAnsi"/>
        </w:rPr>
        <w:t xml:space="preserve">This has established the goal of carbon neutrality by 2050 in French legislation and made France one of the very first Western countries to implement this vision in law. </w:t>
      </w:r>
      <w:r w:rsidRPr="005B54EE">
        <w:t>To achieve this, the law provides for a set of measures focusing on four main themes:</w:t>
      </w:r>
    </w:p>
    <w:p w14:paraId="5BC81ADA" w14:textId="77777777" w:rsidR="00117FAB" w:rsidRPr="005B54EE" w:rsidRDefault="00117FAB" w:rsidP="00117FAB">
      <w:pPr>
        <w:numPr>
          <w:ilvl w:val="0"/>
          <w:numId w:val="63"/>
        </w:numPr>
        <w:spacing w:after="120" w:line="259" w:lineRule="auto"/>
        <w:contextualSpacing/>
        <w:jc w:val="left"/>
        <w:rPr>
          <w:rFonts w:asciiTheme="minorHAnsi" w:hAnsiTheme="minorHAnsi" w:cs="Arial"/>
          <w:szCs w:val="22"/>
        </w:rPr>
      </w:pPr>
      <w:r w:rsidRPr="005B54EE">
        <w:rPr>
          <w:rFonts w:asciiTheme="minorHAnsi" w:hAnsiTheme="minorHAnsi"/>
        </w:rPr>
        <w:t>Reducing our dependence on fossil fuels and developing renewable energies</w:t>
      </w:r>
    </w:p>
    <w:p w14:paraId="26BAFD41" w14:textId="77777777" w:rsidR="00117FAB" w:rsidRPr="005B54EE" w:rsidRDefault="00117FAB" w:rsidP="00117FAB">
      <w:pPr>
        <w:numPr>
          <w:ilvl w:val="0"/>
          <w:numId w:val="63"/>
        </w:numPr>
        <w:spacing w:after="120" w:line="259" w:lineRule="auto"/>
        <w:contextualSpacing/>
        <w:jc w:val="left"/>
        <w:rPr>
          <w:rFonts w:asciiTheme="minorHAnsi" w:hAnsiTheme="minorHAnsi" w:cs="Arial"/>
          <w:szCs w:val="22"/>
        </w:rPr>
      </w:pPr>
      <w:r w:rsidRPr="005B54EE">
        <w:rPr>
          <w:rFonts w:asciiTheme="minorHAnsi" w:hAnsiTheme="minorHAnsi"/>
        </w:rPr>
        <w:t>Combating thermal waste</w:t>
      </w:r>
    </w:p>
    <w:p w14:paraId="6E927B34" w14:textId="77777777" w:rsidR="00117FAB" w:rsidRPr="005B54EE" w:rsidRDefault="00117FAB" w:rsidP="00117FAB">
      <w:pPr>
        <w:numPr>
          <w:ilvl w:val="0"/>
          <w:numId w:val="63"/>
        </w:numPr>
        <w:spacing w:after="120" w:line="259" w:lineRule="auto"/>
        <w:contextualSpacing/>
        <w:jc w:val="left"/>
        <w:rPr>
          <w:rFonts w:asciiTheme="minorHAnsi" w:hAnsiTheme="minorHAnsi" w:cs="Arial"/>
          <w:szCs w:val="22"/>
        </w:rPr>
      </w:pPr>
      <w:r w:rsidRPr="005B54EE">
        <w:rPr>
          <w:rFonts w:asciiTheme="minorHAnsi" w:hAnsiTheme="minorHAnsi"/>
        </w:rPr>
        <w:t>Implementing new tools for steering, governing and evaluating climate action</w:t>
      </w:r>
    </w:p>
    <w:p w14:paraId="048D7CDF" w14:textId="77777777" w:rsidR="00117FAB" w:rsidRPr="005B54EE" w:rsidRDefault="00117FAB" w:rsidP="00117FAB">
      <w:pPr>
        <w:numPr>
          <w:ilvl w:val="0"/>
          <w:numId w:val="63"/>
        </w:numPr>
        <w:spacing w:after="120" w:line="259" w:lineRule="auto"/>
        <w:contextualSpacing/>
        <w:jc w:val="left"/>
        <w:rPr>
          <w:rFonts w:asciiTheme="minorHAnsi" w:hAnsiTheme="minorHAnsi" w:cs="Arial"/>
          <w:szCs w:val="22"/>
        </w:rPr>
      </w:pPr>
      <w:r w:rsidRPr="005B54EE">
        <w:rPr>
          <w:rFonts w:asciiTheme="minorHAnsi" w:hAnsiTheme="minorHAnsi"/>
        </w:rPr>
        <w:t xml:space="preserve">Regulating the electricity and gas sectors </w:t>
      </w:r>
    </w:p>
    <w:p w14:paraId="42FC179B" w14:textId="77777777" w:rsidR="00117FAB" w:rsidRPr="005B54EE" w:rsidRDefault="00117FAB" w:rsidP="00117FAB">
      <w:pPr>
        <w:rPr>
          <w:rFonts w:ascii="Arial" w:eastAsiaTheme="majorEastAsia" w:hAnsi="Arial" w:cs="Arial"/>
          <w:b/>
          <w:i/>
          <w:iCs/>
          <w:color w:val="365F91" w:themeColor="accent1" w:themeShade="BF"/>
          <w:sz w:val="20"/>
          <w:szCs w:val="20"/>
        </w:rPr>
      </w:pPr>
    </w:p>
    <w:p w14:paraId="5C226FAC" w14:textId="77777777" w:rsidR="00117FAB" w:rsidRPr="005B54EE" w:rsidRDefault="00117FAB" w:rsidP="006E0C3B">
      <w:pPr>
        <w:pStyle w:val="titreencadre"/>
        <w:rPr>
          <w:rFonts w:eastAsiaTheme="majorEastAsia"/>
        </w:rPr>
      </w:pPr>
      <w:r w:rsidRPr="005B54EE">
        <w:t>Mobility Orientation Law on Transport (LOM)- 2019</w:t>
      </w:r>
    </w:p>
    <w:p w14:paraId="3022F593" w14:textId="77777777" w:rsidR="00117FAB" w:rsidRPr="005B54EE" w:rsidRDefault="00117FAB" w:rsidP="00117FAB">
      <w:pPr>
        <w:rPr>
          <w:rFonts w:asciiTheme="minorHAnsi" w:hAnsiTheme="minorHAnsi" w:cs="Arial"/>
          <w:szCs w:val="22"/>
        </w:rPr>
      </w:pPr>
      <w:r w:rsidRPr="005B54EE">
        <w:rPr>
          <w:rFonts w:asciiTheme="minorHAnsi" w:hAnsiTheme="minorHAnsi"/>
        </w:rPr>
        <w:t xml:space="preserve">This law radically reforms mobility policy by making everyday transport easier, less expensive and cleaner. </w:t>
      </w:r>
      <w:r w:rsidRPr="005B54EE">
        <w:t>The measures in this law are underpinned by three pillars:</w:t>
      </w:r>
      <w:r w:rsidRPr="005B54EE">
        <w:rPr>
          <w:rFonts w:asciiTheme="minorHAnsi" w:hAnsiTheme="minorHAnsi"/>
        </w:rPr>
        <w:t xml:space="preserve"> </w:t>
      </w:r>
    </w:p>
    <w:p w14:paraId="4833C4F2" w14:textId="77777777" w:rsidR="00117FAB" w:rsidRPr="005B54EE" w:rsidRDefault="00117FAB" w:rsidP="00117FAB">
      <w:pPr>
        <w:numPr>
          <w:ilvl w:val="0"/>
          <w:numId w:val="59"/>
        </w:numPr>
        <w:spacing w:after="120" w:line="259" w:lineRule="auto"/>
        <w:contextualSpacing/>
        <w:jc w:val="left"/>
        <w:rPr>
          <w:rFonts w:asciiTheme="minorHAnsi" w:hAnsiTheme="minorHAnsi" w:cs="Arial"/>
          <w:szCs w:val="22"/>
        </w:rPr>
      </w:pPr>
      <w:r w:rsidRPr="005B54EE">
        <w:rPr>
          <w:rFonts w:asciiTheme="minorHAnsi" w:hAnsiTheme="minorHAnsi"/>
        </w:rPr>
        <w:t>Investing more and more wisely in everyday transport</w:t>
      </w:r>
    </w:p>
    <w:p w14:paraId="051748C4" w14:textId="77777777" w:rsidR="00117FAB" w:rsidRPr="005B54EE" w:rsidRDefault="00117FAB" w:rsidP="00117FAB">
      <w:pPr>
        <w:numPr>
          <w:ilvl w:val="0"/>
          <w:numId w:val="59"/>
        </w:numPr>
        <w:spacing w:after="120" w:line="259" w:lineRule="auto"/>
        <w:contextualSpacing/>
        <w:jc w:val="left"/>
        <w:rPr>
          <w:rFonts w:asciiTheme="minorHAnsi" w:hAnsiTheme="minorHAnsi" w:cs="Arial"/>
          <w:szCs w:val="22"/>
        </w:rPr>
      </w:pPr>
      <w:r w:rsidRPr="005B54EE">
        <w:rPr>
          <w:rFonts w:asciiTheme="minorHAnsi" w:hAnsiTheme="minorHAnsi"/>
        </w:rPr>
        <w:t>Facilitating and encouraging the implementation of new solutions to enable everyone to be mobile</w:t>
      </w:r>
    </w:p>
    <w:p w14:paraId="694F3A4D" w14:textId="77777777" w:rsidR="00117FAB" w:rsidRPr="005B54EE" w:rsidRDefault="00117FAB" w:rsidP="00117FAB">
      <w:pPr>
        <w:numPr>
          <w:ilvl w:val="0"/>
          <w:numId w:val="59"/>
        </w:numPr>
        <w:spacing w:after="120" w:line="259" w:lineRule="auto"/>
        <w:contextualSpacing/>
        <w:jc w:val="left"/>
        <w:rPr>
          <w:rFonts w:asciiTheme="minorHAnsi" w:hAnsiTheme="minorHAnsi" w:cs="Arial"/>
          <w:szCs w:val="22"/>
        </w:rPr>
      </w:pPr>
      <w:r w:rsidRPr="005B54EE">
        <w:rPr>
          <w:rFonts w:asciiTheme="minorHAnsi" w:hAnsiTheme="minorHAnsi"/>
        </w:rPr>
        <w:t>Promoting the transition to cleaner mobility</w:t>
      </w:r>
    </w:p>
    <w:p w14:paraId="1F7C9788" w14:textId="77777777" w:rsidR="00117FAB" w:rsidRPr="005B54EE" w:rsidRDefault="00117FAB" w:rsidP="00117FAB">
      <w:pPr>
        <w:rPr>
          <w:rFonts w:ascii="Arial" w:eastAsiaTheme="majorEastAsia" w:hAnsi="Arial" w:cs="Arial"/>
          <w:b/>
          <w:i/>
          <w:iCs/>
          <w:color w:val="365F91" w:themeColor="accent1" w:themeShade="BF"/>
          <w:sz w:val="20"/>
          <w:szCs w:val="20"/>
        </w:rPr>
      </w:pPr>
    </w:p>
    <w:p w14:paraId="09CE040B" w14:textId="77777777" w:rsidR="00117FAB" w:rsidRPr="005B54EE" w:rsidRDefault="00117FAB" w:rsidP="006E0C3B">
      <w:pPr>
        <w:pStyle w:val="titreencadre"/>
        <w:rPr>
          <w:rFonts w:eastAsiaTheme="majorEastAsia"/>
        </w:rPr>
      </w:pPr>
      <w:r w:rsidRPr="005B54EE">
        <w:t>Anti-Waste and Circular Economy Law (AGEC) - 2020</w:t>
      </w:r>
    </w:p>
    <w:p w14:paraId="3F7DBFFC" w14:textId="77777777" w:rsidR="00117FAB" w:rsidRPr="005B54EE" w:rsidRDefault="00117FAB" w:rsidP="00117FAB">
      <w:pPr>
        <w:rPr>
          <w:rFonts w:asciiTheme="minorHAnsi" w:hAnsiTheme="minorHAnsi" w:cs="Arial"/>
          <w:szCs w:val="22"/>
        </w:rPr>
      </w:pPr>
      <w:r w:rsidRPr="005B54EE">
        <w:rPr>
          <w:rFonts w:asciiTheme="minorHAnsi" w:hAnsiTheme="minorHAnsi"/>
        </w:rPr>
        <w:t xml:space="preserve">This law is expected to change our production and consumption model in order to limit waste and preserve natural resources, biodiversity and the climate. </w:t>
      </w:r>
      <w:r w:rsidRPr="005B54EE">
        <w:t>To this end, the law provides for a set of measures covering five main areas:</w:t>
      </w:r>
    </w:p>
    <w:p w14:paraId="563B03E8" w14:textId="77777777" w:rsidR="00117FAB" w:rsidRPr="005B54EE" w:rsidRDefault="00117FAB" w:rsidP="00117FAB">
      <w:pPr>
        <w:numPr>
          <w:ilvl w:val="0"/>
          <w:numId w:val="60"/>
        </w:numPr>
        <w:spacing w:after="120" w:line="259" w:lineRule="auto"/>
        <w:contextualSpacing/>
        <w:jc w:val="left"/>
        <w:rPr>
          <w:rFonts w:asciiTheme="minorHAnsi" w:hAnsiTheme="minorHAnsi" w:cs="Arial"/>
          <w:szCs w:val="22"/>
        </w:rPr>
      </w:pPr>
      <w:r w:rsidRPr="005B54EE">
        <w:rPr>
          <w:rFonts w:asciiTheme="minorHAnsi" w:hAnsiTheme="minorHAnsi"/>
        </w:rPr>
        <w:t>Eliminating disposable plastic</w:t>
      </w:r>
    </w:p>
    <w:p w14:paraId="3111C18F" w14:textId="77777777" w:rsidR="00117FAB" w:rsidRPr="005B54EE" w:rsidRDefault="00117FAB" w:rsidP="00117FAB">
      <w:pPr>
        <w:numPr>
          <w:ilvl w:val="0"/>
          <w:numId w:val="60"/>
        </w:numPr>
        <w:spacing w:after="120" w:line="259" w:lineRule="auto"/>
        <w:contextualSpacing/>
        <w:jc w:val="left"/>
        <w:rPr>
          <w:rFonts w:asciiTheme="minorHAnsi" w:hAnsiTheme="minorHAnsi" w:cs="Arial"/>
          <w:szCs w:val="22"/>
        </w:rPr>
      </w:pPr>
      <w:r w:rsidRPr="005B54EE">
        <w:rPr>
          <w:rFonts w:asciiTheme="minorHAnsi" w:hAnsiTheme="minorHAnsi"/>
        </w:rPr>
        <w:t>Informing consumers more effectively</w:t>
      </w:r>
    </w:p>
    <w:p w14:paraId="113B6278" w14:textId="77777777" w:rsidR="00117FAB" w:rsidRPr="005B54EE" w:rsidRDefault="00117FAB" w:rsidP="00117FAB">
      <w:pPr>
        <w:numPr>
          <w:ilvl w:val="0"/>
          <w:numId w:val="60"/>
        </w:numPr>
        <w:spacing w:after="120" w:line="259" w:lineRule="auto"/>
        <w:contextualSpacing/>
        <w:jc w:val="left"/>
        <w:rPr>
          <w:rFonts w:asciiTheme="minorHAnsi" w:hAnsiTheme="minorHAnsi" w:cs="Arial"/>
          <w:szCs w:val="22"/>
        </w:rPr>
      </w:pPr>
      <w:r w:rsidRPr="005B54EE">
        <w:rPr>
          <w:rFonts w:asciiTheme="minorHAnsi" w:hAnsiTheme="minorHAnsi"/>
        </w:rPr>
        <w:t>Combating waste and promoting responsible re-use</w:t>
      </w:r>
    </w:p>
    <w:p w14:paraId="2E3D4F11" w14:textId="77777777" w:rsidR="00117FAB" w:rsidRPr="005B54EE" w:rsidRDefault="00117FAB" w:rsidP="00117FAB">
      <w:pPr>
        <w:numPr>
          <w:ilvl w:val="0"/>
          <w:numId w:val="60"/>
        </w:numPr>
        <w:spacing w:after="120" w:line="259" w:lineRule="auto"/>
        <w:contextualSpacing/>
        <w:jc w:val="left"/>
        <w:rPr>
          <w:rFonts w:asciiTheme="minorHAnsi" w:hAnsiTheme="minorHAnsi" w:cs="Arial"/>
          <w:szCs w:val="22"/>
        </w:rPr>
      </w:pPr>
      <w:r w:rsidRPr="005B54EE">
        <w:rPr>
          <w:rFonts w:asciiTheme="minorHAnsi" w:hAnsiTheme="minorHAnsi"/>
        </w:rPr>
        <w:t>Acting against built-in obsolescence</w:t>
      </w:r>
    </w:p>
    <w:p w14:paraId="010EFEDE" w14:textId="77777777" w:rsidR="00117FAB" w:rsidRPr="005B54EE" w:rsidRDefault="00117FAB" w:rsidP="00117FAB">
      <w:pPr>
        <w:numPr>
          <w:ilvl w:val="0"/>
          <w:numId w:val="60"/>
        </w:numPr>
        <w:spacing w:after="120" w:line="259" w:lineRule="auto"/>
        <w:contextualSpacing/>
        <w:jc w:val="left"/>
        <w:rPr>
          <w:rFonts w:asciiTheme="minorHAnsi" w:hAnsiTheme="minorHAnsi"/>
          <w:szCs w:val="22"/>
        </w:rPr>
      </w:pPr>
      <w:r w:rsidRPr="005B54EE">
        <w:rPr>
          <w:rFonts w:asciiTheme="minorHAnsi" w:hAnsiTheme="minorHAnsi"/>
        </w:rPr>
        <w:t>Improving production</w:t>
      </w:r>
    </w:p>
    <w:p w14:paraId="37544D43" w14:textId="77777777" w:rsidR="00117FAB" w:rsidRPr="005B54EE" w:rsidRDefault="00117FAB" w:rsidP="00117FAB">
      <w:pPr>
        <w:spacing w:after="120"/>
        <w:ind w:left="720"/>
        <w:contextualSpacing/>
      </w:pPr>
    </w:p>
    <w:p w14:paraId="1559FBE9" w14:textId="77777777" w:rsidR="00117FAB" w:rsidRPr="005B54EE" w:rsidRDefault="00117FAB" w:rsidP="006E0C3B">
      <w:pPr>
        <w:pStyle w:val="titreencadre"/>
      </w:pPr>
      <w:r w:rsidRPr="005B54EE">
        <w:t>The Law n°2021-1104 of 22 August 2021 to combat climate change and strengthen resilience to its effects (known as the 'Climate and Resilience' Law)</w:t>
      </w:r>
    </w:p>
    <w:p w14:paraId="7AF04CB0" w14:textId="2D5EFFA7" w:rsidR="00117FAB" w:rsidRPr="005B54EE" w:rsidRDefault="00117FAB" w:rsidP="00117FAB">
      <w:pPr>
        <w:autoSpaceDE w:val="0"/>
        <w:autoSpaceDN w:val="0"/>
        <w:adjustRightInd w:val="0"/>
        <w:spacing w:after="120"/>
        <w:rPr>
          <w:rFonts w:asciiTheme="minorHAnsi" w:hAnsiTheme="minorHAnsi" w:cs="Arial"/>
          <w:szCs w:val="22"/>
        </w:rPr>
      </w:pPr>
      <w:r w:rsidRPr="005B54EE">
        <w:rPr>
          <w:rFonts w:asciiTheme="minorHAnsi" w:hAnsiTheme="minorHAnsi"/>
        </w:rPr>
        <w:t>This comprehensive law was adopted by Parliament on 20 July 2021. It expresses the legislative provisions recommended by citizens in the context of the Citizens' Climate Convention set up by the President of the Republic (2019-2020). This law complements and accelerates the measures enacted during the five-year term by setting more ambitious targets or timetables or by creating new levers to reach our goals. For example, the LOM mandated the establishment of LEZ-m for metropolitan areas and EPCIs that regularly exceed the threshold values for air pollution. The Climate and Resilience Act goes further by requiring the establishment of LEZ-m in conurbations of more than 150,000 inhabitants by 31 December 2024, which represents the establishment of 33 additional LEZ-ms (compared to the 10 mandatory LEZ-ms under the LOM. The Climate and Resilience Act also sets out to support changes in behaviour, particularly through education on these issues from an early age, regulation of advertising, etc., to make the country's ecological transition possible. Its scope goes far beyond the immediately measurable impact of the provisions that were subject to a climate assessment in the law's impact study.</w:t>
      </w:r>
    </w:p>
    <w:p w14:paraId="1A3E00ED" w14:textId="77777777" w:rsidR="00117FAB" w:rsidRPr="005B54EE" w:rsidRDefault="00117FAB" w:rsidP="00117FAB">
      <w:pPr>
        <w:spacing w:after="120"/>
        <w:rPr>
          <w:rFonts w:asciiTheme="minorHAnsi" w:hAnsiTheme="minorHAnsi" w:cs="Arial"/>
          <w:szCs w:val="22"/>
        </w:rPr>
      </w:pPr>
    </w:p>
    <w:p w14:paraId="3B940DE7" w14:textId="3082853B" w:rsidR="00117FAB" w:rsidRPr="005B54EE" w:rsidRDefault="00117FAB" w:rsidP="00117FAB">
      <w:pPr>
        <w:spacing w:after="120"/>
        <w:rPr>
          <w:rFonts w:asciiTheme="minorHAnsi" w:hAnsiTheme="minorHAnsi" w:cs="Arial"/>
          <w:szCs w:val="22"/>
        </w:rPr>
      </w:pPr>
      <w:r w:rsidRPr="005B54EE">
        <w:rPr>
          <w:rFonts w:asciiTheme="minorHAnsi" w:hAnsiTheme="minorHAnsi"/>
        </w:rPr>
        <w:t xml:space="preserve">To support the fundamental changes that this transition requires of us, the Government has committed significant financial resources. </w:t>
      </w:r>
      <w:r w:rsidRPr="005B54EE">
        <w:t>30 billion of the 100 billion euro ‘France Recovery’ plan to deal with the effects of the Covid-19 epidemic was specifically earmarked for funding the ecological transition: support for the decarbonisation of industry (€1.2bn), thermal renovation (€6.7bn), greener transport (€8.8bn), the transition of the automotive and aeronautical sectors (€2.6bn), the agricultural transition (€1.3bn) and the circular economy (€0.5bn).</w:t>
      </w:r>
    </w:p>
    <w:p w14:paraId="2D212F68" w14:textId="77777777" w:rsidR="00117FAB" w:rsidRPr="005B54EE" w:rsidRDefault="00117FAB" w:rsidP="00117FAB">
      <w:pPr>
        <w:spacing w:after="120"/>
        <w:rPr>
          <w:rFonts w:asciiTheme="minorHAnsi" w:hAnsiTheme="minorHAnsi" w:cs="Arial"/>
          <w:szCs w:val="22"/>
        </w:rPr>
      </w:pPr>
      <w:r w:rsidRPr="005B54EE">
        <w:rPr>
          <w:rFonts w:asciiTheme="minorHAnsi" w:hAnsiTheme="minorHAnsi"/>
        </w:rPr>
        <w:t>On 12 October 2021, the President of the Republic announced a major investment plan, ‘France 2030’, with 30 billion euros to be spent over 5 years, half of which will be dedicated to the ecological transition. This plan is intended to stimulate technological innovation and support the transition of our sectors of excellence, be it energy, automotive or aeronautics. 8 billion euros have been set aside for the energy sector, in order to build a decarbonised and resilient France, specifically by developing green hydrogen and decarbonising our industry. 4 billion is also budgeted for ‘transport of the future’, with a view to producing 2 million electric or hybrid vehicles per year, as well as the first low-carbon aircraft.</w:t>
      </w:r>
    </w:p>
    <w:p w14:paraId="0B446A48" w14:textId="4B5F0BE3" w:rsidR="00117FAB" w:rsidRPr="005B54EE" w:rsidRDefault="00117FAB" w:rsidP="007C589E">
      <w:pPr>
        <w:spacing w:after="120"/>
        <w:rPr>
          <w:rFonts w:asciiTheme="minorHAnsi" w:hAnsiTheme="minorHAnsi" w:cs="Arial"/>
          <w:szCs w:val="22"/>
        </w:rPr>
      </w:pPr>
      <w:r w:rsidRPr="005B54EE">
        <w:rPr>
          <w:rFonts w:asciiTheme="minorHAnsi" w:hAnsiTheme="minorHAnsi"/>
        </w:rPr>
        <w:t>Moreover, on 10 February 2022, the President of the Republic declared that solar production capacity would be increased tenfold by 2050 (more than 100 GW installed in 2050), that onshore wind power production capacity would be doubled and that around fifty offshore wind farms would be created (around 40 GW). He also promised to build six EPR2 reactors by 2050 and to undertake studies for the construction of eight additional EPR2 reactors. This new programme may result in the commissioning of 25 GW of new nuclear capacity by 2050. The accelerated development of renewable energies and the relaunch of a nuclear programme in France will be instrumental in achieving a totally decarbonised electricity mix by 2050.</w:t>
      </w:r>
    </w:p>
    <w:p w14:paraId="1857D8F6" w14:textId="77777777" w:rsidR="005D59BC" w:rsidRPr="005B54EE" w:rsidRDefault="005D59BC" w:rsidP="007C589E">
      <w:pPr>
        <w:spacing w:after="120"/>
        <w:rPr>
          <w:rFonts w:ascii="Arial" w:hAnsi="Arial" w:cs="Arial"/>
          <w:sz w:val="20"/>
          <w:szCs w:val="20"/>
        </w:rPr>
      </w:pPr>
    </w:p>
    <w:p w14:paraId="272CA68C" w14:textId="2FAC62AB" w:rsidR="00630A34" w:rsidRPr="005B54EE" w:rsidRDefault="00630A34" w:rsidP="00B04A7C">
      <w:pPr>
        <w:pStyle w:val="Titre3Niveau3"/>
        <w:numPr>
          <w:ilvl w:val="1"/>
          <w:numId w:val="65"/>
        </w:numPr>
      </w:pPr>
      <w:bookmarkStart w:id="52" w:name="_Toc121149510"/>
      <w:bookmarkStart w:id="53" w:name="_Toc138344674"/>
      <w:r w:rsidRPr="005B54EE">
        <w:t>Transport</w:t>
      </w:r>
      <w:bookmarkEnd w:id="52"/>
      <w:bookmarkEnd w:id="53"/>
    </w:p>
    <w:p w14:paraId="0E803751" w14:textId="2AE02380" w:rsidR="0018240E" w:rsidRPr="005B54EE" w:rsidRDefault="0018240E" w:rsidP="0018240E">
      <w:pPr>
        <w:spacing w:before="240" w:after="240"/>
      </w:pPr>
      <w:r w:rsidRPr="005B54EE">
        <w:t>The transport sector is the leading source of greenhouse gas emissions in France, accounting for 30% of emissions in 2021 The challenges are particularly high for road transport, which accounts for 94% of the sector's emissions. Carbon dioxide (CO</w:t>
      </w:r>
      <w:r w:rsidRPr="005B54EE">
        <w:rPr>
          <w:vertAlign w:val="subscript"/>
        </w:rPr>
        <w:t>2</w:t>
      </w:r>
      <w:r w:rsidRPr="005B54EE">
        <w:t>) is the main greenhouse gas emitted by transport (96%), followed by fluorinated gases emitted by refrigeration and air conditioning systems (2.7%) and other greenhouse gases (1.3%) such as nitrous oxide (N</w:t>
      </w:r>
      <w:r w:rsidRPr="005B54EE">
        <w:rPr>
          <w:vertAlign w:val="subscript"/>
        </w:rPr>
        <w:t>2</w:t>
      </w:r>
      <w:r w:rsidRPr="005B54EE">
        <w:t>O) and methane (CH</w:t>
      </w:r>
      <w:r w:rsidRPr="005B54EE">
        <w:rPr>
          <w:vertAlign w:val="subscript"/>
        </w:rPr>
        <w:t>4</w:t>
      </w:r>
      <w:r w:rsidRPr="005B54EE">
        <w:t>), emitted in small quantities during combustion.</w:t>
      </w:r>
    </w:p>
    <w:p w14:paraId="67D6C550" w14:textId="31D3BB87" w:rsidR="0018240E" w:rsidRPr="005B54EE" w:rsidRDefault="0018240E" w:rsidP="0018240E">
      <w:pPr>
        <w:pStyle w:val="Titre4niveau4"/>
        <w:spacing w:before="240"/>
      </w:pPr>
      <w:r w:rsidRPr="005B54EE">
        <w:t>Measures to reduce CO</w:t>
      </w:r>
      <w:r w:rsidRPr="005B54EE">
        <w:rPr>
          <w:vertAlign w:val="subscript"/>
        </w:rPr>
        <w:t>2</w:t>
      </w:r>
      <w:r w:rsidRPr="005B54EE">
        <w:t xml:space="preserve"> emissions from transport</w:t>
      </w:r>
    </w:p>
    <w:p w14:paraId="355C7251" w14:textId="547D8684" w:rsidR="0018240E" w:rsidRPr="005B54EE" w:rsidRDefault="0018240E" w:rsidP="0018240E">
      <w:pPr>
        <w:spacing w:before="240" w:after="240"/>
      </w:pPr>
      <w:r w:rsidRPr="005B54EE">
        <w:t>The measures being implemented to reduce CO</w:t>
      </w:r>
      <w:r w:rsidRPr="005B54EE">
        <w:rPr>
          <w:vertAlign w:val="subscript"/>
        </w:rPr>
        <w:t>2</w:t>
      </w:r>
      <w:r w:rsidRPr="005B54EE">
        <w:t xml:space="preserve"> emissions from transport are designed to massively increase the share of low emission vehicles in the fleet, improve the energy efficiency of vehicles, promote the development of biofuels, increase the occupancy rate of vehicles and support modal shift.</w:t>
      </w:r>
    </w:p>
    <w:p w14:paraId="369A689D" w14:textId="77777777" w:rsidR="0018240E" w:rsidRPr="005B54EE" w:rsidRDefault="0018240E" w:rsidP="0018240E">
      <w:pPr>
        <w:spacing w:before="240" w:after="240"/>
      </w:pPr>
      <w:r w:rsidRPr="005B54EE">
        <w:t>The measures designed to reduce greenhouse gas emissions from transport have been improved since 2019, particularly in the framework of the Mobility Orientation Law on Transport and the Climate Resilience Law.</w:t>
      </w:r>
    </w:p>
    <w:p w14:paraId="5CAC2B0C" w14:textId="77777777" w:rsidR="0018240E" w:rsidRPr="005B54EE" w:rsidRDefault="0018240E" w:rsidP="0018240E">
      <w:pPr>
        <w:spacing w:before="240" w:after="240"/>
        <w:rPr>
          <w:b/>
          <w:noProof/>
        </w:rPr>
      </w:pPr>
      <w:r w:rsidRPr="005B54EE">
        <w:rPr>
          <w:b/>
        </w:rPr>
        <w:t>The development of low emission vehicles and the enhancement of the energy efficiency of new road transport vehicles</w:t>
      </w:r>
    </w:p>
    <w:p w14:paraId="53FC474C" w14:textId="77777777" w:rsidR="0018240E" w:rsidRPr="005B54EE" w:rsidRDefault="0018240E" w:rsidP="0018240E">
      <w:pPr>
        <w:spacing w:before="240" w:after="240"/>
        <w:rPr>
          <w:noProof/>
        </w:rPr>
      </w:pPr>
      <w:r w:rsidRPr="005B54EE">
        <w:t>The National Low-Carbon Strategy (SNBC) aims to decarbonise vehicles by promoting the gradual electrification of the vehicle fleet for private cars and the development of a more diversified mix for heavy vehicles (electrification, including fuel cell solutions with green hydrogen, and the development of gas-powered vehicles with incentives for the development of renewable gas).</w:t>
      </w:r>
    </w:p>
    <w:p w14:paraId="10480395" w14:textId="491A7F6B" w:rsidR="0018240E" w:rsidRPr="005B54EE" w:rsidRDefault="0018240E" w:rsidP="0018240E">
      <w:pPr>
        <w:spacing w:before="240" w:after="240"/>
      </w:pPr>
      <w:r w:rsidRPr="005B54EE">
        <w:t>The measures relating to the decarbonisation of vehicles are both legislative and regulatory (European regulations establishing CO2 emission performance standards for new vehicles, end-of-sale targets for new vehicles included in the Mobility Orientation Law on Transport and the Climate and Resilience Law, the obligation to incorporate low emission vehicles when replacing company fleets), fiscal and financial (in particular, purchase bonuses and conversion bonuses) and include measures to improve recharging infrastructures and the introduction of low emission zones.</w:t>
      </w:r>
    </w:p>
    <w:p w14:paraId="35BE1DDB" w14:textId="77777777" w:rsidR="0018240E" w:rsidRPr="005B54EE" w:rsidRDefault="0018240E" w:rsidP="0018240E">
      <w:pPr>
        <w:spacing w:before="240" w:after="240"/>
        <w:rPr>
          <w:b/>
          <w:i/>
          <w:u w:val="single"/>
        </w:rPr>
      </w:pPr>
      <w:r w:rsidRPr="005B54EE">
        <w:rPr>
          <w:b/>
          <w:i/>
          <w:u w:val="single"/>
        </w:rPr>
        <w:t>Private cars</w:t>
      </w:r>
    </w:p>
    <w:p w14:paraId="598C3346" w14:textId="2C04F2AF" w:rsidR="0018240E" w:rsidRPr="005B54EE" w:rsidRDefault="0018240E" w:rsidP="0018240E">
      <w:pPr>
        <w:spacing w:before="240" w:after="240"/>
      </w:pPr>
      <w:r w:rsidRPr="005B54EE">
        <w:t xml:space="preserve">Successive </w:t>
      </w:r>
      <w:r w:rsidRPr="005B54EE">
        <w:rPr>
          <w:b/>
          <w:bCs/>
        </w:rPr>
        <w:t>EU regulations</w:t>
      </w:r>
      <w:r w:rsidRPr="005B54EE">
        <w:t xml:space="preserve"> have imposed emission reduction targets on new car sales. An initial regulation in 2009, subsequently amended in 2014, required car manufacturers to lower the average CO</w:t>
      </w:r>
      <w:r w:rsidRPr="005B54EE">
        <w:rPr>
          <w:vertAlign w:val="subscript"/>
        </w:rPr>
        <w:t>2</w:t>
      </w:r>
      <w:r w:rsidRPr="005B54EE">
        <w:t xml:space="preserve"> emission limit for new passenger cars to 130 gCO</w:t>
      </w:r>
      <w:r w:rsidRPr="005B54EE">
        <w:rPr>
          <w:vertAlign w:val="subscript"/>
        </w:rPr>
        <w:t>2</w:t>
      </w:r>
      <w:r w:rsidRPr="005B54EE">
        <w:t>/km NEDC in 2015 and 95 gCO</w:t>
      </w:r>
      <w:r w:rsidRPr="005B54EE">
        <w:rPr>
          <w:vertAlign w:val="subscript"/>
        </w:rPr>
        <w:t>2</w:t>
      </w:r>
      <w:r w:rsidRPr="005B54EE">
        <w:t xml:space="preserve">/km NEDC in 2020 (this target being reflected in a WLTP value in 2021). European Regulation 2019/631 of 17 April 2019 includes a tightening of the targets set for car manufacturers with a 15% reduction in emissions after 2025 and 37.5% after 2030 compared to the 2021 target. In the context of the Adjustment to Target 55 package, the provisional agreement reached at European level includes emission reduction targets of 55% in 2030 and 100% in 2035 compared to the 2021 target, i.e. an end to the sale of new internal combustion engine cars in 2035. </w:t>
      </w:r>
    </w:p>
    <w:p w14:paraId="7297E0AA" w14:textId="77777777" w:rsidR="0018240E" w:rsidRPr="005B54EE" w:rsidRDefault="0018240E" w:rsidP="0018240E">
      <w:pPr>
        <w:spacing w:before="240" w:after="240"/>
        <w:rPr>
          <w:noProof/>
        </w:rPr>
      </w:pPr>
      <w:r w:rsidRPr="005B54EE">
        <w:t>At national level, targets for the incorporation of low emission vehicles (electric or plug-in hybrids) when</w:t>
      </w:r>
      <w:r w:rsidRPr="005B54EE">
        <w:rPr>
          <w:b/>
          <w:bCs/>
        </w:rPr>
        <w:t xml:space="preserve"> replacing fleets</w:t>
      </w:r>
      <w:r w:rsidRPr="005B54EE">
        <w:t xml:space="preserve"> have been set since 2015 for fleets managed by the State, its public bodies and local authorities, as well as for vehicle rental companies and taxi and chauffeur-driven car (VTC) operators. The Mobility Orientation Law on Transport (2019) has increased the targets to be achieved and introduced a new target for very low emission vehicles (electric or hydrogen) for public fleets and extended the scope of the measure to private companies directly or indirectly operating fleets of over 100 vehicles.</w:t>
      </w:r>
      <w:r w:rsidRPr="005B54EE">
        <w:rPr>
          <w:color w:val="FF0000"/>
        </w:rPr>
        <w:t xml:space="preserve"> </w:t>
      </w:r>
      <w:r w:rsidRPr="005B54EE">
        <w:t>The Climate and Resilience Law raised the target for the purchase of low emission vehicles when replacing fleets to 70% from 2026 for the State (instead of 50%), to 40% from 2025 and then 70% from 2030 for local authorities, to 40% from 2027 and then 70% from 2030 for private fleets and fleet hire companies with over 100 vehicles. The implementation of the Clean Vehicles Directive (2019/1161) in 2021 has increased the targets for very low emission vehicles (electric or hydrogen) to 45% for the State from 2030 (instead of 37.4%) and to 40% for local authorities from 2030 (instead of 37.4%)</w:t>
      </w:r>
    </w:p>
    <w:p w14:paraId="4792CA9A" w14:textId="62D83CFE" w:rsidR="0018240E" w:rsidRPr="005B54EE" w:rsidRDefault="0018240E" w:rsidP="0018240E">
      <w:pPr>
        <w:spacing w:before="240" w:after="240"/>
      </w:pPr>
      <w:r w:rsidRPr="005B54EE">
        <w:t>At national level, the Climate and Resilience Law sets a target of limiting sales of new private cars emitting more than 123 gCO</w:t>
      </w:r>
      <w:r w:rsidRPr="005B54EE">
        <w:rPr>
          <w:vertAlign w:val="subscript"/>
        </w:rPr>
        <w:t>2</w:t>
      </w:r>
      <w:r w:rsidRPr="005B54EE">
        <w:t>/km WLTP (95 gCO</w:t>
      </w:r>
      <w:r w:rsidRPr="005B54EE">
        <w:rPr>
          <w:vertAlign w:val="subscript"/>
        </w:rPr>
        <w:t>2</w:t>
      </w:r>
      <w:r w:rsidRPr="005B54EE">
        <w:t>/km NEDC) to no more than 5% by 1 January 2030.</w:t>
      </w:r>
    </w:p>
    <w:p w14:paraId="65733EB3" w14:textId="77777777" w:rsidR="0018240E" w:rsidRPr="005B54EE" w:rsidRDefault="0018240E" w:rsidP="0018240E">
      <w:pPr>
        <w:spacing w:before="240" w:after="240"/>
        <w:rPr>
          <w:noProof/>
        </w:rPr>
      </w:pPr>
      <w:r w:rsidRPr="005B54EE">
        <w:t>Various tax and financial incentives are designed to encourage the purchase of low emission vehicles. The Climate and Resilience Law establishes the principle of maintaining support/incentives for the acquisition of clean vehicles until 2030, with the aim of adjusting these measures depending on the degree to which the objectives are achieved and the economic conditions.</w:t>
      </w:r>
    </w:p>
    <w:p w14:paraId="1139412E" w14:textId="412D30E7" w:rsidR="0018240E" w:rsidRPr="005B54EE" w:rsidRDefault="0018240E" w:rsidP="0018240E">
      <w:pPr>
        <w:spacing w:before="240" w:after="240"/>
      </w:pPr>
      <w:r w:rsidRPr="005B54EE">
        <w:t>The system of bonus-malus, which has been in place since 2008, is designed to reward, via a bonus, purchasers of new cars with the lowest CO</w:t>
      </w:r>
      <w:r w:rsidRPr="005B54EE">
        <w:rPr>
          <w:vertAlign w:val="subscript"/>
        </w:rPr>
        <w:t>2</w:t>
      </w:r>
      <w:r w:rsidRPr="005B54EE">
        <w:t xml:space="preserve"> emissions, and to penalise, via a tax penalty, those who opt for the highest-emission models. The values and thresholds are reviewed periodically to ensure that the incentive effect of the scheme is maintained. From 1 September 2022, the </w:t>
      </w:r>
      <w:r w:rsidRPr="005B54EE">
        <w:rPr>
          <w:b/>
          <w:bCs/>
        </w:rPr>
        <w:t>penalty</w:t>
      </w:r>
      <w:r w:rsidRPr="005B54EE">
        <w:t xml:space="preserve"> will apply to vehicles emitting more than 128 gCO</w:t>
      </w:r>
      <w:r w:rsidRPr="005B54EE">
        <w:rPr>
          <w:vertAlign w:val="subscript"/>
        </w:rPr>
        <w:t>2</w:t>
      </w:r>
      <w:r w:rsidRPr="005B54EE">
        <w:t>/km (in the new WLTP cycle) and corresponds to an increase in the purchase price of between €50 and €40,000 (to a maximum of 50% of the purchase price including VAT of the vehicle). The higher the CO</w:t>
      </w:r>
      <w:r w:rsidRPr="005B54EE">
        <w:rPr>
          <w:vertAlign w:val="subscript"/>
        </w:rPr>
        <w:t>2</w:t>
      </w:r>
      <w:r w:rsidRPr="005B54EE">
        <w:t xml:space="preserve"> emissions of the model, the higher the penalty. A penalty on weight, starting at 1,800 kg, has also been in place since 1 January 2022 for internal combustion vehicles and plug-in hybrids with an urban electric range of less than 50 km. From 1 September 2022, the </w:t>
      </w:r>
      <w:r w:rsidRPr="005B54EE">
        <w:rPr>
          <w:b/>
          <w:bCs/>
        </w:rPr>
        <w:t>bonus</w:t>
      </w:r>
      <w:r w:rsidRPr="005B54EE">
        <w:t xml:space="preserve"> for a new electric car is up to €6,000 for individuals and €4,000 for companies. If the purchase of a low emission vehicle is combined with the scrapping of an old combustion engine vehicle, an extra bonus, known as the conversion bonus, will be paid. The subsidy for a new electric car is up to €5,000 for private individuals (subject to income and mileage requirements) and €2,500 for companies. </w:t>
      </w:r>
    </w:p>
    <w:p w14:paraId="5C86479E" w14:textId="77777777" w:rsidR="0018240E" w:rsidRPr="005B54EE" w:rsidRDefault="0018240E" w:rsidP="0018240E">
      <w:pPr>
        <w:spacing w:before="240" w:after="240"/>
      </w:pPr>
      <w:r w:rsidRPr="005B54EE">
        <w:t>For people living or working in a low emission mobility zone (LEZ), access to which is restricted for the most polluting vehicles, the State grants an additional premium equivalent to any subsidy paid by the local authority, up to a maximum of €1,000.</w:t>
      </w:r>
    </w:p>
    <w:p w14:paraId="2676644C" w14:textId="4409C26C" w:rsidR="0018240E" w:rsidRPr="005B54EE" w:rsidRDefault="0018240E" w:rsidP="0018240E">
      <w:pPr>
        <w:spacing w:before="240" w:after="240"/>
      </w:pPr>
      <w:r w:rsidRPr="005B54EE">
        <w:t>A microcredit scheme for the acquisition of a green vehicle enables individuals excluded from the traditional banking network to buy or lease a car, van, two or three-wheeled vehicle or low-polluting motor quadricycle. Up to 50% of the loan is guaranteed by the State and varies depending on the household's income. Since 6 February 2022, the maximum amount of the loan is now €8,000, repayable over seven years, compared to the previous €5,000 repayable over five years. Microcredit can be combined with the green bonus and the conversion incentive.</w:t>
      </w:r>
    </w:p>
    <w:p w14:paraId="26F280AB" w14:textId="77777777" w:rsidR="0018240E" w:rsidRPr="005B54EE" w:rsidRDefault="0018240E" w:rsidP="0018240E">
      <w:pPr>
        <w:spacing w:before="240" w:after="240"/>
      </w:pPr>
      <w:r w:rsidRPr="005B54EE">
        <w:t>An experiment of interest-free loans is planned for two years from 1 January 2023. It will be open to low-income households and micro-businesses living or working in a LEZ where air quality standards are exceeded, or in an intercommunal area bordering one, for the purchase or lease of low emission vehicles. The loan can be for up to €30,000 (or €10,000 in the case of long-term lease or lease with purchase option) repayable over seven years (or the duration of the lease contract).</w:t>
      </w:r>
    </w:p>
    <w:p w14:paraId="403ED76B" w14:textId="61E85908" w:rsidR="0018240E" w:rsidRPr="005B54EE" w:rsidRDefault="0018240E" w:rsidP="0018240E">
      <w:pPr>
        <w:spacing w:before="240" w:after="240"/>
        <w:rPr>
          <w:noProof/>
        </w:rPr>
      </w:pPr>
      <w:r w:rsidRPr="005B54EE">
        <w:t>The company car tax is an annual tax on company cars used for passenger transport, based on: CO</w:t>
      </w:r>
      <w:r w:rsidRPr="005B54EE">
        <w:rPr>
          <w:vertAlign w:val="subscript"/>
        </w:rPr>
        <w:t>2</w:t>
      </w:r>
      <w:r w:rsidRPr="005B54EE">
        <w:t xml:space="preserve"> emissions and the energy used as well as the year the car was put into service. Other tax incentives exist for low emission company vehicles, such as an increase in the maximum depreciation amount and an allowance for the benefit in kind.</w:t>
      </w:r>
    </w:p>
    <w:p w14:paraId="45DAFFA9" w14:textId="77777777" w:rsidR="0018240E" w:rsidRPr="005B54EE" w:rsidRDefault="0018240E" w:rsidP="0018240E">
      <w:pPr>
        <w:spacing w:before="240" w:after="240"/>
        <w:rPr>
          <w:noProof/>
        </w:rPr>
      </w:pPr>
      <w:r w:rsidRPr="005B54EE">
        <w:t xml:space="preserve">The measures already implemented have led to a very rapid growth in the market share of electric and plug-in hybrid passenger cars in France. </w:t>
      </w:r>
    </w:p>
    <w:p w14:paraId="7D8EBD6C" w14:textId="77777777" w:rsidR="0018240E" w:rsidRPr="005B54EE" w:rsidRDefault="0018240E" w:rsidP="0018240E">
      <w:pPr>
        <w:spacing w:before="240" w:after="240"/>
        <w:rPr>
          <w:noProof/>
        </w:rPr>
      </w:pPr>
      <w:r w:rsidRPr="005B54EE">
        <w:t xml:space="preserve">As the following graph shows, the market share of electric cars has grown rapidly from 1.9% market share in 2019 to 9.7% in 2021 and 12.7% in the first ten months of 2022. In 2021, 164,000 electric cars were sold in France The market share of plug-in hybrids also increased from 0.8% in 2019 to 8.3% in 2021 before dropping slightly to 7.9% in the first ten months of 2022. </w:t>
      </w:r>
    </w:p>
    <w:p w14:paraId="6805DFED" w14:textId="77777777" w:rsidR="0018240E" w:rsidRPr="005B54EE" w:rsidRDefault="0018240E" w:rsidP="0018240E">
      <w:pPr>
        <w:spacing w:before="240" w:after="240"/>
        <w:rPr>
          <w:noProof/>
        </w:rPr>
      </w:pPr>
    </w:p>
    <w:p w14:paraId="446C8580" w14:textId="77777777" w:rsidR="0018240E" w:rsidRPr="005B54EE" w:rsidRDefault="0018240E" w:rsidP="0018240E">
      <w:pPr>
        <w:jc w:val="center"/>
        <w:rPr>
          <w:rFonts w:ascii="CIDFont+F1" w:eastAsiaTheme="minorHAnsi" w:hAnsi="CIDFont+F1" w:cs="CIDFont+F1"/>
          <w:sz w:val="20"/>
          <w:szCs w:val="20"/>
        </w:rPr>
      </w:pPr>
      <w:r w:rsidRPr="005B54EE">
        <w:rPr>
          <w:rFonts w:ascii="CIDFont+F1" w:hAnsi="CIDFont+F1"/>
          <w:noProof/>
          <w:sz w:val="20"/>
          <w:lang w:val="fr-FR"/>
        </w:rPr>
        <w:drawing>
          <wp:inline distT="0" distB="0" distL="0" distR="0" wp14:anchorId="2163675A" wp14:editId="7D80AA74">
            <wp:extent cx="5817210" cy="2849245"/>
            <wp:effectExtent l="0" t="0" r="0" b="825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033" cy="2855036"/>
                    </a:xfrm>
                    <a:prstGeom prst="rect">
                      <a:avLst/>
                    </a:prstGeom>
                    <a:noFill/>
                  </pic:spPr>
                </pic:pic>
              </a:graphicData>
            </a:graphic>
          </wp:inline>
        </w:drawing>
      </w:r>
    </w:p>
    <w:p w14:paraId="124A69C0" w14:textId="77777777" w:rsidR="0018240E" w:rsidRPr="005B54EE" w:rsidRDefault="0018240E" w:rsidP="0018240E">
      <w:pPr>
        <w:pStyle w:val="FootnoteText"/>
        <w:rPr>
          <w:rFonts w:eastAsiaTheme="minorHAnsi"/>
        </w:rPr>
      </w:pPr>
      <w:r w:rsidRPr="005B54EE">
        <w:t>2022(p): calculated over the first ten months of the year</w:t>
      </w:r>
    </w:p>
    <w:p w14:paraId="4BC7B3F4" w14:textId="0CDCE855" w:rsidR="0018240E" w:rsidRPr="005B54EE" w:rsidRDefault="0018240E" w:rsidP="0018240E">
      <w:pPr>
        <w:pStyle w:val="Caption"/>
        <w:rPr>
          <w:rFonts w:eastAsiaTheme="minorHAnsi"/>
        </w:rPr>
      </w:pPr>
      <w:bookmarkStart w:id="54" w:name="_Toc122694392"/>
      <w:bookmarkStart w:id="55" w:name="_Toc124153766"/>
      <w:r w:rsidRPr="005B54EE">
        <w:t xml:space="preserve">Figure </w:t>
      </w:r>
      <w:r w:rsidR="00C73940">
        <w:fldChar w:fldCharType="begin"/>
      </w:r>
      <w:r w:rsidR="00C73940">
        <w:instrText xml:space="preserve"> SEQ Figure \* ARABIC </w:instrText>
      </w:r>
      <w:r w:rsidR="00C73940">
        <w:fldChar w:fldCharType="separate"/>
      </w:r>
      <w:r w:rsidR="003402E2">
        <w:rPr>
          <w:noProof/>
        </w:rPr>
        <w:t>12</w:t>
      </w:r>
      <w:r w:rsidR="00C73940">
        <w:rPr>
          <w:noProof/>
        </w:rPr>
        <w:fldChar w:fldCharType="end"/>
      </w:r>
      <w:r w:rsidRPr="005B54EE">
        <w:t>: Sales trends of electric cars (EVs) and plug-in hybrids (PHEVs)</w:t>
      </w:r>
      <w:bookmarkEnd w:id="54"/>
      <w:bookmarkEnd w:id="55"/>
    </w:p>
    <w:p w14:paraId="474F833D" w14:textId="77777777" w:rsidR="0018240E" w:rsidRPr="005B54EE" w:rsidRDefault="0018240E" w:rsidP="0018240E">
      <w:pPr>
        <w:pStyle w:val="Caption"/>
        <w:rPr>
          <w:rFonts w:eastAsiaTheme="minorHAnsi"/>
        </w:rPr>
      </w:pPr>
      <w:r w:rsidRPr="005B54EE">
        <w:t>Source: SDES, RSVERO</w:t>
      </w:r>
    </w:p>
    <w:p w14:paraId="506A8EB4" w14:textId="58C0C4EF" w:rsidR="0018240E" w:rsidRPr="005B54EE" w:rsidRDefault="0018240E" w:rsidP="0018240E">
      <w:pPr>
        <w:spacing w:before="240" w:after="240"/>
      </w:pPr>
      <w:r w:rsidRPr="005B54EE">
        <w:t>Moreover, the unit emission targets for new passenger cars (95g CO</w:t>
      </w:r>
      <w:r w:rsidRPr="005B54EE">
        <w:rPr>
          <w:vertAlign w:val="subscript"/>
        </w:rPr>
        <w:t>2</w:t>
      </w:r>
      <w:r w:rsidRPr="005B54EE">
        <w:t xml:space="preserve">/km, as measured using the former NEDC test cycle, from 2020 onwards) have been met. Starting in 2021, the target will be set using the new WLTP test cycle, which has been introduced to better assess actual emissions. </w:t>
      </w:r>
    </w:p>
    <w:p w14:paraId="22F17D8A" w14:textId="77777777" w:rsidR="0018240E" w:rsidRPr="005B54EE" w:rsidRDefault="0018240E" w:rsidP="0018240E">
      <w:pPr>
        <w:spacing w:before="240" w:after="240"/>
        <w:rPr>
          <w:b/>
          <w:i/>
          <w:u w:val="single"/>
        </w:rPr>
      </w:pPr>
      <w:r w:rsidRPr="005B54EE">
        <w:rPr>
          <w:b/>
          <w:i/>
          <w:u w:val="single"/>
        </w:rPr>
        <w:t>Light commercial vehicles</w:t>
      </w:r>
    </w:p>
    <w:p w14:paraId="2569CB0F" w14:textId="679992E4" w:rsidR="0018240E" w:rsidRPr="005B54EE" w:rsidRDefault="0018240E" w:rsidP="0018240E">
      <w:pPr>
        <w:spacing w:before="240" w:after="240"/>
      </w:pPr>
      <w:r w:rsidRPr="005B54EE">
        <w:t>Under EU Regulation 510/2011, manufacturers are required to gradually reduce the average emissions of new light commercial vehicles to 175 gCO</w:t>
      </w:r>
      <w:r w:rsidRPr="005B54EE">
        <w:rPr>
          <w:vertAlign w:val="subscript"/>
        </w:rPr>
        <w:t>2</w:t>
      </w:r>
      <w:r w:rsidRPr="005B54EE">
        <w:t>/km NEDC between 2014 and 2017 An average emission level of 147 gCO</w:t>
      </w:r>
      <w:r w:rsidRPr="005B54EE">
        <w:rPr>
          <w:vertAlign w:val="subscript"/>
        </w:rPr>
        <w:t>2</w:t>
      </w:r>
      <w:r w:rsidRPr="005B54EE">
        <w:t xml:space="preserve">/km NEDC has been set for 2020 (this target will be converted into a WLTP value in 2021). Under regulation 2019/361 of 17 April 2019, the targets will be tightened with a 15% reduction in emissions from 2025 and 31% in 2030 with respect to the 2021 target. As part of the Adjustment to Target 55 package, the provisional agreement reached at European level provides for reduction targets of 50% in 2030 and 100% in 2035 compared to the 2021 target, i.e. an end to the sale of new light commercial internal combustion vehicles in 2035. </w:t>
      </w:r>
    </w:p>
    <w:p w14:paraId="669FD391" w14:textId="77777777" w:rsidR="0018240E" w:rsidRPr="005B54EE" w:rsidRDefault="0018240E" w:rsidP="0018240E">
      <w:pPr>
        <w:spacing w:before="100" w:beforeAutospacing="1" w:after="100" w:afterAutospacing="1"/>
      </w:pPr>
      <w:r w:rsidRPr="005B54EE">
        <w:t>New electric vans benefit from a bonus of up to €7,000 for a private individual (€5,000 for companies), up to a maximum of 40% of the value of the vehicle including tax. If the purchase of a low emission vehicle is accompanied by the scrapping of an old vehicle, and under certain conditions, a conversion incentive may also be paid. Since 26 July 2021, purchasers of low emission vans have also been eligible for microcredit and zero-interest loans (which will be introduced from 2023).</w:t>
      </w:r>
    </w:p>
    <w:p w14:paraId="1C8448B4" w14:textId="77777777" w:rsidR="0018240E" w:rsidRPr="005B54EE" w:rsidRDefault="0018240E" w:rsidP="0018240E">
      <w:pPr>
        <w:spacing w:before="100" w:beforeAutospacing="1" w:after="100" w:afterAutospacing="1"/>
      </w:pPr>
      <w:r w:rsidRPr="005B54EE">
        <w:t>The targets for the inclusion of low emission vehicles in fleet replacement also apply to light commercial vehicles.</w:t>
      </w:r>
    </w:p>
    <w:p w14:paraId="19E5F1DE" w14:textId="77777777" w:rsidR="0018240E" w:rsidRPr="005B54EE" w:rsidRDefault="0018240E" w:rsidP="0018240E">
      <w:pPr>
        <w:autoSpaceDE w:val="0"/>
        <w:autoSpaceDN w:val="0"/>
        <w:adjustRightInd w:val="0"/>
        <w:spacing w:before="240" w:after="240"/>
      </w:pPr>
      <w:r w:rsidRPr="005B54EE">
        <w:t xml:space="preserve">Commercial vehicles between 2.6 and 3.5 tonnes that run on natural gas, biofuels, electricity or hydrogen benefit from a 20% tax rebate. </w:t>
      </w:r>
    </w:p>
    <w:p w14:paraId="257C8846" w14:textId="77777777" w:rsidR="0018240E" w:rsidRPr="005B54EE" w:rsidRDefault="0018240E" w:rsidP="0018240E">
      <w:pPr>
        <w:autoSpaceDE w:val="0"/>
        <w:autoSpaceDN w:val="0"/>
        <w:adjustRightInd w:val="0"/>
        <w:spacing w:before="240" w:after="240"/>
        <w:rPr>
          <w:b/>
          <w:i/>
          <w:noProof/>
          <w:u w:val="single"/>
        </w:rPr>
      </w:pPr>
      <w:r w:rsidRPr="005B54EE">
        <w:rPr>
          <w:b/>
          <w:i/>
          <w:u w:val="single"/>
        </w:rPr>
        <w:t>Heavy goods vehicles</w:t>
      </w:r>
    </w:p>
    <w:p w14:paraId="3584A8DE" w14:textId="2015FAEB" w:rsidR="0018240E" w:rsidRPr="005B54EE" w:rsidRDefault="0018240E" w:rsidP="0018240E">
      <w:pPr>
        <w:spacing w:before="240" w:after="240"/>
      </w:pPr>
      <w:r w:rsidRPr="005B54EE">
        <w:t>The new European regulation n° 2019/1242 imposes mandatory CO</w:t>
      </w:r>
      <w:r w:rsidRPr="005B54EE">
        <w:rPr>
          <w:vertAlign w:val="subscript"/>
        </w:rPr>
        <w:t>2</w:t>
      </w:r>
      <w:r w:rsidRPr="005B54EE">
        <w:t xml:space="preserve"> emissions reduction requirements for certain new heavy vehicles, with a reduction target of 15% by 2025 and 30% by 2030 compared to the level of emissions recorded over the reference period July 2019 - June 2020.</w:t>
      </w:r>
    </w:p>
    <w:p w14:paraId="3D4F1268" w14:textId="77777777" w:rsidR="0018240E" w:rsidRPr="005B54EE" w:rsidRDefault="0018240E" w:rsidP="0018240E">
      <w:pPr>
        <w:spacing w:before="240" w:after="240"/>
      </w:pPr>
      <w:r w:rsidRPr="005B54EE">
        <w:t>At national level, the Climate and Resilience Law has set a goal of ending the sale of new heavy vehicles used for the transport of people or goods that run predominantly on fossil fuels by 2040. The public HGV fleet is also required to comply with greening requirements.</w:t>
      </w:r>
    </w:p>
    <w:p w14:paraId="1D81FDBE" w14:textId="77777777" w:rsidR="0018240E" w:rsidRPr="005B54EE" w:rsidRDefault="0018240E" w:rsidP="0018240E">
      <w:pPr>
        <w:spacing w:before="240" w:after="240"/>
        <w:rPr>
          <w:noProof/>
        </w:rPr>
      </w:pPr>
      <w:r w:rsidRPr="005B54EE">
        <w:t>There are tax incentives for HGVs, for the development of CNG and bio-CNG, electric and H2 vehicles. HGVs running on natural gas, biofuels, electricity and hydrogen benefit from an additional tax incentive of 60% for HGVs up to 16 tonnes (and 40% above). Under the recovery plan, heavy goods vehicles running on electricity and/or hydrogen benefit from a rebate of up to €50,000. In addition to this bonus, a call for proposals, referred to as the ‘Ecosystem of electric heavy vehicles’ was opened in March 2022. With a budget of €65 million for the year 2022, it will support initiatives for the acquisition of heavy electric vehicles (with grants of up to €150,000 per vehicle) and the development of associated charging infrastructure.</w:t>
      </w:r>
    </w:p>
    <w:p w14:paraId="1EF03353" w14:textId="77777777" w:rsidR="0018240E" w:rsidRPr="005B54EE" w:rsidRDefault="0018240E" w:rsidP="0018240E">
      <w:pPr>
        <w:spacing w:before="240" w:after="240"/>
        <w:rPr>
          <w:b/>
          <w:i/>
          <w:u w:val="single"/>
        </w:rPr>
      </w:pPr>
      <w:r w:rsidRPr="005B54EE">
        <w:rPr>
          <w:b/>
          <w:i/>
          <w:u w:val="single"/>
        </w:rPr>
        <w:t>Buses and coaches</w:t>
      </w:r>
    </w:p>
    <w:p w14:paraId="7FEDADB2" w14:textId="77777777" w:rsidR="0018240E" w:rsidRPr="005B54EE" w:rsidRDefault="0018240E" w:rsidP="0018240E">
      <w:pPr>
        <w:autoSpaceDE w:val="0"/>
        <w:autoSpaceDN w:val="0"/>
        <w:adjustRightInd w:val="0"/>
        <w:spacing w:before="240" w:after="240"/>
        <w:rPr>
          <w:noProof/>
        </w:rPr>
      </w:pPr>
      <w:r w:rsidRPr="005B54EE">
        <w:t>For public transport vehicles managed by the State and local authorities (buses and coaches), the law stipulates the requirement to acquire or use, when replacing the fleet, at least 50% of low emission vehicles from 1 January 2020, and then all vehicles replaced after 1 January 2025. The criteria defining the types of low emission vehicles (electric, hybrid, natural gas vehicle, biogas, or biofuel with a high proportion of renewable fuels) are set depending on their use, the areas in which they are used and the local energy supply capacities. These targets have been reinforced by the implementation of the European directive on clean vehicles (2019/1161), in particular by introducing a target of at least 50% of Low Emission Vehicles being ‘zero emission’ (electric or hydrogen) for the largest conurbations (over 250,000 inhabitants).</w:t>
      </w:r>
    </w:p>
    <w:p w14:paraId="5C2D8EDB" w14:textId="77777777" w:rsidR="0018240E" w:rsidRPr="005B54EE" w:rsidRDefault="0018240E" w:rsidP="0018240E">
      <w:pPr>
        <w:autoSpaceDE w:val="0"/>
        <w:autoSpaceDN w:val="0"/>
        <w:adjustRightInd w:val="0"/>
        <w:spacing w:before="240" w:after="240"/>
        <w:rPr>
          <w:noProof/>
        </w:rPr>
      </w:pPr>
      <w:r w:rsidRPr="005B54EE">
        <w:t>Under the recovery plan, buses and coaches running on electricity and/or hydrogen also benefit from a bonus of up to €30,000. Buses and coaches using alternative energies can also benefit from additional tax incentive under the same conditions as heavy goods vehicles, provided that they are acquired by companies liable for corporation tax or income tax under a specific taxation system. Finally, electric buses and coaches have been eligible since 2022 for the ‘Ecosystem of electric heavy vehicles’ call for projects, as for electric heavy goods vehicles (with aid of up to €100,000 per vehicle).</w:t>
      </w:r>
    </w:p>
    <w:p w14:paraId="5ACE57E0" w14:textId="77777777" w:rsidR="0018240E" w:rsidRPr="005B54EE" w:rsidRDefault="0018240E" w:rsidP="0018240E">
      <w:pPr>
        <w:autoSpaceDE w:val="0"/>
        <w:autoSpaceDN w:val="0"/>
        <w:adjustRightInd w:val="0"/>
        <w:spacing w:before="240" w:after="240"/>
        <w:rPr>
          <w:noProof/>
        </w:rPr>
      </w:pPr>
    </w:p>
    <w:p w14:paraId="390E10EE" w14:textId="77777777" w:rsidR="0018240E" w:rsidRPr="005B54EE" w:rsidRDefault="0018240E" w:rsidP="0018240E">
      <w:pPr>
        <w:spacing w:before="240" w:after="240"/>
        <w:rPr>
          <w:b/>
          <w:i/>
          <w:u w:val="single"/>
        </w:rPr>
      </w:pPr>
      <w:r w:rsidRPr="005B54EE">
        <w:rPr>
          <w:b/>
          <w:i/>
          <w:u w:val="single"/>
        </w:rPr>
        <w:t>Charging infrastructure</w:t>
      </w:r>
    </w:p>
    <w:p w14:paraId="6BAC4B28" w14:textId="77777777" w:rsidR="0018240E" w:rsidRPr="005B54EE" w:rsidRDefault="0018240E" w:rsidP="0018240E">
      <w:pPr>
        <w:spacing w:before="240" w:after="240"/>
        <w:rPr>
          <w:noProof/>
        </w:rPr>
      </w:pPr>
      <w:r w:rsidRPr="005B54EE">
        <w:t xml:space="preserve">A series of measures designed to promote the </w:t>
      </w:r>
      <w:r w:rsidRPr="005B54EE">
        <w:rPr>
          <w:b/>
          <w:bCs/>
        </w:rPr>
        <w:t>installation of charging infrastructure</w:t>
      </w:r>
      <w:r w:rsidRPr="005B54EE">
        <w:t xml:space="preserve"> for electric vehicles. There are requirements for pre-equipment and equipment for certain types of buildings and public car parks (Mobility Orientation Law on Transport, Climate and Resilience Law) </w:t>
      </w:r>
    </w:p>
    <w:p w14:paraId="4BCC2F6C" w14:textId="77777777" w:rsidR="0018240E" w:rsidRPr="005B54EE" w:rsidRDefault="0018240E" w:rsidP="0018240E">
      <w:pPr>
        <w:spacing w:before="240" w:after="240"/>
        <w:rPr>
          <w:noProof/>
        </w:rPr>
      </w:pPr>
      <w:r w:rsidRPr="005B54EE">
        <w:t>The provision of both public and private charging points is subsidised. Private individuals who install charging stations at home benefit from a tax credit of up to €300 per charging system and 75% of the cost.</w:t>
      </w:r>
    </w:p>
    <w:p w14:paraId="73441FAB" w14:textId="77777777" w:rsidR="0018240E" w:rsidRPr="005B54EE" w:rsidRDefault="0018240E" w:rsidP="0018240E">
      <w:pPr>
        <w:spacing w:before="240" w:after="240"/>
        <w:rPr>
          <w:noProof/>
        </w:rPr>
      </w:pPr>
      <w:r w:rsidRPr="005B54EE">
        <w:t>The ADVENIR programme, which is funded as part of the Energy Savings Certificates (CEE), subsidises the installation of charging points in housing developments, companies and public bodies within the restrictions of subsidy levels and limits per charging point and per type of target.</w:t>
      </w:r>
    </w:p>
    <w:p w14:paraId="177FD05F" w14:textId="77777777" w:rsidR="0018240E" w:rsidRPr="005B54EE" w:rsidRDefault="0018240E" w:rsidP="0018240E">
      <w:pPr>
        <w:spacing w:before="240" w:after="240"/>
        <w:rPr>
          <w:noProof/>
        </w:rPr>
      </w:pPr>
      <w:r w:rsidRPr="005B54EE">
        <w:t xml:space="preserve">The installation of fast-charging points is being supported by the recovery plan until the end of 2022 (on major roads) and by the France 2030 investment plan until 2024 (in major cities and regions). Motorway operators are required to ensure the availability of all common energy sources. </w:t>
      </w:r>
    </w:p>
    <w:p w14:paraId="1D6979B2" w14:textId="77777777" w:rsidR="0018240E" w:rsidRPr="005B54EE" w:rsidRDefault="0018240E" w:rsidP="0018240E">
      <w:pPr>
        <w:spacing w:before="240" w:after="240"/>
        <w:rPr>
          <w:noProof/>
        </w:rPr>
      </w:pPr>
      <w:r w:rsidRPr="005B54EE">
        <w:t>The Finance Law for 2021 provides for the integration of renewable electricity provided by public charging facilities within the TIRUERT (incentive tax on the incorporation of renewable energy in transport) tool, enabling fuel distributors to improve the charging of electric vehicles to reach their goal of incorporating renewable energies. This aims to favour the deployment of public charging infrastructures by improving their profitability and by enabling a proportion of the operating costs to be covered throughout the duration.</w:t>
      </w:r>
    </w:p>
    <w:p w14:paraId="726E6971" w14:textId="77777777" w:rsidR="0018240E" w:rsidRPr="005B54EE" w:rsidRDefault="0018240E" w:rsidP="0018240E">
      <w:pPr>
        <w:spacing w:before="240" w:after="240"/>
        <w:rPr>
          <w:noProof/>
        </w:rPr>
      </w:pPr>
      <w:r w:rsidRPr="005B54EE">
        <w:t>Furthermore, home-based charging stations benefit from a reduced VAT rate at 5.5% (instead of 20%) and when the employer provides a charging station, the benefit in kind is considered to be null for non-professional travel.</w:t>
      </w:r>
    </w:p>
    <w:p w14:paraId="10D014B5" w14:textId="77777777" w:rsidR="0018240E" w:rsidRPr="005B54EE" w:rsidRDefault="0018240E" w:rsidP="0018240E">
      <w:pPr>
        <w:spacing w:before="240" w:after="240"/>
        <w:rPr>
          <w:noProof/>
        </w:rPr>
      </w:pPr>
      <w:r w:rsidRPr="005B54EE">
        <w:t>The French Mobility Orientation Law on Transport, followed by the Climate and Resilience Law, created and reinforced the provisions to support the deployment of charging facilities. The French Mobility Orientation Law on Transport simplified and extended the provisions regarding the right to charging facilities, so as to facilitate the installation of charging points in public buildings. It also reduced the connection costs to public recharging infrastructures or bus charging facilities by increasing from 40 to 75% of the amount paid, until 2022 (with a few exceptions until 2025). The French Mobility Orientation Law on Transport also provides for the possibility for territories to produce a development master plan for public electric vehicle charging infrastructures. It is a mechanism which provides the community with a steering role regarding the charging offer within its territory, to result in a coordinated offer between the different public and private project owners, in coherence with the local mobility policies and tailored to meet the needs. The climate and resilience law made these schemes mandatory in low emission zones. The climate and resilience law also provides for the possibility of installing a collective electric infrastructure (facilitating the subsequent addition of charging stations) in shared buildings at no expense to the owner or co-owner via the network manager or a charging operator, who is reimbursed by the contribution of users who wish to add a charging station within the shared infrastructure.</w:t>
      </w:r>
    </w:p>
    <w:p w14:paraId="19B71296" w14:textId="77777777" w:rsidR="0018240E" w:rsidRPr="005B54EE" w:rsidRDefault="0018240E" w:rsidP="0018240E">
      <w:pPr>
        <w:spacing w:before="240" w:after="240"/>
        <w:rPr>
          <w:noProof/>
        </w:rPr>
      </w:pPr>
      <w:r w:rsidRPr="005B54EE">
        <w:t>The energy transition for Green Growth act set a target of 7 million public and private charging points by 2030.</w:t>
      </w:r>
    </w:p>
    <w:p w14:paraId="1F50CC20" w14:textId="77777777" w:rsidR="0018240E" w:rsidRPr="005B54EE" w:rsidRDefault="0018240E" w:rsidP="0018240E">
      <w:pPr>
        <w:pStyle w:val="titreencadre"/>
        <w:spacing w:before="120" w:after="60" w:line="240" w:lineRule="auto"/>
        <w:rPr>
          <w:noProof/>
        </w:rPr>
      </w:pPr>
      <w:r w:rsidRPr="005B54EE">
        <w:t>The national hydrogen strategy</w:t>
      </w:r>
    </w:p>
    <w:p w14:paraId="79B3B3F9" w14:textId="77777777" w:rsidR="0018240E" w:rsidRPr="005B54EE" w:rsidRDefault="0018240E" w:rsidP="0018240E">
      <w:pPr>
        <w:autoSpaceDE w:val="0"/>
        <w:autoSpaceDN w:val="0"/>
        <w:adjustRightInd w:val="0"/>
        <w:spacing w:before="240" w:after="240"/>
        <w:rPr>
          <w:noProof/>
        </w:rPr>
      </w:pPr>
      <w:r w:rsidRPr="005B54EE">
        <w:t>The national hydrogen strategy aims to further develop decarbonated hydrogen and includes a development focus on hydrogen-based heavy transport based on territorial ecosystems of hydrogen mobility, on the basis of professional vehicles fleets.</w:t>
      </w:r>
    </w:p>
    <w:p w14:paraId="7E0C5B2D" w14:textId="77777777" w:rsidR="0018240E" w:rsidRPr="005B54EE" w:rsidRDefault="0018240E" w:rsidP="0018240E">
      <w:pPr>
        <w:pStyle w:val="titreencadre"/>
        <w:spacing w:before="120" w:after="60" w:line="240" w:lineRule="auto"/>
        <w:rPr>
          <w:noProof/>
        </w:rPr>
      </w:pPr>
      <w:r w:rsidRPr="005B54EE">
        <w:t>The development of biofuels</w:t>
      </w:r>
    </w:p>
    <w:p w14:paraId="3B12DA23" w14:textId="77777777" w:rsidR="0018240E" w:rsidRPr="005B54EE" w:rsidRDefault="0018240E" w:rsidP="0018240E">
      <w:pPr>
        <w:autoSpaceDE w:val="0"/>
        <w:autoSpaceDN w:val="0"/>
        <w:adjustRightInd w:val="0"/>
        <w:rPr>
          <w:noProof/>
        </w:rPr>
      </w:pPr>
      <w:r w:rsidRPr="005B54EE">
        <w:t xml:space="preserve">The incentive tax on the incorporation of renewable energy in transport (TIRUERT) represents a strong incentive, enabling the inclusion rate of biofuels to be maximised, while ensuring the sustainability of their production. TIRUERT is a tax paid by the operators who do not meet the national target inclusion rate of biofuels, while complying with the sustainability criteria for petrol and diesel. In 2022, the target inclusion rate of biofuels was set at 9.2% for petrols and 8.1% for diesels. </w:t>
      </w:r>
    </w:p>
    <w:p w14:paraId="5D47563E" w14:textId="77777777" w:rsidR="0018240E" w:rsidRPr="005B54EE" w:rsidRDefault="0018240E" w:rsidP="0018240E">
      <w:pPr>
        <w:autoSpaceDE w:val="0"/>
        <w:autoSpaceDN w:val="0"/>
        <w:adjustRightInd w:val="0"/>
        <w:rPr>
          <w:noProof/>
        </w:rPr>
      </w:pPr>
    </w:p>
    <w:p w14:paraId="14C46716" w14:textId="77777777" w:rsidR="0018240E" w:rsidRPr="005B54EE" w:rsidRDefault="0018240E" w:rsidP="0018240E">
      <w:pPr>
        <w:autoSpaceDE w:val="0"/>
        <w:autoSpaceDN w:val="0"/>
        <w:adjustRightInd w:val="0"/>
        <w:rPr>
          <w:noProof/>
        </w:rPr>
      </w:pPr>
      <w:r w:rsidRPr="005B54EE">
        <w:t>The aviation sector will be required to incorporate 1% of biofuels from 2022 (finance law). This obligation is part of a biofuel development strategy enacted by the roadmap on the development of biofuels which sets an incorporation target of 5% by 2030. Furthermore, a call for an expression of interest on sustainable biofuels was launched in order to identify the investment projects in second generation units.</w:t>
      </w:r>
    </w:p>
    <w:p w14:paraId="4DB3734F" w14:textId="49E393B2" w:rsidR="0018240E" w:rsidRPr="005B54EE" w:rsidRDefault="0018240E" w:rsidP="0018240E">
      <w:pPr>
        <w:autoSpaceDE w:val="0"/>
        <w:autoSpaceDN w:val="0"/>
        <w:adjustRightInd w:val="0"/>
        <w:rPr>
          <w:noProof/>
        </w:rPr>
      </w:pPr>
    </w:p>
    <w:p w14:paraId="3AA5F6A5" w14:textId="684957A7" w:rsidR="007C1765" w:rsidRPr="005B54EE" w:rsidRDefault="007C1765" w:rsidP="0018240E">
      <w:pPr>
        <w:autoSpaceDE w:val="0"/>
        <w:autoSpaceDN w:val="0"/>
        <w:adjustRightInd w:val="0"/>
        <w:rPr>
          <w:noProof/>
        </w:rPr>
      </w:pPr>
    </w:p>
    <w:p w14:paraId="60B486F8" w14:textId="277EDFFF" w:rsidR="007C1765" w:rsidRPr="005B54EE" w:rsidRDefault="007C1765" w:rsidP="0018240E">
      <w:pPr>
        <w:autoSpaceDE w:val="0"/>
        <w:autoSpaceDN w:val="0"/>
        <w:adjustRightInd w:val="0"/>
        <w:rPr>
          <w:noProof/>
        </w:rPr>
      </w:pPr>
    </w:p>
    <w:p w14:paraId="332007F4" w14:textId="77777777" w:rsidR="007C1765" w:rsidRPr="005B54EE" w:rsidRDefault="007C1765" w:rsidP="007C1765">
      <w:pPr>
        <w:autoSpaceDE w:val="0"/>
        <w:autoSpaceDN w:val="0"/>
        <w:adjustRightInd w:val="0"/>
        <w:rPr>
          <w:noProof/>
          <w:color w:val="00B050"/>
        </w:rPr>
      </w:pPr>
    </w:p>
    <w:p w14:paraId="6EDDDF86" w14:textId="77777777" w:rsidR="007C1765" w:rsidRPr="005B54EE" w:rsidRDefault="007C1765" w:rsidP="007C1765">
      <w:pPr>
        <w:rPr>
          <w:b/>
          <w:noProof/>
        </w:rPr>
      </w:pPr>
      <w:r w:rsidRPr="005B54EE">
        <w:rPr>
          <w:b/>
        </w:rPr>
        <w:t>The increase in vehicle occupancy</w:t>
      </w:r>
    </w:p>
    <w:p w14:paraId="50D5073F" w14:textId="77777777" w:rsidR="007C1765" w:rsidRPr="005B54EE" w:rsidRDefault="007C1765" w:rsidP="007C1765">
      <w:pPr>
        <w:rPr>
          <w:noProof/>
        </w:rPr>
      </w:pPr>
      <w:r w:rsidRPr="005B54EE">
        <w:t>The increase in vehicle occupancy is a quick way of reducing emissions and includes numerous co-benefits, both for users (buying power, access to mobility, togetherness) and for communities (reducing congestion and atmospheric pollution). In 2019, the government set the target of tripling the daily number of ride-share journeys by 2024 to reach 3 million.</w:t>
      </w:r>
    </w:p>
    <w:p w14:paraId="1783E790" w14:textId="77777777" w:rsidR="007C1765" w:rsidRPr="005B54EE" w:rsidRDefault="007C1765" w:rsidP="007C1765">
      <w:pPr>
        <w:autoSpaceDE w:val="0"/>
        <w:autoSpaceDN w:val="0"/>
        <w:adjustRightInd w:val="0"/>
        <w:spacing w:before="240" w:after="240"/>
        <w:rPr>
          <w:noProof/>
        </w:rPr>
      </w:pPr>
      <w:r w:rsidRPr="005B54EE">
        <w:t xml:space="preserve">Carpooling is encouraged, especially in the context of urban transport plans, and the State provides the necessary legal security for this travel mode. To this end, the Modernisation of Territorial Public Action and the Affirmation of Metropolitan Areas (MAPTAM Law) of 27 January 2014 adopted a definition of carpooling, which created, for the first time, a suitable legal framework for this practice, to enable its development, while clearly differentiating the activity from regular public transport, taxis and tourism vehicles with a driver. This same law enabled transport organisation authorities (AOM), in the event of non-existent, insufficient or inadequate private offers, to offer electronic platforms to the public to promote encounters regarding the carpooling supply and demand. These authorities may also create a distinctive sign for carpooling vehicles, after having drawn up its attribution conditions in advance. </w:t>
      </w:r>
    </w:p>
    <w:p w14:paraId="3A573377" w14:textId="77777777" w:rsidR="007C1765" w:rsidRPr="005B54EE" w:rsidRDefault="007C1765" w:rsidP="007C1765">
      <w:pPr>
        <w:autoSpaceDE w:val="0"/>
        <w:autoSpaceDN w:val="0"/>
        <w:adjustRightInd w:val="0"/>
        <w:spacing w:before="240" w:after="240"/>
        <w:rPr>
          <w:noProof/>
        </w:rPr>
      </w:pPr>
      <w:r w:rsidRPr="005B54EE">
        <w:t xml:space="preserve">The 2015 energy transition for green growth act also stipulates that companies and regional and local authorities must facilitate, as much as possible, carpooling solutions for travel between home and work for their employees and agents. </w:t>
      </w:r>
    </w:p>
    <w:p w14:paraId="3E5E1FE4" w14:textId="77777777" w:rsidR="007C1765" w:rsidRPr="005B54EE" w:rsidRDefault="007C1765" w:rsidP="007C1765">
      <w:pPr>
        <w:autoSpaceDE w:val="0"/>
        <w:autoSpaceDN w:val="0"/>
        <w:adjustRightInd w:val="0"/>
        <w:spacing w:before="240" w:after="240"/>
        <w:rPr>
          <w:noProof/>
        </w:rPr>
      </w:pPr>
      <w:r w:rsidRPr="005B54EE">
        <w:t>The Mobility Orientation Law on Transport (2019) allows local authorities to subsidise carpooling offers to make them even more attractive and to make it a fully-fledged solution. The Mobility Orientation Law on Transport created a sustainable mobility package, which enables all private and public employers to contribute to the expenses linked to travel between home and work, via carpooling or by bike for their employees. This fixed rate can go up to €700/year free of tax and social contributions.</w:t>
      </w:r>
    </w:p>
    <w:p w14:paraId="4964120D" w14:textId="77777777" w:rsidR="007C1765" w:rsidRPr="005B54EE" w:rsidRDefault="007C1765" w:rsidP="0018240E">
      <w:pPr>
        <w:autoSpaceDE w:val="0"/>
        <w:autoSpaceDN w:val="0"/>
        <w:adjustRightInd w:val="0"/>
        <w:rPr>
          <w:noProof/>
        </w:rPr>
      </w:pPr>
    </w:p>
    <w:p w14:paraId="785B8001" w14:textId="77777777" w:rsidR="0018240E" w:rsidRPr="005B54EE" w:rsidRDefault="0018240E" w:rsidP="0018240E">
      <w:pPr>
        <w:pStyle w:val="titreencadre"/>
        <w:spacing w:before="120" w:after="60" w:line="240" w:lineRule="auto"/>
        <w:rPr>
          <w:noProof/>
        </w:rPr>
      </w:pPr>
      <w:r w:rsidRPr="005B54EE">
        <w:t>Supporting the modal shift</w:t>
      </w:r>
    </w:p>
    <w:p w14:paraId="694A8C30" w14:textId="0D3DD34E" w:rsidR="0018240E" w:rsidRPr="005B54EE" w:rsidRDefault="0018240E" w:rsidP="0018240E">
      <w:pPr>
        <w:autoSpaceDE w:val="0"/>
        <w:autoSpaceDN w:val="0"/>
        <w:adjustRightInd w:val="0"/>
        <w:spacing w:before="240" w:after="240"/>
        <w:rPr>
          <w:noProof/>
        </w:rPr>
      </w:pPr>
      <w:r w:rsidRPr="005B54EE">
        <w:t>Supporting the modal shift towards transport methods with the lowest CO</w:t>
      </w:r>
      <w:r w:rsidRPr="005B54EE">
        <w:rPr>
          <w:vertAlign w:val="subscript"/>
        </w:rPr>
        <w:t>2</w:t>
      </w:r>
      <w:r w:rsidRPr="005B54EE">
        <w:t xml:space="preserve"> emissions mostly involves improving the offer of transport services and infrastructures providing an alternative to road transport, whether it be the urban and interurban transport of passengers or freight transport.</w:t>
      </w:r>
    </w:p>
    <w:p w14:paraId="6BF107F1" w14:textId="77777777" w:rsidR="0018240E" w:rsidRPr="005B54EE" w:rsidRDefault="0018240E" w:rsidP="0018240E">
      <w:pPr>
        <w:rPr>
          <w:b/>
          <w:i/>
          <w:u w:val="single"/>
        </w:rPr>
      </w:pPr>
      <w:r w:rsidRPr="005B54EE">
        <w:rPr>
          <w:b/>
          <w:i/>
          <w:u w:val="single"/>
        </w:rPr>
        <w:t>Supporting rail transport and public transport for passengers is a priority.</w:t>
      </w:r>
    </w:p>
    <w:p w14:paraId="18CAA815" w14:textId="77777777" w:rsidR="0018240E" w:rsidRPr="005B54EE" w:rsidRDefault="0018240E" w:rsidP="0018240E">
      <w:pPr>
        <w:autoSpaceDE w:val="0"/>
        <w:autoSpaceDN w:val="0"/>
        <w:adjustRightInd w:val="0"/>
        <w:spacing w:before="240" w:after="240"/>
        <w:rPr>
          <w:noProof/>
        </w:rPr>
      </w:pPr>
      <w:r w:rsidRPr="005B54EE">
        <w:t>The high-speed national rail transport networks are well developed and investments in this sector have been significant over the past few years with in particular the construction of four new high speed lines: Tours-Bordeaux, Brittany Pays-de-la-Loire, the East European High Speed Line, and the Nîmes-Montpellier Bypass (mixed passenger and freight line to alleviate the Nîmes-Montpellier road), i.e. 757 km of new high speed lines commissioned between 2015 and 2020.</w:t>
      </w:r>
    </w:p>
    <w:p w14:paraId="319EE71A" w14:textId="77777777" w:rsidR="0018240E" w:rsidRPr="005B54EE" w:rsidRDefault="0018240E" w:rsidP="0018240E">
      <w:pPr>
        <w:autoSpaceDE w:val="0"/>
        <w:autoSpaceDN w:val="0"/>
        <w:adjustRightInd w:val="0"/>
        <w:spacing w:before="240" w:after="240"/>
        <w:rPr>
          <w:noProof/>
        </w:rPr>
      </w:pPr>
      <w:r w:rsidRPr="005B54EE">
        <w:t>In terms of urban transport, dedicated transport corridors have been expanded greatly in major cities across France over the past 15 years. Since 2008, the State has accompanied dedicated transport corridor projects alongside transport organisation authorities by co-funding them in the framework of calls for projects. Four calls for projects aimed at transport organisation authorities with a metro, tramway or high level service bus project were launched between 2008 and 2021; the fourth call for project, dating back to 2021, will provide 900 million euros to fund dedicated transport corridors and multi-modal interchange stations.</w:t>
      </w:r>
    </w:p>
    <w:p w14:paraId="38149023" w14:textId="77777777" w:rsidR="0018240E" w:rsidRPr="005B54EE" w:rsidRDefault="0018240E" w:rsidP="0018240E">
      <w:pPr>
        <w:autoSpaceDE w:val="0"/>
        <w:autoSpaceDN w:val="0"/>
        <w:adjustRightInd w:val="0"/>
        <w:spacing w:before="240" w:after="240"/>
        <w:rPr>
          <w:noProof/>
        </w:rPr>
      </w:pPr>
      <w:r w:rsidRPr="005B54EE">
        <w:t>In Île-de-France, the Grand Paris transport project launched in 2013 is expected to improve the public transport service offered to passengers in terms of information and network operation, to modernise and develop the existing networks, build a new automatic underground network, and develop a direct link to Paris-Roissy airport. Eventually, 90% of the population of Ile-de-France is expected to have access to a station within a radius of less than 2km. This new network will considerably improve travel between suburbs and will unburden the current network. The aim is to progressively open all lines between 2019 and 2030.</w:t>
      </w:r>
    </w:p>
    <w:p w14:paraId="07EA5154" w14:textId="77777777" w:rsidR="0018240E" w:rsidRPr="005B54EE" w:rsidRDefault="0018240E" w:rsidP="0018240E">
      <w:pPr>
        <w:autoSpaceDE w:val="0"/>
        <w:autoSpaceDN w:val="0"/>
        <w:adjustRightInd w:val="0"/>
        <w:rPr>
          <w:noProof/>
        </w:rPr>
      </w:pPr>
    </w:p>
    <w:p w14:paraId="433EC959" w14:textId="77777777" w:rsidR="0018240E" w:rsidRPr="005B54EE" w:rsidRDefault="0018240E" w:rsidP="0018240E">
      <w:pPr>
        <w:autoSpaceDE w:val="0"/>
        <w:autoSpaceDN w:val="0"/>
        <w:adjustRightInd w:val="0"/>
        <w:rPr>
          <w:noProof/>
        </w:rPr>
      </w:pPr>
      <w:r w:rsidRPr="005B54EE">
        <w:t>The Mobility Orientation Law on Transport created a set of measures in favour of the modal shift:</w:t>
      </w:r>
    </w:p>
    <w:p w14:paraId="5ABF4042" w14:textId="77777777" w:rsidR="0018240E" w:rsidRPr="005B54EE" w:rsidRDefault="0018240E" w:rsidP="002F4FA6">
      <w:pPr>
        <w:pStyle w:val="ListParagraph"/>
        <w:numPr>
          <w:ilvl w:val="0"/>
          <w:numId w:val="29"/>
        </w:numPr>
        <w:autoSpaceDE w:val="0"/>
        <w:autoSpaceDN w:val="0"/>
        <w:adjustRightInd w:val="0"/>
        <w:rPr>
          <w:noProof/>
        </w:rPr>
      </w:pPr>
      <w:r w:rsidRPr="005B54EE">
        <w:t>A reinforcement of public and shared transports: a 40% increase in transport investments between the 2014-2018 and 2019-2023 period to improve daily transport, in particular;</w:t>
      </w:r>
    </w:p>
    <w:p w14:paraId="76111783" w14:textId="77777777" w:rsidR="0018240E" w:rsidRPr="005B54EE" w:rsidRDefault="0018240E" w:rsidP="002F4FA6">
      <w:pPr>
        <w:pStyle w:val="ListParagraph"/>
        <w:numPr>
          <w:ilvl w:val="0"/>
          <w:numId w:val="29"/>
        </w:numPr>
        <w:autoSpaceDE w:val="0"/>
        <w:autoSpaceDN w:val="0"/>
        <w:adjustRightInd w:val="0"/>
        <w:rPr>
          <w:noProof/>
        </w:rPr>
      </w:pPr>
      <w:r w:rsidRPr="005B54EE">
        <w:t>A framework and tools to encourage the development of alternatives to the private car, especially in rural areas (</w:t>
      </w:r>
      <w:r w:rsidRPr="005B54EE">
        <w:rPr>
          <w:b/>
          <w:bCs/>
        </w:rPr>
        <w:t>carpooling</w:t>
      </w:r>
      <w:r w:rsidRPr="005B54EE">
        <w:t>, demand-responsive services, availability of vehicle-sharing services).</w:t>
      </w:r>
    </w:p>
    <w:p w14:paraId="08C0003E" w14:textId="6C028CC2" w:rsidR="0018240E" w:rsidRPr="005B54EE" w:rsidRDefault="0018240E" w:rsidP="002F4FA6">
      <w:pPr>
        <w:pStyle w:val="ListParagraph"/>
        <w:numPr>
          <w:ilvl w:val="0"/>
          <w:numId w:val="29"/>
        </w:numPr>
        <w:autoSpaceDE w:val="0"/>
        <w:autoSpaceDN w:val="0"/>
        <w:adjustRightInd w:val="0"/>
        <w:rPr>
          <w:noProof/>
        </w:rPr>
      </w:pPr>
      <w:r w:rsidRPr="005B54EE">
        <w:t>Better multi-modal information (open data on mobility to make all mobility data accessible for a journey in a single click).</w:t>
      </w:r>
    </w:p>
    <w:p w14:paraId="48D6038B" w14:textId="77777777" w:rsidR="0018240E" w:rsidRPr="005B54EE" w:rsidRDefault="0018240E" w:rsidP="0018240E">
      <w:pPr>
        <w:autoSpaceDE w:val="0"/>
        <w:autoSpaceDN w:val="0"/>
        <w:adjustRightInd w:val="0"/>
        <w:ind w:left="360"/>
        <w:rPr>
          <w:noProof/>
        </w:rPr>
      </w:pPr>
    </w:p>
    <w:p w14:paraId="5552CE1A" w14:textId="77777777" w:rsidR="0018240E" w:rsidRPr="005B54EE" w:rsidRDefault="0018240E" w:rsidP="0018240E">
      <w:pPr>
        <w:autoSpaceDE w:val="0"/>
        <w:autoSpaceDN w:val="0"/>
        <w:adjustRightInd w:val="0"/>
        <w:rPr>
          <w:noProof/>
        </w:rPr>
      </w:pPr>
      <w:r w:rsidRPr="005B54EE">
        <w:t>A ‘sustainable mobility package’, enabling all private and public employers to contribute to the expenses linked to travel between home and work, via carpooling or by bike for their employees. This package currently goes up €700/year free of tax and social contributions (€800/year in the event of cumulation of the sustainable mobility package and the payment of public transport passes by the employer). The implementation of the package within each company is optional.</w:t>
      </w:r>
    </w:p>
    <w:p w14:paraId="64B996C8" w14:textId="77777777" w:rsidR="0018240E" w:rsidRPr="005B54EE" w:rsidRDefault="0018240E" w:rsidP="0018240E">
      <w:pPr>
        <w:autoSpaceDE w:val="0"/>
        <w:autoSpaceDN w:val="0"/>
        <w:adjustRightInd w:val="0"/>
        <w:rPr>
          <w:noProof/>
        </w:rPr>
      </w:pPr>
    </w:p>
    <w:p w14:paraId="3EDA609B" w14:textId="77777777" w:rsidR="0018240E" w:rsidRPr="005B54EE" w:rsidRDefault="0018240E" w:rsidP="0018240E">
      <w:pPr>
        <w:rPr>
          <w:b/>
          <w:i/>
          <w:u w:val="single"/>
        </w:rPr>
      </w:pPr>
      <w:r w:rsidRPr="005B54EE">
        <w:rPr>
          <w:b/>
          <w:i/>
          <w:u w:val="single"/>
        </w:rPr>
        <w:t>Incentive measures to encourage cycling</w:t>
      </w:r>
    </w:p>
    <w:p w14:paraId="5AB8EE01" w14:textId="77777777" w:rsidR="0018240E" w:rsidRPr="005B54EE" w:rsidRDefault="0018240E" w:rsidP="0018240E">
      <w:pPr>
        <w:autoSpaceDE w:val="0"/>
        <w:autoSpaceDN w:val="0"/>
        <w:adjustRightInd w:val="0"/>
        <w:spacing w:before="240" w:after="240"/>
        <w:rPr>
          <w:noProof/>
        </w:rPr>
      </w:pPr>
      <w:r w:rsidRPr="005B54EE">
        <w:t>Various measures have been implemented:</w:t>
      </w:r>
    </w:p>
    <w:p w14:paraId="038F7216" w14:textId="77777777" w:rsidR="0018240E" w:rsidRPr="005B54EE" w:rsidRDefault="0018240E" w:rsidP="002F4FA6">
      <w:pPr>
        <w:pStyle w:val="NormalWeb"/>
        <w:numPr>
          <w:ilvl w:val="0"/>
          <w:numId w:val="31"/>
        </w:numPr>
        <w:rPr>
          <w:rFonts w:ascii="Marianne" w:hAnsi="Marianne"/>
          <w:noProof/>
        </w:rPr>
      </w:pPr>
      <w:r w:rsidRPr="005B54EE">
        <w:rPr>
          <w:rFonts w:ascii="Marianne" w:hAnsi="Marianne"/>
        </w:rPr>
        <w:t>Support for purchases has been put in place: ecological bonus for the purchase of ‘electrically assisted bicycles’, ‘cargo bikes’; conversion bonus for the purchase of a new or second-hand electrically assisted bicycle or cargo bike in exchange for scrapping an old motorised vehicle. In low emission zones, the State grants an additional premium equivalent to the possible aid granted by the local and regional authorities, of up to €1,000. The conversion premium is broadened to one bike per person in the household with the same limit per bike.</w:t>
      </w:r>
    </w:p>
    <w:p w14:paraId="311861AD" w14:textId="77777777" w:rsidR="0018240E" w:rsidRPr="005B54EE" w:rsidRDefault="0018240E" w:rsidP="002F4FA6">
      <w:pPr>
        <w:pStyle w:val="NormalWeb"/>
        <w:numPr>
          <w:ilvl w:val="0"/>
          <w:numId w:val="31"/>
        </w:numPr>
        <w:rPr>
          <w:rFonts w:ascii="Marianne" w:hAnsi="Marianne"/>
          <w:noProof/>
        </w:rPr>
      </w:pPr>
      <w:r w:rsidRPr="005B54EE">
        <w:rPr>
          <w:rFonts w:ascii="Marianne" w:hAnsi="Marianne"/>
        </w:rPr>
        <w:t>To facilitate bicycle parking, there is an obligation to implement secure parking for bicycles when apartment buildings and offices are built, or when works are carried out on car parks, as well as the obligation to put the question of works enabling secure bicycle parking on the agenda of co-owners’ Ordinary General Meetings.</w:t>
      </w:r>
    </w:p>
    <w:p w14:paraId="0F67FFB8" w14:textId="77777777" w:rsidR="0018240E" w:rsidRPr="005B54EE" w:rsidRDefault="0018240E" w:rsidP="002F4FA6">
      <w:pPr>
        <w:pStyle w:val="NormalWeb"/>
        <w:numPr>
          <w:ilvl w:val="0"/>
          <w:numId w:val="31"/>
        </w:numPr>
        <w:rPr>
          <w:rFonts w:ascii="Marianne" w:hAnsi="Marianne"/>
          <w:noProof/>
        </w:rPr>
      </w:pPr>
      <w:r w:rsidRPr="005B54EE">
        <w:rPr>
          <w:rFonts w:ascii="Marianne" w:hAnsi="Marianne"/>
        </w:rPr>
        <w:t xml:space="preserve">There are financial incentives for using bicycles: sustainable mobility package enabling employers to fund the use of a bike for their employees (up to €700 per year); tax reductions for companies which provide a fleet of bikes for its employees free of charge for travelling between home and work (up to 25% of the purchase price for a bike fleet). </w:t>
      </w:r>
    </w:p>
    <w:p w14:paraId="23C9EF77" w14:textId="77777777" w:rsidR="0018240E" w:rsidRPr="005B54EE" w:rsidRDefault="0018240E" w:rsidP="002F4FA6">
      <w:pPr>
        <w:pStyle w:val="NormalWeb"/>
        <w:numPr>
          <w:ilvl w:val="0"/>
          <w:numId w:val="31"/>
        </w:numPr>
        <w:rPr>
          <w:rFonts w:ascii="Marianne" w:hAnsi="Marianne"/>
          <w:noProof/>
        </w:rPr>
      </w:pPr>
      <w:r w:rsidRPr="005B54EE">
        <w:rPr>
          <w:rFonts w:ascii="Marianne" w:hAnsi="Marianne"/>
        </w:rPr>
        <w:t>A bike fund, with a launch of calls for projects, was created to support and boost projects for the creation of cycle paths within communities, targeting discontinuities in cycle paths, in particular, and to ensure the safety of all users. The first bike plan created in 2018 has been extended and reinforced in the framework of the 2022-2027 bicycle and active mobilities plan.</w:t>
      </w:r>
    </w:p>
    <w:p w14:paraId="14F475DC" w14:textId="77777777" w:rsidR="0018240E" w:rsidRPr="005B54EE" w:rsidRDefault="0018240E" w:rsidP="002F4FA6">
      <w:pPr>
        <w:pStyle w:val="NormalWeb"/>
        <w:numPr>
          <w:ilvl w:val="0"/>
          <w:numId w:val="31"/>
        </w:numPr>
        <w:rPr>
          <w:rFonts w:ascii="Marianne" w:hAnsi="Marianne"/>
          <w:noProof/>
        </w:rPr>
      </w:pPr>
      <w:r w:rsidRPr="005B54EE">
        <w:rPr>
          <w:rFonts w:ascii="Marianne" w:hAnsi="Marianne"/>
        </w:rPr>
        <w:t>The progressive generalisation of bicycle markings, as well as the development of secure parking areas has been implemented to fight against theft and concealment;</w:t>
      </w:r>
    </w:p>
    <w:p w14:paraId="015A334C" w14:textId="77777777" w:rsidR="0018240E" w:rsidRPr="005B54EE" w:rsidRDefault="0018240E" w:rsidP="002F4FA6">
      <w:pPr>
        <w:pStyle w:val="NormalWeb"/>
        <w:numPr>
          <w:ilvl w:val="0"/>
          <w:numId w:val="31"/>
        </w:numPr>
        <w:rPr>
          <w:rFonts w:ascii="Marianne" w:hAnsi="Marianne"/>
          <w:noProof/>
        </w:rPr>
      </w:pPr>
      <w:r w:rsidRPr="005B54EE">
        <w:rPr>
          <w:rFonts w:ascii="Marianne" w:hAnsi="Marianne"/>
        </w:rPr>
        <w:t>The development of learning and of a bike culture at school has been implemented.</w:t>
      </w:r>
    </w:p>
    <w:p w14:paraId="7C6E8AD3" w14:textId="77777777" w:rsidR="0018240E" w:rsidRPr="005B54EE" w:rsidRDefault="0018240E" w:rsidP="0018240E">
      <w:pPr>
        <w:autoSpaceDE w:val="0"/>
        <w:autoSpaceDN w:val="0"/>
        <w:adjustRightInd w:val="0"/>
        <w:spacing w:before="240" w:after="240"/>
      </w:pPr>
    </w:p>
    <w:p w14:paraId="37D0C4E7" w14:textId="77777777" w:rsidR="0018240E" w:rsidRPr="005B54EE" w:rsidRDefault="0018240E" w:rsidP="0018240E">
      <w:pPr>
        <w:autoSpaceDE w:val="0"/>
        <w:autoSpaceDN w:val="0"/>
        <w:adjustRightInd w:val="0"/>
        <w:spacing w:before="240" w:after="240"/>
      </w:pPr>
      <w:r w:rsidRPr="005B54EE">
        <w:t>For long-distance travel, and in order to encourage the modal shift towards rail travel, air transport is taxed on plane tickets, as well as an obligation to offset emissions created by the climate and resilience law. These measures complement existing European measures (ETS and CORSIA).</w:t>
      </w:r>
    </w:p>
    <w:p w14:paraId="5F1EA7DC" w14:textId="77777777" w:rsidR="0018240E" w:rsidRPr="005B54EE" w:rsidRDefault="0018240E" w:rsidP="0018240E">
      <w:pPr>
        <w:rPr>
          <w:b/>
          <w:i/>
          <w:noProof/>
          <w:u w:val="single"/>
        </w:rPr>
      </w:pPr>
      <w:r w:rsidRPr="005B54EE">
        <w:rPr>
          <w:b/>
          <w:i/>
          <w:u w:val="single"/>
        </w:rPr>
        <w:t>Supporting rail and river transport for goods</w:t>
      </w:r>
    </w:p>
    <w:p w14:paraId="361A89E0" w14:textId="77777777" w:rsidR="0018240E" w:rsidRPr="005B54EE" w:rsidRDefault="0018240E" w:rsidP="0018240E">
      <w:pPr>
        <w:autoSpaceDE w:val="0"/>
        <w:autoSpaceDN w:val="0"/>
        <w:adjustRightInd w:val="0"/>
        <w:spacing w:before="240" w:after="240"/>
      </w:pPr>
      <w:r w:rsidRPr="005B54EE">
        <w:rPr>
          <w:b/>
          <w:bCs/>
        </w:rPr>
        <w:t>The climate and resilience law of</w:t>
      </w:r>
      <w:r w:rsidRPr="005B54EE">
        <w:t xml:space="preserve"> </w:t>
      </w:r>
      <w:r w:rsidRPr="005B54EE">
        <w:rPr>
          <w:b/>
          <w:bCs/>
        </w:rPr>
        <w:t>24 August 2021</w:t>
      </w:r>
      <w:r w:rsidRPr="005B54EE">
        <w:t xml:space="preserve"> set an objective of doubling the modal share of rail freight transport by 2030, increasing from 9% (in 2019) to 18%, as well as a 50% increase in the modal share of inland waterway transport by 2030. For rail freight transport, and in the longer term, the State set a goal of achieving a modal share of 25% for rail freight transport by 2050. To reach this target, the </w:t>
      </w:r>
      <w:r w:rsidRPr="005B54EE">
        <w:rPr>
          <w:b/>
          <w:bCs/>
        </w:rPr>
        <w:t xml:space="preserve">National strategy for the development of rail freight transport </w:t>
      </w:r>
      <w:r w:rsidRPr="005B54EE">
        <w:t xml:space="preserve">identifies 72 concrete measures dealing with the economic viability of services, the improvement of the network service quality, the strengthening of the performance of infrastructures enabling the development of rail freight transport; the development of the coordination with harbours and waterways. </w:t>
      </w:r>
    </w:p>
    <w:p w14:paraId="33281FE1" w14:textId="77777777" w:rsidR="0018240E" w:rsidRPr="005B54EE" w:rsidRDefault="0018240E" w:rsidP="0018240E">
      <w:pPr>
        <w:autoSpaceDE w:val="0"/>
        <w:autoSpaceDN w:val="0"/>
        <w:adjustRightInd w:val="0"/>
        <w:spacing w:before="240" w:after="240"/>
      </w:pPr>
      <w:r w:rsidRPr="005B54EE">
        <w:t>Combined transport, a transport system which combines road transport with other modes such as inland navigation, rail transport or short-distance maritime transport, is the subject of financial support. The aid scheme aims to reduce the additional cost linked to loading and unloading within the inter-modal chain compared to door-to-door road transport. Flat-rate aid will be paid for each inter-modal transport unit (ITU (containers, swap-bodies, semi-trailers, trailers) transshipped at a land or port terminal located on French metropolitan territory, and integrated in a transport chain including initial and final legs carried out by road at the endpoints of the main link.</w:t>
      </w:r>
    </w:p>
    <w:p w14:paraId="255BDBD9" w14:textId="77777777" w:rsidR="0018240E" w:rsidRPr="005B54EE" w:rsidRDefault="0018240E" w:rsidP="0018240E">
      <w:pPr>
        <w:rPr>
          <w:b/>
          <w:i/>
          <w:noProof/>
          <w:u w:val="single"/>
        </w:rPr>
      </w:pPr>
      <w:r w:rsidRPr="005B54EE">
        <w:rPr>
          <w:b/>
          <w:i/>
          <w:u w:val="single"/>
        </w:rPr>
        <w:t>Information for users of transport services</w:t>
      </w:r>
    </w:p>
    <w:p w14:paraId="500DD6E4" w14:textId="77777777" w:rsidR="0018240E" w:rsidRPr="005B54EE" w:rsidRDefault="0018240E" w:rsidP="0018240E">
      <w:pPr>
        <w:autoSpaceDE w:val="0"/>
        <w:autoSpaceDN w:val="0"/>
        <w:adjustRightInd w:val="0"/>
        <w:spacing w:before="240" w:after="240"/>
        <w:rPr>
          <w:noProof/>
        </w:rPr>
      </w:pPr>
      <w:r w:rsidRPr="005B54EE">
        <w:t>A main line of action regarding the policy to support the modal shift involves improving the information for users of transport services via the greenhouse gases information system for transport services. Transport service providers for passengers and goods or removal services must provide information on the quantity of greenhouse gases emitted by the services provided for their customers.</w:t>
      </w:r>
    </w:p>
    <w:p w14:paraId="3DF9D879" w14:textId="77777777" w:rsidR="0018240E" w:rsidRPr="005B54EE" w:rsidRDefault="0018240E" w:rsidP="0018240E">
      <w:pPr>
        <w:rPr>
          <w:b/>
          <w:i/>
          <w:u w:val="single"/>
        </w:rPr>
      </w:pPr>
      <w:r w:rsidRPr="005B54EE">
        <w:rPr>
          <w:b/>
          <w:i/>
          <w:u w:val="single"/>
        </w:rPr>
        <w:t>Initiatives focused on several levers</w:t>
      </w:r>
    </w:p>
    <w:p w14:paraId="34F26629" w14:textId="77777777" w:rsidR="0018240E" w:rsidRPr="005B54EE" w:rsidRDefault="0018240E" w:rsidP="0018240E">
      <w:pPr>
        <w:autoSpaceDE w:val="0"/>
        <w:autoSpaceDN w:val="0"/>
        <w:adjustRightInd w:val="0"/>
        <w:spacing w:before="240" w:after="240"/>
        <w:rPr>
          <w:noProof/>
        </w:rPr>
      </w:pPr>
      <w:r w:rsidRPr="005B54EE">
        <w:t xml:space="preserve">Conurbations with more than 150,000 inhabitants located in metropolitan France must introduce a </w:t>
      </w:r>
      <w:r w:rsidRPr="005B54EE">
        <w:rPr>
          <w:b/>
          <w:bCs/>
        </w:rPr>
        <w:t>low emission mobility zone</w:t>
      </w:r>
      <w:r w:rsidRPr="005B54EE">
        <w:t xml:space="preserve"> before 31 December 2024. For low emission zones where the air quality standards are not achieved, the following, at least, are prohibited: at the latest by 1st January 2025, diesel vehicles and similar whose initial registration is prior to 31 December 2010, as well as petrol vehicles and similar whose initial registration is prior to 31 December 2005.</w:t>
      </w:r>
    </w:p>
    <w:p w14:paraId="52460251" w14:textId="0315534C" w:rsidR="0018240E" w:rsidRPr="005B54EE" w:rsidRDefault="0018240E" w:rsidP="0018240E">
      <w:pPr>
        <w:autoSpaceDE w:val="0"/>
        <w:autoSpaceDN w:val="0"/>
        <w:adjustRightInd w:val="0"/>
        <w:spacing w:before="240" w:after="240"/>
        <w:rPr>
          <w:noProof/>
        </w:rPr>
      </w:pPr>
      <w:r w:rsidRPr="005B54EE">
        <w:t>Funded in the framework of energy saving certificates (CEE), the EVE programme (Voluntary Commitments for the Environment - Transport and Logistics) aims to accompany transport and logistics service providers (transporters, forwarders, and shippers) towards the improvement of their energy and environmental performance. It is based on three voluntary commitment measures: ‘Objectif CO2’ for transporters of goods and passengers, ‘FRET21’ for shippers and ‘EVcom’ for forwarders.</w:t>
      </w:r>
    </w:p>
    <w:p w14:paraId="62D3CBF1" w14:textId="33F60F03" w:rsidR="0018240E" w:rsidRPr="005B54EE" w:rsidRDefault="0018240E" w:rsidP="002F4FA6">
      <w:pPr>
        <w:pStyle w:val="ListParagraph"/>
        <w:numPr>
          <w:ilvl w:val="0"/>
          <w:numId w:val="30"/>
        </w:numPr>
        <w:autoSpaceDE w:val="0"/>
        <w:autoSpaceDN w:val="0"/>
        <w:adjustRightInd w:val="0"/>
        <w:spacing w:before="240" w:after="240"/>
        <w:rPr>
          <w:noProof/>
        </w:rPr>
      </w:pPr>
      <w:r w:rsidRPr="005B54EE">
        <w:t>The ‘Objectif CO2’ scheme, which emerged from the commitment charter initiated in 2008, shall provide greenhouse gas emission evaluation tools for the implementation of an action plan over 3 years to reduce GHGs according to 4 areas of focus: vehicle, fuel, driver, organisation of flows.</w:t>
      </w:r>
    </w:p>
    <w:p w14:paraId="7243D9AE" w14:textId="77777777" w:rsidR="0018240E" w:rsidRPr="005B54EE" w:rsidRDefault="0018240E" w:rsidP="002F4FA6">
      <w:pPr>
        <w:pStyle w:val="ListParagraph"/>
        <w:numPr>
          <w:ilvl w:val="0"/>
          <w:numId w:val="30"/>
        </w:numPr>
        <w:autoSpaceDE w:val="0"/>
        <w:autoSpaceDN w:val="0"/>
        <w:adjustRightInd w:val="0"/>
        <w:spacing w:before="240" w:after="240"/>
        <w:rPr>
          <w:noProof/>
        </w:rPr>
      </w:pPr>
      <w:r w:rsidRPr="005B54EE">
        <w:t>The ‘FRET21’ scheme aims to encourage and support shippers in reducing greenhouse gas emissions generated by goods transport linked to their activity, through the quantification of the environmental impact of their transports and the implementation of actions to reduce their emissions over 3 years according to 4 areas of focus: loading ratio, distance travelled, means of transport, responsible purchasing.</w:t>
      </w:r>
    </w:p>
    <w:p w14:paraId="3002CF17" w14:textId="7DB06019" w:rsidR="0018240E" w:rsidRPr="005B54EE" w:rsidRDefault="0018240E" w:rsidP="002F4FA6">
      <w:pPr>
        <w:pStyle w:val="ListParagraph"/>
        <w:numPr>
          <w:ilvl w:val="0"/>
          <w:numId w:val="30"/>
        </w:numPr>
        <w:autoSpaceDE w:val="0"/>
        <w:autoSpaceDN w:val="0"/>
        <w:adjustRightInd w:val="0"/>
        <w:spacing w:before="240" w:after="240"/>
        <w:rPr>
          <w:noProof/>
        </w:rPr>
      </w:pPr>
      <w:r w:rsidRPr="005B54EE">
        <w:t>The ‘EVcom’ scheme, similar to the two previous ones, is for freight forwarders. The actions to reduce their emissions over 3 years are based on 4 areas of focus: own fleet, transport purchasing, client collaboration and CSR (corporate social responsibility) approach.</w:t>
      </w:r>
    </w:p>
    <w:p w14:paraId="60B8B85A" w14:textId="77777777" w:rsidR="005366DA" w:rsidRPr="005B54EE" w:rsidRDefault="005366DA" w:rsidP="005366DA">
      <w:pPr>
        <w:ind w:left="360"/>
        <w:rPr>
          <w:rFonts w:ascii="CIDFont+F1" w:eastAsiaTheme="minorHAnsi" w:hAnsi="CIDFont+F1" w:cs="CIDFont+F1"/>
          <w:sz w:val="20"/>
          <w:szCs w:val="20"/>
        </w:rPr>
      </w:pPr>
      <w:r w:rsidRPr="005B54EE">
        <w:t>In the context of this programme, an environmental data exchange platform between transport actors has been implemented to establish a common tool between these three schemes and to facilitate the transmission of environmental information on transport services, such as the greenhouse gases information (see below).</w:t>
      </w:r>
    </w:p>
    <w:p w14:paraId="51762E98" w14:textId="77777777" w:rsidR="005366DA" w:rsidRPr="005B54EE" w:rsidRDefault="005366DA" w:rsidP="005366DA">
      <w:pPr>
        <w:autoSpaceDE w:val="0"/>
        <w:autoSpaceDN w:val="0"/>
        <w:adjustRightInd w:val="0"/>
        <w:spacing w:before="240" w:after="240"/>
        <w:rPr>
          <w:noProof/>
        </w:rPr>
      </w:pPr>
    </w:p>
    <w:p w14:paraId="76CF67F7" w14:textId="0C083C5D" w:rsidR="0018240E" w:rsidRPr="005B54EE" w:rsidRDefault="0018240E" w:rsidP="0018240E">
      <w:pPr>
        <w:pStyle w:val="Titre4niveau4"/>
        <w:spacing w:before="240"/>
        <w:rPr>
          <w:noProof/>
        </w:rPr>
      </w:pPr>
      <w:r w:rsidRPr="005B54EE">
        <w:t>Policies and measures focused on the CO</w:t>
      </w:r>
      <w:r w:rsidRPr="005B54EE">
        <w:rPr>
          <w:vertAlign w:val="subscript"/>
        </w:rPr>
        <w:t>2</w:t>
      </w:r>
      <w:r w:rsidRPr="005B54EE">
        <w:t xml:space="preserve"> emissions of international transport</w:t>
      </w:r>
    </w:p>
    <w:p w14:paraId="0DD45AEE" w14:textId="77777777" w:rsidR="0018240E" w:rsidRPr="005B54EE" w:rsidRDefault="0018240E" w:rsidP="0018240E">
      <w:pPr>
        <w:pStyle w:val="titreencadre"/>
        <w:spacing w:before="120" w:after="60" w:line="240" w:lineRule="auto"/>
        <w:rPr>
          <w:noProof/>
        </w:rPr>
      </w:pPr>
      <w:r w:rsidRPr="005B54EE">
        <w:t xml:space="preserve">Air transport </w:t>
      </w:r>
    </w:p>
    <w:p w14:paraId="26B11B07" w14:textId="77777777" w:rsidR="0018240E" w:rsidRPr="005B54EE" w:rsidRDefault="0018240E" w:rsidP="0018240E">
      <w:pPr>
        <w:autoSpaceDE w:val="0"/>
        <w:autoSpaceDN w:val="0"/>
        <w:adjustRightInd w:val="0"/>
        <w:spacing w:before="240" w:after="240"/>
        <w:rPr>
          <w:noProof/>
        </w:rPr>
      </w:pPr>
      <w:r w:rsidRPr="005B54EE">
        <w:t>Intra-European flights are included in the European Union Emissions Trading System (EU ETS). Indeed, the European Union adopted the Directive 2008/101/EC of 19 November 2008 which modified the directive 2003/87/EC in order to integrate air activities in the European Union Emissions Trading System for greenhouse gases. Since 2012, the scheme has applied to all flights to and from the European Union (a temporary suspension was however granted from 24 April 2013 for international flights).</w:t>
      </w:r>
    </w:p>
    <w:p w14:paraId="7366A8B7" w14:textId="0D32398B" w:rsidR="0018240E" w:rsidRPr="005B54EE" w:rsidRDefault="0018240E" w:rsidP="0018240E">
      <w:pPr>
        <w:autoSpaceDE w:val="0"/>
        <w:autoSpaceDN w:val="0"/>
        <w:adjustRightInd w:val="0"/>
        <w:spacing w:before="240" w:after="240"/>
        <w:rPr>
          <w:noProof/>
        </w:rPr>
      </w:pPr>
      <w:r w:rsidRPr="005B54EE">
        <w:t>France incidentally supports the International Civil Aviation Organization (ICAO)’s work in favour of reducing the emissions of international air transport. In the framework of CORSIA (Carbon Offsetting and Reduction Scheme for International Aviation), airline companies must, during the 2021-2023 pilot phase, purchase carbon offsets to cover their emissions above 2019 levels, then from 2024, offset their emissions in excess of 85% of their 2019 emissions level. In the first phase, only airlines from volunteer countries (including the European Union) shall participate.</w:t>
      </w:r>
    </w:p>
    <w:p w14:paraId="44637821" w14:textId="77777777" w:rsidR="0018240E" w:rsidRPr="005B54EE" w:rsidRDefault="0018240E" w:rsidP="0018240E">
      <w:pPr>
        <w:autoSpaceDE w:val="0"/>
        <w:autoSpaceDN w:val="0"/>
        <w:adjustRightInd w:val="0"/>
        <w:spacing w:before="240" w:after="240"/>
        <w:rPr>
          <w:noProof/>
        </w:rPr>
      </w:pPr>
      <w:r w:rsidRPr="005B54EE">
        <w:t>The Climate and Resilience Law of 22 August 2021 provides for several measures concerning aviation, including, in particular: i) the obligation for airline companies to offset emissions for domestic flights (including for French overseas departments), according to a progressive schedule (50%/70%/100% of emissions for 2022/2023/2024 and later) ii) the cancellation of flights when a rail alternative of less than 2.5 hours exists.</w:t>
      </w:r>
    </w:p>
    <w:p w14:paraId="3704695F" w14:textId="77777777" w:rsidR="0018240E" w:rsidRPr="005B54EE" w:rsidRDefault="0018240E" w:rsidP="0018240E">
      <w:pPr>
        <w:pStyle w:val="titreencadre"/>
        <w:spacing w:before="120" w:after="60" w:line="240" w:lineRule="auto"/>
        <w:rPr>
          <w:noProof/>
        </w:rPr>
      </w:pPr>
      <w:r w:rsidRPr="005B54EE">
        <w:t xml:space="preserve">Maritime transport </w:t>
      </w:r>
    </w:p>
    <w:p w14:paraId="6746ABF5" w14:textId="77777777" w:rsidR="0083034E" w:rsidRPr="005B54EE" w:rsidRDefault="0083034E" w:rsidP="0083034E">
      <w:pPr>
        <w:autoSpaceDE w:val="0"/>
        <w:autoSpaceDN w:val="0"/>
        <w:adjustRightInd w:val="0"/>
        <w:spacing w:before="240" w:after="240"/>
        <w:rPr>
          <w:noProof/>
        </w:rPr>
      </w:pPr>
      <w:r w:rsidRPr="005B54EE">
        <w:t>In 2015, the European Union adopted the Regulation 2015/757 which implemented a measurement, reporting and verification (MRV) system of the CO</w:t>
      </w:r>
      <w:r w:rsidRPr="005B54EE">
        <w:rPr>
          <w:vertAlign w:val="subscript"/>
        </w:rPr>
        <w:t>2</w:t>
      </w:r>
      <w:r w:rsidRPr="005B54EE">
        <w:t xml:space="preserve"> emissions of ships. From 1 January 2018, shipping companies must measure and report their ships’ emissions every year for all travel within the EU, all travel to the EU (between the last port situated outside of the EU and first port of call located within the EU), all travel between a port in the EU and the first port of call outside of the EU, as well as CO2 emissions produced in EU ports. These rules apply without discrimination to all ships, regardless of the flag they fly. </w:t>
      </w:r>
    </w:p>
    <w:p w14:paraId="1D3FC0C7" w14:textId="77777777" w:rsidR="0083034E" w:rsidRPr="005B54EE" w:rsidRDefault="0083034E" w:rsidP="0083034E">
      <w:pPr>
        <w:autoSpaceDE w:val="0"/>
        <w:autoSpaceDN w:val="0"/>
        <w:adjustRightInd w:val="0"/>
        <w:spacing w:before="240" w:after="240"/>
      </w:pPr>
      <w:r w:rsidRPr="005B54EE">
        <w:t>In the framework of the ‘Fit for 55’ package, in July 2021, the European Commission put forward the inclusion of maritime transport in the European Union Emissions Trading System (EU ETS), as well as a draft text aiming to increase the demand for renewable and low carbon fuels in maritime transport (‘FuelEU Maritime’ regulation) and a draft text to encourage the deployment of alternative fuel infrastructures, especially in ports (‘AFIR’ regulation). The French Presidency of the European Union reached an agreement within the Council on these three texts in June 2022, and trilogue negotiations are underway.</w:t>
      </w:r>
    </w:p>
    <w:p w14:paraId="31D365EA" w14:textId="77777777" w:rsidR="0083034E" w:rsidRPr="005B54EE" w:rsidRDefault="0083034E" w:rsidP="0083034E">
      <w:pPr>
        <w:autoSpaceDE w:val="0"/>
        <w:autoSpaceDN w:val="0"/>
        <w:adjustRightInd w:val="0"/>
        <w:spacing w:before="240" w:after="240"/>
        <w:rPr>
          <w:noProof/>
        </w:rPr>
      </w:pPr>
      <w:r w:rsidRPr="005B54EE">
        <w:t>France also supports the IMO’s work in favour of reducing the emissions of international maritime transport.</w:t>
      </w:r>
    </w:p>
    <w:p w14:paraId="693A17D7" w14:textId="77777777" w:rsidR="0083034E" w:rsidRPr="005B54EE" w:rsidRDefault="0083034E" w:rsidP="0018240E">
      <w:pPr>
        <w:autoSpaceDE w:val="0"/>
        <w:autoSpaceDN w:val="0"/>
        <w:adjustRightInd w:val="0"/>
        <w:spacing w:before="240" w:after="240"/>
        <w:rPr>
          <w:noProof/>
        </w:rPr>
      </w:pPr>
    </w:p>
    <w:p w14:paraId="09A676D5" w14:textId="5B2BD7A9" w:rsidR="00630A34" w:rsidRPr="005B54EE" w:rsidRDefault="00630A34" w:rsidP="00B04A7C">
      <w:pPr>
        <w:pStyle w:val="Titre3Niveau3"/>
      </w:pPr>
      <w:bookmarkStart w:id="56" w:name="_Toc121149511"/>
      <w:bookmarkStart w:id="57" w:name="_Ref122701470"/>
      <w:bookmarkStart w:id="58" w:name="_Toc138344675"/>
      <w:r w:rsidRPr="005B54EE">
        <w:t>Residential/tertiary</w:t>
      </w:r>
      <w:bookmarkEnd w:id="56"/>
      <w:bookmarkEnd w:id="57"/>
      <w:bookmarkEnd w:id="58"/>
    </w:p>
    <w:p w14:paraId="073B07AB" w14:textId="61CD6ACE" w:rsidR="0018240E" w:rsidRPr="005B54EE" w:rsidRDefault="0018240E" w:rsidP="0018240E">
      <w:pPr>
        <w:spacing w:before="240" w:after="240"/>
      </w:pPr>
      <w:r w:rsidRPr="005B54EE">
        <w:t>This sector represents 18% of national emissions in 2021 (excluding LULUCF).</w:t>
      </w:r>
      <w:r w:rsidRPr="005B54EE">
        <w:rPr>
          <w:rStyle w:val="FootnoteReference"/>
        </w:rPr>
        <w:footnoteReference w:id="4"/>
      </w:r>
      <w:r w:rsidRPr="005B54EE">
        <w:t xml:space="preserve"> It is the fourth largest emitting sector of greenhouse gases after the manufacturing industry, agriculture and transport sectors. Carbon dioxide (CO</w:t>
      </w:r>
      <w:r w:rsidRPr="005B54EE">
        <w:rPr>
          <w:vertAlign w:val="subscript"/>
        </w:rPr>
        <w:t>2</w:t>
      </w:r>
      <w:r w:rsidRPr="005B54EE">
        <w:t>) is the main gas emitted and it concerns 85% of the building sector’s emissions. The remaining 16% are split between fluorinated gases (8%), and other gases like nitrous oxide and methane (7%).</w:t>
      </w:r>
    </w:p>
    <w:p w14:paraId="7EA1CCC3" w14:textId="011BF6EB" w:rsidR="0018240E" w:rsidRPr="005B54EE" w:rsidRDefault="0018240E" w:rsidP="0018240E">
      <w:pPr>
        <w:pStyle w:val="Titre4niveau4"/>
        <w:spacing w:before="240"/>
      </w:pPr>
      <w:r w:rsidRPr="005B54EE">
        <w:t>Measures aiming to reduce residential/tertiary CO</w:t>
      </w:r>
      <w:r w:rsidRPr="005B54EE">
        <w:rPr>
          <w:vertAlign w:val="subscript"/>
        </w:rPr>
        <w:t>2</w:t>
      </w:r>
      <w:r w:rsidRPr="005B54EE">
        <w:t xml:space="preserve"> emissions </w:t>
      </w:r>
    </w:p>
    <w:p w14:paraId="20394409" w14:textId="24459121" w:rsidR="0018240E" w:rsidRPr="005B54EE" w:rsidRDefault="0018240E" w:rsidP="0018240E">
      <w:pPr>
        <w:spacing w:before="240" w:after="240"/>
      </w:pPr>
      <w:r w:rsidRPr="005B54EE">
        <w:t xml:space="preserve">The measures implemented to reduce residential/tertiary CO2 emissions are mainly aimed at improving the thermal performance of the building envelope, encouraging the use of efficient heating equipment which uses the least carbon-intensive energy sources, and improving the energy efficiency of other types of equipment (lighting, cooking, domestic hot water, electricity for specific appliances). These levers are available to new buildings and existing buildings. </w:t>
      </w:r>
    </w:p>
    <w:p w14:paraId="4FF3D606" w14:textId="77777777" w:rsidR="0018240E" w:rsidRPr="005B54EE" w:rsidRDefault="0018240E" w:rsidP="0018240E">
      <w:pPr>
        <w:spacing w:before="240" w:after="240"/>
        <w:rPr>
          <w:b/>
          <w:i/>
        </w:rPr>
      </w:pPr>
      <w:r w:rsidRPr="005B54EE">
        <w:rPr>
          <w:b/>
          <w:i/>
        </w:rPr>
        <w:t xml:space="preserve">For new buildings </w:t>
      </w:r>
    </w:p>
    <w:p w14:paraId="58668C54" w14:textId="77777777" w:rsidR="0018240E" w:rsidRPr="005B54EE" w:rsidRDefault="0018240E" w:rsidP="0018240E">
      <w:pPr>
        <w:spacing w:before="240" w:after="240"/>
      </w:pPr>
      <w:r w:rsidRPr="005B54EE">
        <w:t>The energy performance of new buildings has been integrated in the construction rules since the first oil crisis of 1973. The thermal regulations which apply to new buildings have been progressively reinforced.</w:t>
      </w:r>
    </w:p>
    <w:p w14:paraId="71225EC9" w14:textId="190B4ECB" w:rsidR="0018240E" w:rsidRPr="005B54EE" w:rsidRDefault="0018240E" w:rsidP="0018240E">
      <w:pPr>
        <w:spacing w:before="240" w:after="240"/>
      </w:pPr>
      <w:r w:rsidRPr="005B54EE">
        <w:t>All buildings whose building permit was submitted after 1 January 2013 are subject to the Thermal Regulation 2012 (RT 2012). These buildings must have a primary energy consumption of less than 50 kWh/m²/year on average. This obligation was applied in anticipation from 28 October 2011 for office buildings, for primary and secondary schools, and for establishments caring for small children. The requirement of 50 kWh/m²/year on average is based on the consumption of heating, cooling, lighting, hot water production for sanitary use and auxiliary installations (pumps and ventilators). This threshold is also modulated according to the geographic location, the altitude, the building’s type of usage, the average surface area of the accommodation, and the greenhouse gas emissions of the energies used. Regarding this last point, only buildings using wood energy and heating networks with the lowest CO</w:t>
      </w:r>
      <w:r w:rsidRPr="005B54EE">
        <w:rPr>
          <w:vertAlign w:val="subscript"/>
        </w:rPr>
        <w:t>2</w:t>
      </w:r>
      <w:r w:rsidRPr="005B54EE">
        <w:t xml:space="preserve"> emissions benefit from a modulation of the consumption threshold in primary energy, limited to 30% maximum.</w:t>
      </w:r>
    </w:p>
    <w:p w14:paraId="4E9B30EA" w14:textId="77777777" w:rsidR="0018240E" w:rsidRPr="005B54EE" w:rsidRDefault="0018240E" w:rsidP="0018240E">
      <w:pPr>
        <w:spacing w:before="240" w:after="240"/>
      </w:pPr>
      <w:r w:rsidRPr="005B54EE">
        <w:t xml:space="preserve">The </w:t>
      </w:r>
      <w:r w:rsidRPr="005B54EE">
        <w:rPr>
          <w:b/>
          <w:bCs/>
        </w:rPr>
        <w:t>testing of the</w:t>
      </w:r>
      <w:r w:rsidRPr="005B54EE">
        <w:t xml:space="preserve"> ‘</w:t>
      </w:r>
      <w:r w:rsidRPr="005B54EE">
        <w:rPr>
          <w:b/>
        </w:rPr>
        <w:t>Positive-Energy and Low-Carbon Buildings (E+C-)’</w:t>
      </w:r>
      <w:r w:rsidRPr="005B54EE">
        <w:t xml:space="preserve"> </w:t>
      </w:r>
      <w:r w:rsidRPr="005B54EE">
        <w:rPr>
          <w:b/>
          <w:bCs/>
        </w:rPr>
        <w:t>label</w:t>
      </w:r>
      <w:r w:rsidRPr="005B54EE">
        <w:t xml:space="preserve"> for the construction of model buildings was launched in late 2016. This testing prepared the environmental regulations for new buildings (RE2020), which generalises positive-energy buildings and the deployment of low carbon buildings throughout their life cycle, from design to demolition. This label implements an innovative environmental standard for new buildings, which brings together requirements in terms of energy and greenhouse gas emissions in the building. Thanks to this double ‘energy’ and ‘carbon’ criterion, it enables project owners to choose the appropriate combination depending on the characteristics of the area, the type of building, and the costs incurred. This experimentation aims to test the adequacy between the level of environmental ambition, the control of construction costs, the capacity of companies and equipment manufacturers to meet these aims on site. France thus commits the building sector to positive-energy and low-carbon construction. </w:t>
      </w:r>
    </w:p>
    <w:p w14:paraId="32B0706D" w14:textId="77777777" w:rsidR="0018240E" w:rsidRPr="005B54EE" w:rsidRDefault="0018240E" w:rsidP="0018240E">
      <w:pPr>
        <w:spacing w:before="240" w:after="240"/>
      </w:pPr>
      <w:r w:rsidRPr="005B54EE">
        <w:t>To encourage project owners to construct model buildings from an energy and environmental point of view, the energy transition for green growth act of 17 August 2015 provides the possibility of obtaining a constructibility bonus for this type of building. The competent authority in terms of urban planning may authorise the constructibility rules to be exceeded by 30% at most for new buildings (new building or extension), if they demonstrate exemplary energy or environmental performance or are energy positive. This initiative enables the economic balance of these operations to be improved and to absorb the extra cost linked to the effort in achieving this exemplary status, in part.</w:t>
      </w:r>
    </w:p>
    <w:p w14:paraId="35D5E342" w14:textId="77777777" w:rsidR="0018240E" w:rsidRPr="005B54EE" w:rsidRDefault="0018240E" w:rsidP="0018240E">
      <w:pPr>
        <w:spacing w:before="240" w:after="240"/>
      </w:pPr>
      <w:r w:rsidRPr="005B54EE">
        <w:t xml:space="preserve">In 2020, France moved from a thermal regulation (RT2012) to an </w:t>
      </w:r>
      <w:r w:rsidRPr="005B54EE">
        <w:rPr>
          <w:b/>
          <w:bCs/>
        </w:rPr>
        <w:t>environmental regulation</w:t>
      </w:r>
      <w:r w:rsidRPr="005B54EE">
        <w:t>, the RE2020. Introduced by article 181 of the Evolution of Housing, Development and Digital Technology (ELAN) law, it is more ambitious and demanding for the construction sector. Thus, construction projects for single-family homes and collective housing for which a building permit application or prior declaration has been submitted as of 1 January 2022 and construction projects for offices and primary and secondary education buildings for which a building permit application or prior declaration has been submitted as of 1 July 2022 are subject to the RE2020. RE2020 implements an innovative environmental standard for new buildings, assembling requirements in terms of reducing energy consumption, developing the use of renewable energies, and taking into account greenhouse gas emissions over the building’s entire life cycle (from its construction to its demolition, as well as its use).</w:t>
      </w:r>
    </w:p>
    <w:p w14:paraId="697C36C3" w14:textId="77777777" w:rsidR="0018240E" w:rsidRPr="005B54EE" w:rsidRDefault="0018240E" w:rsidP="0018240E">
      <w:pPr>
        <w:spacing w:before="240" w:after="240"/>
      </w:pPr>
      <w:r w:rsidRPr="005B54EE">
        <w:t xml:space="preserve">Furthermore, since 2008, for all new buildings with a surface area of over 1,000 m², a technical and economical </w:t>
      </w:r>
      <w:r w:rsidRPr="005B54EE">
        <w:rPr>
          <w:b/>
          <w:bCs/>
        </w:rPr>
        <w:t xml:space="preserve">feasibility study, </w:t>
      </w:r>
      <w:r w:rsidRPr="005B54EE">
        <w:t>regarding the construction’s various energy supply solutions, must be carried out. This initiative aims to encourage the use of renewable energies and the most efficient systems. In 2014, the field of application of this initiative was extended to all new buildings over 50</w:t>
      </w:r>
      <w:r w:rsidRPr="005B54EE">
        <w:rPr>
          <w:rFonts w:ascii="Calibri" w:hAnsi="Calibri"/>
        </w:rPr>
        <w:t> </w:t>
      </w:r>
      <w:r w:rsidRPr="005B54EE">
        <w:t xml:space="preserve">m² (except for detached or semi-detached houses and extensions of existing buildings). </w:t>
      </w:r>
    </w:p>
    <w:p w14:paraId="5D4DC43C" w14:textId="77777777" w:rsidR="0018240E" w:rsidRPr="005B54EE" w:rsidRDefault="0018240E" w:rsidP="0018240E">
      <w:pPr>
        <w:spacing w:before="240" w:after="240"/>
      </w:pPr>
      <w:r w:rsidRPr="005B54EE">
        <w:t xml:space="preserve">In addition, to help promote the use of local resources, boost the local economic fabric and encourage the development and structuring of eco-industries within the territories, and to offer a wide range of materials and products for project owners, a </w:t>
      </w:r>
      <w:r w:rsidRPr="005B54EE">
        <w:rPr>
          <w:b/>
          <w:bCs/>
        </w:rPr>
        <w:t>‘Biosourced Building’ label</w:t>
      </w:r>
      <w:r w:rsidRPr="005B54EE">
        <w:t xml:space="preserve"> was created in 2012. The attribution of this label (according to 3 requirement levels defined by decree) aims, for project owners who request them, to showcase new constructions integrating a significant proportion of biomass in the materials used.</w:t>
      </w:r>
    </w:p>
    <w:p w14:paraId="0B6E1322" w14:textId="77777777" w:rsidR="0018240E" w:rsidRPr="005B54EE" w:rsidRDefault="0018240E" w:rsidP="0018240E">
      <w:pPr>
        <w:spacing w:before="240" w:after="240"/>
      </w:pPr>
      <w:r w:rsidRPr="005B54EE">
        <w:t xml:space="preserve">Finally, the energy transition for green growth act of August 2015 stipulates that new public building constructions (constructions under State supervision of public establishments or regional and local authorities) must set a good example in terms of energy and the environment and must be, wherever possible, energy positive and have a high environmental performance. This obligation came into effect in 2017. </w:t>
      </w:r>
    </w:p>
    <w:p w14:paraId="18E0B0F5" w14:textId="77777777" w:rsidR="0018240E" w:rsidRPr="005B54EE" w:rsidRDefault="0018240E" w:rsidP="0018240E">
      <w:pPr>
        <w:rPr>
          <w:b/>
          <w:i/>
        </w:rPr>
      </w:pPr>
      <w:r w:rsidRPr="005B54EE">
        <w:rPr>
          <w:b/>
          <w:i/>
        </w:rPr>
        <w:t xml:space="preserve">Renovations to existing buildings </w:t>
      </w:r>
    </w:p>
    <w:p w14:paraId="7EF163EB" w14:textId="77777777" w:rsidR="0018240E" w:rsidRPr="005B54EE" w:rsidRDefault="0018240E" w:rsidP="0018240E">
      <w:pPr>
        <w:spacing w:before="240" w:after="240"/>
      </w:pPr>
      <w:r w:rsidRPr="005B54EE">
        <w:t xml:space="preserve">The </w:t>
      </w:r>
      <w:r w:rsidRPr="005B54EE">
        <w:rPr>
          <w:b/>
          <w:bCs/>
        </w:rPr>
        <w:t>energy renovation plan for buildings</w:t>
      </w:r>
      <w:r w:rsidRPr="005B54EE">
        <w:t>, presented in April 2018, made energy renovation a national priority and sets out the short-term priority lines of action in order to: develop and improve renovation, reinforce support to accompany all households in renovation works, make public buildings exemplary in terms of energy efficiency, and encourage territories through the mobilisation of local stakeholders. The aim is to obtain carbon neutrality by 2050 while pursuing a social objective to fight against energy insecurity.</w:t>
      </w:r>
    </w:p>
    <w:p w14:paraId="0D932210" w14:textId="77777777" w:rsidR="0018240E" w:rsidRPr="005B54EE" w:rsidRDefault="0018240E" w:rsidP="0018240E">
      <w:pPr>
        <w:spacing w:before="240" w:after="240"/>
      </w:pPr>
      <w:r w:rsidRPr="005B54EE">
        <w:t>The plan involves, in particular: creating a guarantee fund of over 50 million euros to help 75,000 low-income households per year; simplifying aids by turning the energy transition tax credit into a premium (see below) and by adapting existing loans; improving the reliability of the housing energy label and the energy performance certificate (EPC), for increased trust; providing better training for professionals and better control of the quality of works by amending the RGE label (recognised as environmentally friendly) and by investing 30 million euros to train professionals, 40 million euros in innovation; encouraging a massive renovation of public buildings belonging to the State and local authorities by mobilizing 4.8 billion euros.</w:t>
      </w:r>
    </w:p>
    <w:p w14:paraId="608E84AC" w14:textId="77777777" w:rsidR="0018240E" w:rsidRPr="005B54EE" w:rsidRDefault="0018240E" w:rsidP="0018240E">
      <w:pPr>
        <w:spacing w:before="240" w:after="240"/>
      </w:pPr>
      <w:r w:rsidRPr="005B54EE">
        <w:t>The French energy-climate law (LEC) of 2019 made the emissions reduction of the building sector a major line of action. The LEC aims to renovate all energy-consuming homes (housing which consumes over 331 kWh/m²) by 2028, with an initial phase to provide information and incentives to homeowners to carry out works during the 2021-2022 period, then a second obligatory phase for homeowners to carry out works on energy-consuming homes by 2028, failing which, penalties will be applied which will be defined at a later stage.</w:t>
      </w:r>
    </w:p>
    <w:p w14:paraId="5684918D" w14:textId="77777777" w:rsidR="0018240E" w:rsidRPr="005B54EE" w:rsidRDefault="0018240E" w:rsidP="0018240E">
      <w:pPr>
        <w:spacing w:before="240" w:after="240"/>
      </w:pPr>
      <w:r w:rsidRPr="005B54EE">
        <w:t xml:space="preserve">These measures in place since 2017 are added to the already existing measures. </w:t>
      </w:r>
    </w:p>
    <w:p w14:paraId="36D0AA9C" w14:textId="77777777" w:rsidR="0018240E" w:rsidRPr="005B54EE" w:rsidRDefault="0018240E" w:rsidP="0018240E">
      <w:pPr>
        <w:pStyle w:val="Titre4niveau4"/>
        <w:spacing w:before="240"/>
      </w:pPr>
      <w:r w:rsidRPr="005B54EE">
        <w:t>Regulations aiming to guarantee the quality of renovations</w:t>
      </w:r>
    </w:p>
    <w:p w14:paraId="7E2DFB15" w14:textId="77777777" w:rsidR="0018240E" w:rsidRPr="005B54EE" w:rsidRDefault="0018240E" w:rsidP="0018240E">
      <w:pPr>
        <w:spacing w:before="240" w:after="240"/>
      </w:pPr>
      <w:r w:rsidRPr="005B54EE">
        <w:t xml:space="preserve">The </w:t>
      </w:r>
      <w:r w:rsidRPr="005B54EE">
        <w:rPr>
          <w:b/>
          <w:bCs/>
        </w:rPr>
        <w:t>Thermal Regulation</w:t>
      </w:r>
      <w:r w:rsidRPr="005B54EE">
        <w:t xml:space="preserve"> (RT) aims to ensure a significant improvement of the energy performance of an existing building during its renovation. The applicable measures, the ‘overall RT’ and the ‘RT per item’, differ according to the significance of the work undertaken. For major renovation works of buildings with a surface area of more than 1,000 m², the overall RT defines an overall energy performance objective for renovated buildings, except for those built before 1948. For buildings with a surface area of less than 1,000 m² or for buildings with a surface area of more than 1,000 m² in need of light renovation, the RT per item defines a minimum performance for the replaced or installed elements: it covers, amongst others, insulation (opaque and glass walls), heating, hot water production, cold water production, and ventilation equipment. The requirements of the RT per item were tightened in 2017 (the new provisions came into force on 1 January 2018).</w:t>
      </w:r>
    </w:p>
    <w:p w14:paraId="450661B8" w14:textId="77777777" w:rsidR="0018240E" w:rsidRPr="005B54EE" w:rsidRDefault="0018240E" w:rsidP="0018240E">
      <w:pPr>
        <w:spacing w:before="240" w:after="240"/>
      </w:pPr>
      <w:r w:rsidRPr="005B54EE">
        <w:t>In addition, the ‘</w:t>
      </w:r>
      <w:r w:rsidRPr="005B54EE">
        <w:rPr>
          <w:b/>
          <w:bCs/>
        </w:rPr>
        <w:t>High Energy Performance (HPE) renovation</w:t>
      </w:r>
      <w:r w:rsidRPr="005B54EE">
        <w:t>’ label encourages the voluntary action of project owners wishing to conduct a high-performance or very high-performance renovation operation (thus characterised by a ‘</w:t>
      </w:r>
      <w:r w:rsidRPr="005B54EE">
        <w:rPr>
          <w:b/>
          <w:bCs/>
        </w:rPr>
        <w:t>Low Energy Building’ (LEB)</w:t>
      </w:r>
      <w:r w:rsidRPr="005B54EE">
        <w:t xml:space="preserve"> level), from an energy point of view. It certifies that the building adheres to a high energy performance level, as well as a minimum level of comfort in summer. </w:t>
      </w:r>
    </w:p>
    <w:p w14:paraId="20DFAAE2" w14:textId="77777777" w:rsidR="0018240E" w:rsidRPr="005B54EE" w:rsidRDefault="0018240E" w:rsidP="0018240E">
      <w:pPr>
        <w:spacing w:before="240" w:after="240"/>
      </w:pPr>
      <w:r w:rsidRPr="005B54EE">
        <w:t xml:space="preserve">Furthermore, since 1 January 2008, all buildings over 1,000 m² subjected to heavy renovation works must be subject to, in the same way as a new building, a </w:t>
      </w:r>
      <w:r w:rsidRPr="005B54EE">
        <w:rPr>
          <w:b/>
          <w:bCs/>
        </w:rPr>
        <w:t>feasibility study</w:t>
      </w:r>
      <w:r w:rsidRPr="005B54EE">
        <w:t xml:space="preserve"> in terms of energy supply, so as to encourage the project owner to use a renewable source of energy or a very high-performance system.</w:t>
      </w:r>
    </w:p>
    <w:p w14:paraId="3FAB6E2D" w14:textId="14053680" w:rsidR="0018240E" w:rsidRPr="005B54EE" w:rsidRDefault="0018240E" w:rsidP="0018240E">
      <w:pPr>
        <w:spacing w:before="240" w:after="240"/>
      </w:pPr>
      <w:r w:rsidRPr="005B54EE">
        <w:t>Finally, since 1 July 2022, the installation of new boilers in buildings must meet a minimum environmental performance standard. Thus, unless an exception is authorised, the equipment’s level of greenhouse gas emissions must be below 300 gCO</w:t>
      </w:r>
      <w:r w:rsidRPr="005B54EE">
        <w:rPr>
          <w:vertAlign w:val="subscript"/>
        </w:rPr>
        <w:t>2eq</w:t>
      </w:r>
      <w:r w:rsidRPr="005B54EE">
        <w:t xml:space="preserve"> / kWh LHV, effectively excluding oil-fired boilers.</w:t>
      </w:r>
    </w:p>
    <w:p w14:paraId="2EAE9887" w14:textId="77777777" w:rsidR="0018240E" w:rsidRPr="005B54EE" w:rsidRDefault="0018240E" w:rsidP="0018240E">
      <w:pPr>
        <w:pStyle w:val="Titre4niveau4"/>
        <w:spacing w:before="240"/>
      </w:pPr>
      <w:r w:rsidRPr="005B54EE">
        <w:t xml:space="preserve">Financial aid for renovation </w:t>
      </w:r>
    </w:p>
    <w:p w14:paraId="7B1E4742" w14:textId="77777777" w:rsidR="0018240E" w:rsidRPr="005B54EE" w:rsidRDefault="0018240E" w:rsidP="0018240E">
      <w:pPr>
        <w:spacing w:before="240" w:after="240"/>
      </w:pPr>
      <w:r w:rsidRPr="005B54EE">
        <w:t xml:space="preserve">To encourage energy retrofits, financial help is available for private individuals, as well as for providers of social housing. Private individuals can benefit from the 0% Eco Loan and the energy transition tax credit. Specific complementary aids are expected for low-income households. Providers of social housing can obtain the social housing Eco Loan. </w:t>
      </w:r>
    </w:p>
    <w:p w14:paraId="53A0B579" w14:textId="77777777" w:rsidR="0018240E" w:rsidRPr="005B54EE" w:rsidRDefault="0018240E" w:rsidP="0018240E">
      <w:pPr>
        <w:spacing w:before="240" w:after="240"/>
      </w:pPr>
      <w:r w:rsidRPr="005B54EE">
        <w:rPr>
          <w:b/>
          <w:bCs/>
        </w:rPr>
        <w:t>Until 2020, the</w:t>
      </w:r>
      <w:r w:rsidRPr="005B54EE">
        <w:t xml:space="preserve"> </w:t>
      </w:r>
      <w:r w:rsidRPr="005B54EE">
        <w:rPr>
          <w:b/>
          <w:bCs/>
        </w:rPr>
        <w:t>energy transition tax credit (CITE)</w:t>
      </w:r>
      <w:r w:rsidRPr="005B54EE">
        <w:t xml:space="preserve"> enabled a deduction of 15% to 30% on income tax for expenses incurred for certain energy performance improvement works. The aim of this incentive was to encourage private individuals to carry out energy improvement work in their homes while supporting the most efficient technologies in terms of reduced energy consumption, thus allowing the various markets to develop towards higher performance standards.  CITE was focussed on the most efficient building works and equipment.</w:t>
      </w:r>
    </w:p>
    <w:p w14:paraId="575EBE98" w14:textId="77777777" w:rsidR="0018240E" w:rsidRPr="005B54EE" w:rsidRDefault="0018240E" w:rsidP="0018240E">
      <w:pPr>
        <w:spacing w:before="240" w:after="240"/>
      </w:pPr>
      <w:r w:rsidRPr="005B54EE">
        <w:t>Since 1 January 2020, CITE was replaced by ‘MaPrimeRénov’, accessible to all homeowners and all joint ownership properties built at least 15 years previously. The amount is adjusted according to the household income and the type of works. In 2021, ‘MaPrimeRénov’ funded the renovation of nearly 650,000 homes, for a budget of a little over two billion euros.</w:t>
      </w:r>
    </w:p>
    <w:p w14:paraId="68C2ACAD" w14:textId="77777777" w:rsidR="0018240E" w:rsidRPr="005B54EE" w:rsidRDefault="0018240E" w:rsidP="0018240E">
      <w:pPr>
        <w:spacing w:before="240" w:after="240"/>
      </w:pPr>
      <w:r w:rsidRPr="005B54EE">
        <w:t xml:space="preserve">For low income households, this incentive is complemented by the ‘MaPrimeRénov Sérénité’ aid, which finances overall renovation work allowing for an energy gain (in primary energy) of at least 35%. The aid covers up to 35% (for low-income households) and 50% (for very low-income households) of the cost of works (excluding taxes). This aid also provides for a specific project owner support for homeowners. </w:t>
      </w:r>
    </w:p>
    <w:p w14:paraId="0F67526D" w14:textId="77777777" w:rsidR="0018240E" w:rsidRPr="005B54EE" w:rsidRDefault="0018240E" w:rsidP="0018240E">
      <w:pPr>
        <w:spacing w:before="240" w:after="240"/>
      </w:pPr>
      <w:r w:rsidRPr="005B54EE">
        <w:rPr>
          <w:b/>
          <w:bCs/>
        </w:rPr>
        <w:t>The 0% Eco Loan</w:t>
      </w:r>
      <w:r w:rsidRPr="005B54EE">
        <w:t xml:space="preserve"> allows people to benefit from a 0% interest loan of 30,000 euros (€50,000 in the case of an ‘Overall performance’ 0% Eco Loan) to fund a cluster of energy renovation works. It is aimed at owner-occupiers or landlords. </w:t>
      </w:r>
    </w:p>
    <w:p w14:paraId="09D1D074" w14:textId="77777777" w:rsidR="0018240E" w:rsidRPr="005B54EE" w:rsidRDefault="0018240E" w:rsidP="0018240E">
      <w:pPr>
        <w:spacing w:before="240" w:after="240"/>
      </w:pPr>
      <w:r w:rsidRPr="005B54EE">
        <w:t xml:space="preserve">The </w:t>
      </w:r>
      <w:r w:rsidRPr="005B54EE">
        <w:rPr>
          <w:b/>
          <w:bCs/>
        </w:rPr>
        <w:t>renovation advance loan</w:t>
      </w:r>
      <w:r w:rsidRPr="005B54EE">
        <w:t xml:space="preserve"> is dedicated to financing the households’ remaining payments via a deferred reimbursement, when the accommodation is sold or transferred via inheritance.</w:t>
      </w:r>
    </w:p>
    <w:p w14:paraId="5136B61A" w14:textId="07E0D255" w:rsidR="0018240E" w:rsidRPr="005B54EE" w:rsidRDefault="0018240E" w:rsidP="0018240E">
      <w:pPr>
        <w:spacing w:before="240" w:after="240"/>
      </w:pPr>
      <w:r w:rsidRPr="005B54EE">
        <w:t xml:space="preserve">Since 2015, the main support measures are subjected to an </w:t>
      </w:r>
      <w:r w:rsidRPr="005B54EE">
        <w:rPr>
          <w:b/>
          <w:bCs/>
        </w:rPr>
        <w:t>environmental cross-compliance criterion</w:t>
      </w:r>
      <w:r w:rsidRPr="005B54EE">
        <w:t xml:space="preserve">: to qualify, private individuals must use companies that are recognised as environmentally friendly (‘Reconnues Garantes de l’Environnement’ (RGE)). The competency of the company involved in the various tasks linked to the works in the building is indeed a key aspect of the construction quality. The training course for building professionals is supported through the </w:t>
      </w:r>
      <w:r w:rsidRPr="005B54EE">
        <w:rPr>
          <w:b/>
          <w:bCs/>
        </w:rPr>
        <w:t>‘FEEBat’</w:t>
      </w:r>
      <w:r w:rsidRPr="005B54EE">
        <w:t xml:space="preserve"> (energy saving training course for construction companies and artisans) initiative which receives funding from energy efficiency certificates (EEC). This initiative allows professionals to benefit from energy saving training courses provided by authorised bodies offering advantageous financial conditions all over the country. The FEEBat initiative is being strengthened in the context of the next period of energy saving certificates and in line with the introduction of environmental cross-compliance of incentive schemes: the training objectives have been revised upwards to 25,000 trainees per year and new training bodies are joining the scheme to increase its capacity.</w:t>
      </w:r>
    </w:p>
    <w:p w14:paraId="3AF4D39F" w14:textId="77777777" w:rsidR="0018240E" w:rsidRPr="005B54EE" w:rsidRDefault="0018240E" w:rsidP="0018240E">
      <w:pPr>
        <w:spacing w:before="240" w:after="240"/>
      </w:pPr>
      <w:r w:rsidRPr="005B54EE">
        <w:t xml:space="preserve">The </w:t>
      </w:r>
      <w:r w:rsidRPr="005B54EE">
        <w:rPr>
          <w:b/>
          <w:bCs/>
        </w:rPr>
        <w:t>helping hand energy saving bonus system for households</w:t>
      </w:r>
      <w:r w:rsidRPr="005B54EE">
        <w:t xml:space="preserve"> provides for the implementation, in the context of the energy efficiency certificates </w:t>
      </w:r>
      <w:r w:rsidRPr="005B54EE">
        <w:rPr>
          <w:b/>
          <w:bCs/>
        </w:rPr>
        <w:t>(EEC)</w:t>
      </w:r>
      <w:r w:rsidRPr="005B54EE">
        <w:t xml:space="preserve">, of rewards for certain operations for which the applicant has engaged in through a charter, enabling significant bonuses to be granted for households, thus decreasing the cost of works. The bonus system concerns operations for which the applicant of EECs is a signatory of one of the following commitment charters: ‘Heating Boost’ (replacement of gas, fuel oil or coal equipment with renewable equipment), ‘Energy-efficient renovation bonus’. All households can benefit from this offer. The bonus amounts attributed are, however, differentiated according to their income levels. Low-income households benefit from the highest bonuses. </w:t>
      </w:r>
    </w:p>
    <w:p w14:paraId="5D673BDF" w14:textId="77777777" w:rsidR="0018240E" w:rsidRPr="005B54EE" w:rsidRDefault="0018240E" w:rsidP="0018240E">
      <w:pPr>
        <w:spacing w:before="240" w:after="240"/>
      </w:pPr>
      <w:r w:rsidRPr="005B54EE">
        <w:t xml:space="preserve">The </w:t>
      </w:r>
      <w:r w:rsidRPr="005B54EE">
        <w:rPr>
          <w:b/>
          <w:bCs/>
        </w:rPr>
        <w:t>social housing eco-loan (éco-PLS)</w:t>
      </w:r>
      <w:r w:rsidRPr="005B54EE">
        <w:t xml:space="preserve"> is a subsidised loan whose rate varies depending on the duration and whose amount varies depending on the energy savings achieved due to the work being funded. In particular, it is accessible to housing organisations with a low rent, semi-public companies, municipalities that own or manage social housing, in the context of the thermal renovation of energy-intensive housing. The social housing eco-loan funds energy saving work that will enable a home to go from a primary energy consumption of over 230 kWh/m2/year to a consumption of less than 150 kWh/m2/year. </w:t>
      </w:r>
    </w:p>
    <w:p w14:paraId="5C70D44B" w14:textId="77777777" w:rsidR="0018240E" w:rsidRPr="005B54EE" w:rsidRDefault="0018240E" w:rsidP="0018240E">
      <w:pPr>
        <w:spacing w:before="240" w:after="240"/>
      </w:pPr>
      <w:r w:rsidRPr="005B54EE">
        <w:t xml:space="preserve">In addition to financial aids, the initiatives were implemented to facilitate the funding of energy retrofit works: </w:t>
      </w:r>
    </w:p>
    <w:p w14:paraId="6F8D2BDE" w14:textId="77777777" w:rsidR="0018240E" w:rsidRPr="005B54EE" w:rsidRDefault="0018240E" w:rsidP="002F4FA6">
      <w:pPr>
        <w:numPr>
          <w:ilvl w:val="0"/>
          <w:numId w:val="28"/>
        </w:numPr>
        <w:spacing w:before="240" w:after="240"/>
      </w:pPr>
      <w:r w:rsidRPr="005B54EE">
        <w:t xml:space="preserve">A complete legal framework has been implemented on </w:t>
      </w:r>
      <w:r w:rsidRPr="005B54EE">
        <w:rPr>
          <w:b/>
          <w:bCs/>
        </w:rPr>
        <w:t>third-party financing</w:t>
      </w:r>
      <w:r w:rsidRPr="005B54EE">
        <w:t>.</w:t>
      </w:r>
      <w:r w:rsidRPr="005B54EE">
        <w:rPr>
          <w:b/>
        </w:rPr>
        <w:t xml:space="preserve"> </w:t>
      </w:r>
      <w:r w:rsidRPr="005B54EE">
        <w:t>Third-party financing is an energy retrofit offer including the financing operation and a post-renovation follow-up, in such a way that the owner has nothing to pay, as the future energy savings will gradually reimburse all or part of the investment;</w:t>
      </w:r>
    </w:p>
    <w:p w14:paraId="15D8CFB3" w14:textId="77777777" w:rsidR="0018240E" w:rsidRPr="005B54EE" w:rsidRDefault="0018240E" w:rsidP="002F4FA6">
      <w:pPr>
        <w:numPr>
          <w:ilvl w:val="0"/>
          <w:numId w:val="35"/>
        </w:numPr>
        <w:spacing w:before="240" w:after="240"/>
      </w:pPr>
      <w:r w:rsidRPr="005B54EE">
        <w:t xml:space="preserve">A </w:t>
      </w:r>
      <w:r w:rsidRPr="005B54EE">
        <w:rPr>
          <w:b/>
        </w:rPr>
        <w:t xml:space="preserve">guarantee fund for energy renovation </w:t>
      </w:r>
      <w:r w:rsidRPr="005B54EE">
        <w:t xml:space="preserve">was created by the energy transition for green growth act (LTECV) of August 2015 to facilitate the funding of energy performance improvement works for existing housing. It enables banking institutions to benefit from a guarantee when a loan is granted to low-income homeowners of existing properties, who are funding energy retrofit works. </w:t>
      </w:r>
    </w:p>
    <w:p w14:paraId="39A4B6CE" w14:textId="77777777" w:rsidR="0018240E" w:rsidRPr="005B54EE" w:rsidRDefault="0018240E" w:rsidP="002F4FA6">
      <w:pPr>
        <w:pStyle w:val="ListParagraph"/>
        <w:numPr>
          <w:ilvl w:val="0"/>
          <w:numId w:val="35"/>
        </w:numPr>
        <w:spacing w:before="240" w:after="240"/>
      </w:pPr>
      <w:r w:rsidRPr="005B54EE">
        <w:t xml:space="preserve">A </w:t>
      </w:r>
      <w:r w:rsidRPr="005B54EE">
        <w:rPr>
          <w:b/>
          <w:bCs/>
        </w:rPr>
        <w:t>reduced VAT (value-added tax) rate of 5.5%</w:t>
      </w:r>
      <w:r w:rsidRPr="005B54EE">
        <w:t xml:space="preserve"> applies to energy performance improvement works for housing, which helps to reduce the costs.  </w:t>
      </w:r>
    </w:p>
    <w:p w14:paraId="7F05E030" w14:textId="77777777" w:rsidR="0018240E" w:rsidRPr="005B54EE" w:rsidRDefault="0018240E" w:rsidP="0018240E">
      <w:pPr>
        <w:pStyle w:val="Titre4niveau4"/>
        <w:spacing w:before="240"/>
      </w:pPr>
      <w:r w:rsidRPr="005B54EE">
        <w:t xml:space="preserve">Information and support initiatives </w:t>
      </w:r>
    </w:p>
    <w:p w14:paraId="1F768C19" w14:textId="77777777" w:rsidR="0018240E" w:rsidRPr="005B54EE" w:rsidRDefault="0018240E" w:rsidP="0018240E">
      <w:pPr>
        <w:spacing w:before="240" w:after="240"/>
        <w:rPr>
          <w:b/>
          <w:bCs/>
        </w:rPr>
      </w:pPr>
      <w:r w:rsidRPr="005B54EE">
        <w:t>Initiatives have been implemented to promote the provision of information to users on the energy performance of the buildings that they live in, as well as on existing aids for renovation:</w:t>
      </w:r>
    </w:p>
    <w:p w14:paraId="21E95BE6" w14:textId="77777777" w:rsidR="0018240E" w:rsidRPr="005B54EE" w:rsidRDefault="0018240E" w:rsidP="002F4FA6">
      <w:pPr>
        <w:pStyle w:val="ListParagraph"/>
        <w:numPr>
          <w:ilvl w:val="0"/>
          <w:numId w:val="34"/>
        </w:numPr>
        <w:spacing w:before="240" w:after="240"/>
      </w:pPr>
      <w:r w:rsidRPr="005B54EE">
        <w:t xml:space="preserve">The </w:t>
      </w:r>
      <w:r w:rsidRPr="005B54EE">
        <w:rPr>
          <w:b/>
          <w:bCs/>
        </w:rPr>
        <w:t>Energy Performance Certificate</w:t>
      </w:r>
      <w:r w:rsidRPr="005B54EE">
        <w:t xml:space="preserve"> (EPC) provides information on the energy performance of a home or building, by evaluating its energy consumption and its impact in terms of greenhouse gas emissions. The assessment also includes recommendations which enable the buyer, the owner, the lessor or the tenant to find out about the most effective ways of saving energy. Since 2006, an EPC must be established when selling any building or part of a building, regardless of its use (residential or tertiary). Since 2007, an EPC must be established when a home or building is rented out for primary residential use. Under article 179 of the ELAN law of 2018, from 1 July 2021, the Energy Performance Certificate is no longer for information purposes but enforceable. From 1 April 2023, the performance of a regulatory energy audit, in addition to the energy performance certificate, will be obligatory for all sales of detached houses and single ownership multi-dwelling buildings presenting low energy performances:</w:t>
      </w:r>
    </w:p>
    <w:p w14:paraId="10773E9B" w14:textId="77777777" w:rsidR="0018240E" w:rsidRPr="005B54EE" w:rsidRDefault="0018240E" w:rsidP="002F4FA6">
      <w:pPr>
        <w:numPr>
          <w:ilvl w:val="0"/>
          <w:numId w:val="34"/>
        </w:numPr>
        <w:spacing w:before="240" w:after="240"/>
      </w:pPr>
      <w:r w:rsidRPr="005B54EE">
        <w:t xml:space="preserve">Prior to 1 January 2017, mixed ownerships built before 2000 including 50 units or more and equipped with collective heating or cooling systems had to carry out an </w:t>
      </w:r>
      <w:r w:rsidRPr="005B54EE">
        <w:rPr>
          <w:b/>
          <w:bCs/>
        </w:rPr>
        <w:t>energy audit</w:t>
      </w:r>
      <w:r w:rsidRPr="005B54EE">
        <w:t xml:space="preserve">. This audit includes, for each mixed ownership building, the estimation of the building’s annual energy consumption linked to heating, cooling, hot water production for sanitary use, lighting and ventilation. The audit must include proposals for works aiming to improve the building’s energy performance: </w:t>
      </w:r>
    </w:p>
    <w:p w14:paraId="49A96EB0" w14:textId="77777777" w:rsidR="0018240E" w:rsidRPr="005B54EE" w:rsidRDefault="0018240E" w:rsidP="002F4FA6">
      <w:pPr>
        <w:numPr>
          <w:ilvl w:val="0"/>
          <w:numId w:val="34"/>
        </w:numPr>
        <w:spacing w:before="240" w:after="240"/>
      </w:pPr>
      <w:r w:rsidRPr="005B54EE">
        <w:t>Since 2012, for business premises used for offices or shops with a surface area of over 2,000</w:t>
      </w:r>
      <w:r w:rsidRPr="005B54EE">
        <w:rPr>
          <w:rFonts w:ascii="Calibri" w:hAnsi="Calibri"/>
        </w:rPr>
        <w:t> </w:t>
      </w:r>
      <w:r w:rsidRPr="005B54EE">
        <w:t xml:space="preserve">m², an </w:t>
      </w:r>
      <w:r w:rsidRPr="005B54EE">
        <w:rPr>
          <w:b/>
          <w:bCs/>
        </w:rPr>
        <w:t>environmental appendix</w:t>
      </w:r>
      <w:r w:rsidRPr="005B54EE">
        <w:t xml:space="preserve"> (known as a green lease) must accompany the contract for new and renewed leases. Since July 2013, it is mandatory for all ongoing leases. The environmental appendix must include a description of the energy characteristics for the equipment and systems, their actual water and energy consumption and the quantity of waste generated by the building. </w:t>
      </w:r>
    </w:p>
    <w:p w14:paraId="0408407D" w14:textId="77777777" w:rsidR="0018240E" w:rsidRPr="005B54EE" w:rsidRDefault="0018240E" w:rsidP="002F4FA6">
      <w:pPr>
        <w:numPr>
          <w:ilvl w:val="0"/>
          <w:numId w:val="34"/>
        </w:numPr>
        <w:spacing w:before="240" w:after="240"/>
      </w:pPr>
      <w:r w:rsidRPr="005B54EE">
        <w:t xml:space="preserve">The implementation of the housing renovation public service, called France Rénov’, since 1 January 2022. It is made up of one-stop service centres which inform, advise and support households in their housing renovation projects. </w:t>
      </w:r>
    </w:p>
    <w:p w14:paraId="4B9EBA20" w14:textId="77777777" w:rsidR="0018240E" w:rsidRPr="005B54EE" w:rsidRDefault="0018240E" w:rsidP="0018240E">
      <w:pPr>
        <w:spacing w:before="240" w:after="240"/>
      </w:pPr>
      <w:r w:rsidRPr="005B54EE">
        <w:t xml:space="preserve">In addition, various initiatives aim to lift certain constraints regarding the decision to renovate homes or to adopt virtuous uses: </w:t>
      </w:r>
    </w:p>
    <w:p w14:paraId="235738BD" w14:textId="77777777" w:rsidR="0018240E" w:rsidRPr="005B54EE" w:rsidRDefault="0018240E" w:rsidP="002F4FA6">
      <w:pPr>
        <w:numPr>
          <w:ilvl w:val="0"/>
          <w:numId w:val="33"/>
        </w:numPr>
        <w:spacing w:before="240" w:after="240"/>
      </w:pPr>
      <w:r w:rsidRPr="005B54EE">
        <w:t xml:space="preserve">The imbalance between homeowners/lessors, who pay for the works, and the tenants, who benefit from the energy savings achieved, has been reduced with the possibility of </w:t>
      </w:r>
      <w:r w:rsidRPr="005B54EE">
        <w:rPr>
          <w:b/>
          <w:bCs/>
        </w:rPr>
        <w:t>sharing cost savings between owners and tenants.</w:t>
      </w:r>
      <w:r w:rsidRPr="005B54EE">
        <w:t xml:space="preserve"> The homeowner must ask their tenant for a monthly financial participation after the energy saving works have been carried out, which can be up to half of the cost savings achieved. This participation takes the shape of a new line included on the rent receipt which will last for a duration of 15 years. Nevertheless, this participation is only possible if the lessor carries out a cluster of high-performance works, with at least two actions or enabling a minimum performance level to be achieved, and if they have invested in a dialogue with their tenant; </w:t>
      </w:r>
    </w:p>
    <w:p w14:paraId="64287FB4" w14:textId="77777777" w:rsidR="0018240E" w:rsidRPr="005B54EE" w:rsidRDefault="0018240E" w:rsidP="002F4FA6">
      <w:pPr>
        <w:numPr>
          <w:ilvl w:val="0"/>
          <w:numId w:val="32"/>
        </w:numPr>
        <w:spacing w:before="240" w:after="240"/>
      </w:pPr>
      <w:r w:rsidRPr="005B54EE">
        <w:t xml:space="preserve">In a building with a collective heating system, bill sharing was done according to shares or on a </w:t>
      </w:r>
      <w:r w:rsidRPr="005B54EE">
        <w:rPr>
          <w:i/>
          <w:iCs/>
        </w:rPr>
        <w:t>prorata</w:t>
      </w:r>
      <w:r w:rsidRPr="005B54EE">
        <w:t xml:space="preserve"> basis according to the surface area of the apartment, even if the heating consumption differed from one home to another. </w:t>
      </w:r>
      <w:r w:rsidRPr="005B54EE">
        <w:rPr>
          <w:b/>
          <w:bCs/>
        </w:rPr>
        <w:t>The individualisation of heating costs</w:t>
      </w:r>
      <w:r w:rsidRPr="005B54EE">
        <w:t xml:space="preserve"> means that the occupant pays their actual heating consumption. This allows the occupant to be better informed and encourages them to take control of their consumption. The energy transition for green growth act of August 2015 provides for the </w:t>
      </w:r>
      <w:r w:rsidRPr="005B54EE">
        <w:rPr>
          <w:b/>
          <w:bCs/>
        </w:rPr>
        <w:t>generalisation</w:t>
      </w:r>
      <w:r w:rsidRPr="005B54EE">
        <w:t xml:space="preserve"> of this initiative, which, until then, was only obligatory for energy-intensive residential buildings. The obligation to individualise heating costs is thus expanded to all residential buildings, as well as the tertiary sector, except in the event of technical impossibility, or the need to modify the entire heating system. Under article 71 of the ELAN law of 2018, the obligation to implement an individualisation of energy consumption costs was extended to cooling networks;</w:t>
      </w:r>
    </w:p>
    <w:p w14:paraId="00B7FC74" w14:textId="77777777" w:rsidR="0018240E" w:rsidRPr="005B54EE" w:rsidRDefault="0018240E" w:rsidP="0018240E">
      <w:pPr>
        <w:pStyle w:val="Titre4niveau4"/>
        <w:spacing w:before="240"/>
      </w:pPr>
      <w:r w:rsidRPr="005B54EE">
        <w:t>Work obligations</w:t>
      </w:r>
    </w:p>
    <w:p w14:paraId="2D5C9C5F" w14:textId="77777777" w:rsidR="0018240E" w:rsidRPr="005B54EE" w:rsidRDefault="0018240E" w:rsidP="0018240E">
      <w:pPr>
        <w:spacing w:before="240" w:after="240"/>
      </w:pPr>
      <w:r w:rsidRPr="005B54EE">
        <w:t xml:space="preserve">An initiative introduced by the energy transition for green growth act of August 2015 concerns the </w:t>
      </w:r>
      <w:r w:rsidRPr="005B54EE">
        <w:rPr>
          <w:b/>
          <w:bCs/>
        </w:rPr>
        <w:t>obligation to implement thermal insulation when major renovation works of buildings are performed</w:t>
      </w:r>
      <w:r w:rsidRPr="005B54EE">
        <w:t xml:space="preserve">: renovating façades, re-roofing, conversion of garages, attics, or rooms not set up to be living spaces. This initiative allows the project owner to take advantage of major renovation works to include energy retrofit works at a lower cost, and thus decrease the building’s energy needs. This obligation applies to binding quotes for project management performance signed since 1 January 2017 for buildings used for housing, offices, shops, education and hotels. The insulation installed must lead to a thermal performance which complies with the thermal regulations per element. In addition, insulation works can benefit from financial aid (energy transition tax credit, 0% eco loan, energy savings certificates). </w:t>
      </w:r>
    </w:p>
    <w:p w14:paraId="54E7C520" w14:textId="77777777" w:rsidR="0018240E" w:rsidRPr="005B54EE" w:rsidRDefault="0018240E" w:rsidP="0018240E">
      <w:pPr>
        <w:spacing w:before="240" w:after="240"/>
      </w:pPr>
      <w:r w:rsidRPr="005B54EE">
        <w:t xml:space="preserve">For the public service sector, since 1 September 2017, all new buildings under the control of the State, its public establishments or local authorities must be </w:t>
      </w:r>
      <w:r w:rsidRPr="005B54EE">
        <w:rPr>
          <w:b/>
          <w:bCs/>
        </w:rPr>
        <w:t>exemplary in terms of energy and environmental performance</w:t>
      </w:r>
      <w:r w:rsidRPr="005B54EE">
        <w:t xml:space="preserve"> and must, wherever possible, be positive energy and high environmental performance. </w:t>
      </w:r>
    </w:p>
    <w:p w14:paraId="5A822F15" w14:textId="77777777" w:rsidR="0018240E" w:rsidRPr="005B54EE" w:rsidRDefault="0018240E" w:rsidP="0018240E">
      <w:pPr>
        <w:spacing w:before="240" w:after="240"/>
      </w:pPr>
      <w:r w:rsidRPr="005B54EE">
        <w:t xml:space="preserve">Furthermore, buildings, parts of buildings or groups of buildings for tertiary use whose surface area is over 1000 m² are subjected to </w:t>
      </w:r>
      <w:r w:rsidRPr="005B54EE">
        <w:rPr>
          <w:b/>
          <w:bCs/>
        </w:rPr>
        <w:t>obligations to reduce energy consumption.</w:t>
      </w:r>
      <w:r w:rsidRPr="005B54EE">
        <w:t xml:space="preserve"> They must achieve, for each of the years 2030, 2040 and 2050, the following objectives: either a level of final energy consumption reduced by 40%, 50% and 60% respectively compared to a baseline energy consumption which cannot be prior to 2010, or a level of final energy consumption fixed in absolute value, according to the energy consumption of new buildings in their category. The decree (‘tertiary sector decree’) under the ELAN law (Evolution of housing, development and digital technology) came into effect in 2019.</w:t>
      </w:r>
    </w:p>
    <w:p w14:paraId="4F5521AE" w14:textId="77777777" w:rsidR="0018240E" w:rsidRPr="005B54EE" w:rsidRDefault="0018240E" w:rsidP="0018240E">
      <w:pPr>
        <w:spacing w:before="240" w:after="240"/>
      </w:pPr>
      <w:r w:rsidRPr="005B54EE">
        <w:t>The energy and climate law of 2019 creates renovation obligations regarding energy-intensive housing by 2028.  A first incentive phase plans for the obligation, from 1 April 2023, to carry out an energy audit when energy-intensive housing is advertised for sale or rent, containing proposals for works suited to the accommodation, as well as the estimated cost, and informing the buyer or tenant of its future energy expenses. The second obligation phase before 2028 plans for owners of energy-intensive housing to carry out energy performance improvement works on their accommodation.</w:t>
      </w:r>
    </w:p>
    <w:p w14:paraId="0FF9DD04" w14:textId="77777777" w:rsidR="0018240E" w:rsidRPr="005B54EE" w:rsidRDefault="0018240E" w:rsidP="0018240E">
      <w:pPr>
        <w:pStyle w:val="Titre4niveau4"/>
        <w:spacing w:before="240"/>
      </w:pPr>
      <w:r w:rsidRPr="005B54EE">
        <w:t xml:space="preserve">Improving the energy efficiency of other types of equipment </w:t>
      </w:r>
    </w:p>
    <w:p w14:paraId="7FA09CE5" w14:textId="77777777" w:rsidR="0018240E" w:rsidRPr="005B54EE" w:rsidRDefault="0018240E" w:rsidP="0018240E">
      <w:pPr>
        <w:spacing w:before="240" w:after="240"/>
      </w:pPr>
      <w:r w:rsidRPr="005B54EE">
        <w:t xml:space="preserve">The European framework directive 2009/125/EC establishes a framework for setting out the requirements in terms of </w:t>
      </w:r>
      <w:r w:rsidRPr="005B54EE">
        <w:rPr>
          <w:b/>
          <w:bCs/>
        </w:rPr>
        <w:t>eco-design</w:t>
      </w:r>
      <w:r w:rsidRPr="005B54EE">
        <w:t>, applicable to products linked to energy. A set of implementing regulations within the framework directive have been adopted to date, covering numerous products, and in particular the following regulations which have an impact on the residential/tertiary energy consumption (specific electricity consumption, cooking, lighting and heating):</w:t>
      </w:r>
    </w:p>
    <w:p w14:paraId="4FAFF11B" w14:textId="77777777" w:rsidR="0018240E" w:rsidRPr="005B54EE" w:rsidRDefault="0018240E" w:rsidP="002F4FA6">
      <w:pPr>
        <w:numPr>
          <w:ilvl w:val="0"/>
          <w:numId w:val="32"/>
        </w:numPr>
        <w:spacing w:before="240" w:after="240"/>
      </w:pPr>
      <w:r w:rsidRPr="005B54EE">
        <w:t xml:space="preserve">Horizontal regulations applying systematically to all types of equipment such as ‘standby and power-off’ modes; </w:t>
      </w:r>
    </w:p>
    <w:p w14:paraId="2BC172A6" w14:textId="77777777" w:rsidR="0018240E" w:rsidRPr="005B54EE" w:rsidRDefault="0018240E" w:rsidP="002F4FA6">
      <w:pPr>
        <w:numPr>
          <w:ilvl w:val="0"/>
          <w:numId w:val="32"/>
        </w:numPr>
        <w:spacing w:before="240" w:after="240"/>
      </w:pPr>
      <w:r w:rsidRPr="005B54EE">
        <w:t xml:space="preserve">Regulations on so-called ‘white goods’: refrigeration appliances, washing machines, dishwashers, tumble dryers; kitchen appliances such as ovens, hoods, and hobs; vacuum cleaners; </w:t>
      </w:r>
    </w:p>
    <w:p w14:paraId="37581BFA" w14:textId="77777777" w:rsidR="0018240E" w:rsidRPr="005B54EE" w:rsidRDefault="0018240E" w:rsidP="002F4FA6">
      <w:pPr>
        <w:numPr>
          <w:ilvl w:val="0"/>
          <w:numId w:val="32"/>
        </w:numPr>
        <w:spacing w:before="240" w:after="240"/>
      </w:pPr>
      <w:r w:rsidRPr="005B54EE">
        <w:t xml:space="preserve">Regulations on ‘electronic’ products: televisions, computers and servers, decoders and external power supplies; </w:t>
      </w:r>
    </w:p>
    <w:p w14:paraId="4A361F36" w14:textId="77777777" w:rsidR="0018240E" w:rsidRPr="005B54EE" w:rsidRDefault="0018240E" w:rsidP="002F4FA6">
      <w:pPr>
        <w:numPr>
          <w:ilvl w:val="0"/>
          <w:numId w:val="32"/>
        </w:numPr>
        <w:spacing w:before="240" w:after="240"/>
      </w:pPr>
      <w:r w:rsidRPr="005B54EE">
        <w:t xml:space="preserve">Regulations on heating and air conditioning devices: boilers (all fuels), hot water systems, mixed heating systems, heat pumps and cogeneration units, stand-alone devices; air conditioners and fans; </w:t>
      </w:r>
    </w:p>
    <w:p w14:paraId="195828D8" w14:textId="77777777" w:rsidR="0018240E" w:rsidRPr="005B54EE" w:rsidRDefault="0018240E" w:rsidP="002F4FA6">
      <w:pPr>
        <w:numPr>
          <w:ilvl w:val="0"/>
          <w:numId w:val="32"/>
        </w:numPr>
        <w:spacing w:before="240" w:after="240"/>
      </w:pPr>
      <w:r w:rsidRPr="005B54EE">
        <w:t xml:space="preserve">Regulations on lighting: domestic lighting. </w:t>
      </w:r>
    </w:p>
    <w:p w14:paraId="6623B238" w14:textId="77777777" w:rsidR="0018240E" w:rsidRPr="005B54EE" w:rsidRDefault="0018240E" w:rsidP="0018240E">
      <w:pPr>
        <w:spacing w:before="240" w:after="240"/>
      </w:pPr>
      <w:r w:rsidRPr="005B54EE">
        <w:rPr>
          <w:b/>
          <w:bCs/>
        </w:rPr>
        <w:t>Energy labelling</w:t>
      </w:r>
      <w:r w:rsidRPr="005B54EE">
        <w:t xml:space="preserve"> (regulated by the (EU) 2017/1369 guideline) complements the mechanism by helping consumers shift towards products that consume the least energy. The range of products bound by this obligation has been gradually expanded.</w:t>
      </w:r>
    </w:p>
    <w:p w14:paraId="027900B0" w14:textId="77777777" w:rsidR="0018240E" w:rsidRPr="005B54EE" w:rsidRDefault="0018240E" w:rsidP="0018240E">
      <w:pPr>
        <w:pStyle w:val="Titre4niveau4"/>
        <w:spacing w:before="240"/>
      </w:pPr>
      <w:r w:rsidRPr="005B54EE">
        <w:t xml:space="preserve">Measures aiming to reduce HFC emissions in buildings </w:t>
      </w:r>
    </w:p>
    <w:p w14:paraId="3BFD5CC4" w14:textId="06823CC1" w:rsidR="0018240E" w:rsidRPr="005B54EE" w:rsidRDefault="0018240E" w:rsidP="006E0C3B">
      <w:pPr>
        <w:spacing w:before="240" w:after="240"/>
      </w:pPr>
      <w:r w:rsidRPr="005B54EE">
        <w:t xml:space="preserve">Fluorinated gas emissions in the building sector come from cooling equipment (domestic cooling for residential buildings and commercial cooling for tertiary buildings), air conditioning and heat pumps. The </w:t>
      </w:r>
      <w:r w:rsidRPr="005B54EE">
        <w:rPr>
          <w:b/>
          <w:bCs/>
        </w:rPr>
        <w:t>European Regulation No. 517/2014 (known as ‘F-Gas II’)</w:t>
      </w:r>
      <w:r w:rsidRPr="005B54EE">
        <w:t xml:space="preserve"> implements a number of provisions aimed at reducing fluorinated gas emissions from refrigeration and air conditioning equipment used in buildings, but also in all other sectors using this type of equipment (industry and refrigerated transport) (see detailed description of the F-Gas II Regulation in section </w:t>
      </w:r>
      <w:r w:rsidR="00B04A7C" w:rsidRPr="005B54EE">
        <w:fldChar w:fldCharType="begin"/>
      </w:r>
      <w:r w:rsidR="00B04A7C" w:rsidRPr="005B54EE">
        <w:instrText xml:space="preserve"> REF _Ref123290406 \r \h </w:instrText>
      </w:r>
      <w:r w:rsidR="0098629B" w:rsidRPr="005B54EE">
        <w:instrText xml:space="preserve"> \* MERGEFORMAT </w:instrText>
      </w:r>
      <w:r w:rsidR="00B04A7C" w:rsidRPr="005B54EE">
        <w:fldChar w:fldCharType="separate"/>
      </w:r>
      <w:r w:rsidR="005B1C45">
        <w:t>C.3.2</w:t>
      </w:r>
      <w:r w:rsidR="00B04A7C" w:rsidRPr="005B54EE">
        <w:fldChar w:fldCharType="end"/>
      </w:r>
      <w:r w:rsidRPr="005B54EE">
        <w:t>).</w:t>
      </w:r>
    </w:p>
    <w:p w14:paraId="240135E8" w14:textId="5A6F7F4F" w:rsidR="0098629B" w:rsidRPr="005B54EE" w:rsidRDefault="0098629B" w:rsidP="006E0C3B">
      <w:pPr>
        <w:spacing w:before="240" w:after="240"/>
      </w:pPr>
      <w:r w:rsidRPr="005B54EE">
        <w:t>This European regulation is being revised, so as to further reduce the European emissions of these powerful greenhouse gases and help the European Union to reach its objectives in terms of reducing its emissions by at least 55% by 2030 and achieving climate neutrality by 2050 (i.e. further reducing emissions by 310 MtCO</w:t>
      </w:r>
      <w:r w:rsidRPr="005B54EE">
        <w:rPr>
          <w:vertAlign w:val="subscript"/>
        </w:rPr>
        <w:t>2eq</w:t>
      </w:r>
      <w:r w:rsidRPr="005B54EE">
        <w:t xml:space="preserve"> by 2050).</w:t>
      </w:r>
    </w:p>
    <w:p w14:paraId="1A68C919" w14:textId="6665585D" w:rsidR="00630A34" w:rsidRPr="005B54EE" w:rsidRDefault="00630A34" w:rsidP="00B04A7C">
      <w:pPr>
        <w:pStyle w:val="Titre3Niveau3"/>
      </w:pPr>
      <w:bookmarkStart w:id="59" w:name="_Toc121149512"/>
      <w:bookmarkStart w:id="60" w:name="_Toc138344676"/>
      <w:r w:rsidRPr="005B54EE">
        <w:t>Manufacturing industry</w:t>
      </w:r>
      <w:bookmarkEnd w:id="59"/>
      <w:bookmarkEnd w:id="60"/>
    </w:p>
    <w:p w14:paraId="32D640F1" w14:textId="569EC1C5" w:rsidR="00CC6750" w:rsidRPr="005B54EE" w:rsidRDefault="00CC6750" w:rsidP="00CC6750">
      <w:pPr>
        <w:spacing w:before="240" w:after="240"/>
      </w:pPr>
      <w:r w:rsidRPr="005B54EE">
        <w:t>The manufacturing industry was responsible for 19% of greenhouse gas emissions in France in 2020. This sector is the 3rd biggest emitter after agriculture and transport. The emissions in this sector are dominated by industries producing basic CO</w:t>
      </w:r>
      <w:r w:rsidRPr="005B54EE">
        <w:rPr>
          <w:vertAlign w:val="subscript"/>
        </w:rPr>
        <w:t>2</w:t>
      </w:r>
      <w:r w:rsidRPr="005B54EE">
        <w:t xml:space="preserve"> intensive products such as metallurgy, chemistry or the manufacturing of non-metallic minerals (cement, lime, glass, etc.). CO</w:t>
      </w:r>
      <w:r w:rsidRPr="005B54EE">
        <w:rPr>
          <w:vertAlign w:val="subscript"/>
        </w:rPr>
        <w:t>2</w:t>
      </w:r>
      <w:r w:rsidRPr="005B54EE">
        <w:t xml:space="preserve"> is the main greenhouse gas emitted by the manufacturing industry (94%), followed by fluorinated gases (4.5%) and N</w:t>
      </w:r>
      <w:r w:rsidRPr="005B54EE">
        <w:rPr>
          <w:vertAlign w:val="subscript"/>
        </w:rPr>
        <w:t>2</w:t>
      </w:r>
      <w:r w:rsidRPr="005B54EE">
        <w:t>O (1.6%).</w:t>
      </w:r>
    </w:p>
    <w:p w14:paraId="6086233C" w14:textId="7887016B" w:rsidR="00CC6750" w:rsidRPr="005B54EE" w:rsidRDefault="00CC6750" w:rsidP="00CC6750">
      <w:pPr>
        <w:pStyle w:val="Titre4niveau4"/>
        <w:spacing w:before="240"/>
      </w:pPr>
      <w:r w:rsidRPr="005B54EE">
        <w:t>Measures aiming to reduce the industry’s CO</w:t>
      </w:r>
      <w:r w:rsidRPr="005B54EE">
        <w:rPr>
          <w:vertAlign w:val="subscript"/>
        </w:rPr>
        <w:t>2</w:t>
      </w:r>
      <w:r w:rsidRPr="005B54EE">
        <w:t xml:space="preserve"> emissions </w:t>
      </w:r>
    </w:p>
    <w:p w14:paraId="15028BCB" w14:textId="4B43FD10" w:rsidR="00CC6750" w:rsidRPr="005B54EE" w:rsidRDefault="00CC6750" w:rsidP="00CC6750">
      <w:pPr>
        <w:spacing w:before="240" w:after="240"/>
      </w:pPr>
      <w:r w:rsidRPr="005B54EE">
        <w:t xml:space="preserve">The </w:t>
      </w:r>
      <w:r w:rsidRPr="005B54EE">
        <w:rPr>
          <w:b/>
          <w:bCs/>
        </w:rPr>
        <w:t>European Union Emissions Trading System (EU ETS)</w:t>
      </w:r>
      <w:r w:rsidRPr="005B54EE">
        <w:t xml:space="preserve"> plays a structuring role by capping the emissions of industrial installations in the European Union. This has been significantly strengthened for the 2021-2030 phase with the revision of the ‘EU ETS’ guideline which came into force in April 2018. This led to a sharp increase in the carbon price, which increased from €6/tCO</w:t>
      </w:r>
      <w:r w:rsidRPr="005B54EE">
        <w:rPr>
          <w:vertAlign w:val="subscript"/>
        </w:rPr>
        <w:t xml:space="preserve">2 </w:t>
      </w:r>
      <w:r w:rsidRPr="005B54EE">
        <w:t>on average in 2017 to €25/tCO</w:t>
      </w:r>
      <w:r w:rsidRPr="005B54EE">
        <w:rPr>
          <w:vertAlign w:val="subscript"/>
        </w:rPr>
        <w:t>2</w:t>
      </w:r>
      <w:r w:rsidRPr="005B54EE">
        <w:t xml:space="preserve"> in 2019 and 2020, then €54/tCO</w:t>
      </w:r>
      <w:r w:rsidRPr="005B54EE">
        <w:rPr>
          <w:vertAlign w:val="subscript"/>
        </w:rPr>
        <w:t>2</w:t>
      </w:r>
      <w:r w:rsidRPr="005B54EE">
        <w:t xml:space="preserve"> in 2021. In the period between January and November 2022, the average price of carbon increased to €81/tCO</w:t>
      </w:r>
      <w:r w:rsidRPr="005B54EE">
        <w:rPr>
          <w:vertAlign w:val="subscript"/>
        </w:rPr>
        <w:t>2</w:t>
      </w:r>
      <w:r w:rsidRPr="005B54EE">
        <w:t xml:space="preserve">. </w:t>
      </w:r>
    </w:p>
    <w:p w14:paraId="1DB999CE" w14:textId="08C73FA4" w:rsidR="00CC6750" w:rsidRPr="005B54EE" w:rsidRDefault="00CC6750" w:rsidP="00CC6750">
      <w:pPr>
        <w:spacing w:before="240" w:after="240"/>
      </w:pPr>
      <w:r w:rsidRPr="005B54EE">
        <w:t xml:space="preserve">The European Union Emissions Trading System is being revised in the context of European negotiations for the ‘Fit for 55’ package. This revision aims to align the EU ETS with the new European objective to reduce the EU’s emissions by 55% net in 2030 compared to 1990, and should also result in a significant reinforcement of the EU ETS’s aim for 2030, in particular a decrease in the emission ceiling. </w:t>
      </w:r>
    </w:p>
    <w:p w14:paraId="744E2A02" w14:textId="42D22235" w:rsidR="00CC6750" w:rsidRPr="005B54EE" w:rsidRDefault="00CC6750" w:rsidP="00CC6750">
      <w:pPr>
        <w:spacing w:before="240" w:after="240"/>
      </w:pPr>
      <w:r w:rsidRPr="005B54EE">
        <w:t xml:space="preserve">Furthermore, on a national level, significant means are being deployed for the decarbonisation of the industry. Thus, the </w:t>
      </w:r>
      <w:r w:rsidRPr="005B54EE">
        <w:rPr>
          <w:b/>
          <w:bCs/>
        </w:rPr>
        <w:t>industry’s decarbonisation funds</w:t>
      </w:r>
      <w:r w:rsidRPr="005B54EE">
        <w:t xml:space="preserve"> implemented in the framework of the Recovery Plan over the 2020-2022 period was granted an envelope of 1.2 billion euros. These funds support the production of heat using biomass, the deployment of energy efficient projects and the decarbonisation of industrial processes, through different calls for projects operated by the ADEME (The French Agency for Ecological Transition). Nearly 230 projects were supported, enabling emissions to be reduced to 4.5 MtCO</w:t>
      </w:r>
      <w:r w:rsidRPr="005B54EE">
        <w:rPr>
          <w:vertAlign w:val="subscript"/>
        </w:rPr>
        <w:t>2eq</w:t>
      </w:r>
      <w:r w:rsidRPr="005B54EE">
        <w:t xml:space="preserve">/year. </w:t>
      </w:r>
    </w:p>
    <w:p w14:paraId="75AE7513" w14:textId="77777777" w:rsidR="00CC6750" w:rsidRPr="005B54EE" w:rsidRDefault="00CC6750" w:rsidP="00CC6750">
      <w:pPr>
        <w:spacing w:after="120"/>
        <w:rPr>
          <w:rFonts w:cs="Arial"/>
        </w:rPr>
      </w:pPr>
      <w:r w:rsidRPr="005B54EE">
        <w:t>For the 2022-2026 period,</w:t>
      </w:r>
      <w:r w:rsidRPr="005B54EE">
        <w:rPr>
          <w:b/>
          <w:bCs/>
        </w:rPr>
        <w:t xml:space="preserve"> the ‘France 2030’</w:t>
      </w:r>
      <w:r w:rsidRPr="005B54EE">
        <w:t xml:space="preserve"> </w:t>
      </w:r>
      <w:r w:rsidRPr="005B54EE">
        <w:rPr>
          <w:b/>
          <w:bCs/>
        </w:rPr>
        <w:t>investment plan</w:t>
      </w:r>
      <w:r w:rsidRPr="005B54EE">
        <w:t xml:space="preserve"> dedicated 5.6 billion euros to the decarbonisation of the industry, according to two key pillars:</w:t>
      </w:r>
    </w:p>
    <w:p w14:paraId="40CE5EE6" w14:textId="77777777" w:rsidR="00CC6750" w:rsidRPr="005B54EE" w:rsidRDefault="00CC6750" w:rsidP="002F4FA6">
      <w:pPr>
        <w:pStyle w:val="ListParagraph"/>
        <w:numPr>
          <w:ilvl w:val="0"/>
          <w:numId w:val="37"/>
        </w:numPr>
        <w:spacing w:after="120" w:line="256" w:lineRule="auto"/>
        <w:rPr>
          <w:rFonts w:cs="Arial"/>
        </w:rPr>
      </w:pPr>
      <w:r w:rsidRPr="005B54EE">
        <w:t>5 billion euros are dedicated to the deployment of decarbonisation solutions for industrial sites, via 2 phases to be implemented by late 2022:</w:t>
      </w:r>
    </w:p>
    <w:p w14:paraId="481B8747" w14:textId="77777777" w:rsidR="00CC6750" w:rsidRPr="005B54EE" w:rsidRDefault="00CC6750" w:rsidP="002F4FA6">
      <w:pPr>
        <w:pStyle w:val="ListParagraph"/>
        <w:numPr>
          <w:ilvl w:val="1"/>
          <w:numId w:val="37"/>
        </w:numPr>
        <w:spacing w:after="120" w:line="256" w:lineRule="auto"/>
        <w:rPr>
          <w:rFonts w:cs="Arial"/>
        </w:rPr>
      </w:pPr>
      <w:r w:rsidRPr="005B54EE">
        <w:t>4 billion euros to support the profound decarbonisation of major industrial site emitters (for example, the steel industry, industrial chemistry, cement, aluminium),</w:t>
      </w:r>
    </w:p>
    <w:p w14:paraId="632193F2" w14:textId="77777777" w:rsidR="00CC6750" w:rsidRPr="005B54EE" w:rsidRDefault="00CC6750" w:rsidP="002F4FA6">
      <w:pPr>
        <w:pStyle w:val="ListParagraph"/>
        <w:numPr>
          <w:ilvl w:val="1"/>
          <w:numId w:val="37"/>
        </w:numPr>
        <w:spacing w:after="120" w:line="256" w:lineRule="auto"/>
        <w:rPr>
          <w:rFonts w:cs="Arial"/>
        </w:rPr>
      </w:pPr>
      <w:r w:rsidRPr="005B54EE">
        <w:t>1 billion euros for the deployment of more mature solutions in the French industrial fabric, especially low-carbon heating and energy efficiency.</w:t>
      </w:r>
    </w:p>
    <w:p w14:paraId="1A358CFF" w14:textId="77777777" w:rsidR="00CC6750" w:rsidRPr="005B54EE" w:rsidRDefault="00CC6750" w:rsidP="002F4FA6">
      <w:pPr>
        <w:pStyle w:val="ListParagraph"/>
        <w:numPr>
          <w:ilvl w:val="0"/>
          <w:numId w:val="37"/>
        </w:numPr>
        <w:rPr>
          <w:rFonts w:cs="Arial"/>
        </w:rPr>
      </w:pPr>
      <w:r w:rsidRPr="005B54EE">
        <w:t xml:space="preserve">610 million euros are dedicated to the emergence and industrialisation of decarbonisation solutions for the industry (supporting innovation). </w:t>
      </w:r>
    </w:p>
    <w:p w14:paraId="136EE390" w14:textId="77777777" w:rsidR="00CC6750" w:rsidRPr="005B54EE" w:rsidRDefault="00CC6750" w:rsidP="00CC6750">
      <w:pPr>
        <w:spacing w:before="240" w:after="240"/>
      </w:pPr>
      <w:r w:rsidRPr="005B54EE">
        <w:t xml:space="preserve">Aside from public support, extensive development work on </w:t>
      </w:r>
      <w:r w:rsidRPr="005B54EE">
        <w:rPr>
          <w:b/>
          <w:bCs/>
        </w:rPr>
        <w:t>roadmaps for the decarbonisation of industrial sectors</w:t>
      </w:r>
      <w:r w:rsidRPr="005B54EE">
        <w:t xml:space="preserve"> has also been launched by the Government with industrial stakeholders since 2019, to engage the industry in the transition. Certain sectors have also published roadmaps (Chemistry, mining, metallurgy, paper, cardboard, cement), which will form commitments between the State and the sector by 2030. </w:t>
      </w:r>
    </w:p>
    <w:p w14:paraId="201CC562" w14:textId="77777777" w:rsidR="00CC6750" w:rsidRPr="005B54EE" w:rsidRDefault="00CC6750" w:rsidP="00CC6750">
      <w:pPr>
        <w:spacing w:before="240" w:after="240"/>
      </w:pPr>
      <w:r w:rsidRPr="005B54EE">
        <w:t>In addition, since 2020, ADEME has been constructing Sectoral Transition Plans with the 9 industrial sectors with the highest levels of emissions (steel, aluminium, glass, cement, ethylene, chlorine, ammoniac, paper/cardboard, sugar), a methodological initiative proposing to model various decarbonisation trajectory scenarios by 2050, to quantify the impacts on the production costs, evaluate the climate investment needs and analyse job transfers. These plans are being developed as part of the European LIFE Climate Finance project and will be finalised by 2024.</w:t>
      </w:r>
    </w:p>
    <w:p w14:paraId="0ACD11AD" w14:textId="77777777" w:rsidR="00CC6750" w:rsidRPr="005B54EE" w:rsidRDefault="00CC6750" w:rsidP="00CC6750">
      <w:pPr>
        <w:spacing w:before="240" w:after="240"/>
      </w:pPr>
      <w:r w:rsidRPr="005B54EE">
        <w:t xml:space="preserve">Reductions in greenhouse gas emissions are also generated by certain cross-sectoral measures (reported in the ‘reduction of energy consumption in all sectors’ section): </w:t>
      </w:r>
      <w:r w:rsidRPr="005B54EE">
        <w:rPr>
          <w:b/>
          <w:bCs/>
        </w:rPr>
        <w:t>energy efficiency certificates, ADEME’s Heat Fund, and the obligation to conduct energy audits</w:t>
      </w:r>
      <w:r w:rsidRPr="005B54EE">
        <w:t xml:space="preserve"> for large companies. The industry can also benefit from funding within the </w:t>
      </w:r>
      <w:r w:rsidRPr="005B54EE">
        <w:rPr>
          <w:b/>
          <w:bCs/>
        </w:rPr>
        <w:t>Investments for the Future programme (PIA)</w:t>
      </w:r>
      <w:r w:rsidRPr="005B54EE">
        <w:t xml:space="preserve"> for innovation projects in the Energy and Ecological Transition sector.  </w:t>
      </w:r>
    </w:p>
    <w:p w14:paraId="782BE1DA" w14:textId="77777777" w:rsidR="00CC6750" w:rsidRPr="005B54EE" w:rsidRDefault="00CC6750" w:rsidP="00CC6750">
      <w:pPr>
        <w:spacing w:before="240" w:after="240"/>
      </w:pPr>
      <w:r w:rsidRPr="005B54EE">
        <w:t xml:space="preserve">Certain additional and specific initiatives for industrial companies have also been implemented: </w:t>
      </w:r>
    </w:p>
    <w:p w14:paraId="46845764" w14:textId="77777777" w:rsidR="00CC6750" w:rsidRPr="005B54EE" w:rsidRDefault="00CC6750" w:rsidP="002F4FA6">
      <w:pPr>
        <w:numPr>
          <w:ilvl w:val="0"/>
          <w:numId w:val="36"/>
        </w:numPr>
        <w:spacing w:before="240" w:after="240"/>
      </w:pPr>
      <w:r w:rsidRPr="005B54EE">
        <w:t xml:space="preserve">The </w:t>
      </w:r>
      <w:r w:rsidRPr="005B54EE">
        <w:rPr>
          <w:b/>
        </w:rPr>
        <w:t xml:space="preserve">Eco Energy Loan, </w:t>
      </w:r>
      <w:r w:rsidRPr="005B54EE">
        <w:t>from €10,000 to €500,000, makes it possible to fund the acquisition or installation work carried out by VSBs and small SMBs which invest in equipment generating energy efficiency certificates.</w:t>
      </w:r>
    </w:p>
    <w:p w14:paraId="5E196015" w14:textId="77777777" w:rsidR="00CC6750" w:rsidRPr="005B54EE" w:rsidRDefault="00CC6750" w:rsidP="002F4FA6">
      <w:pPr>
        <w:numPr>
          <w:ilvl w:val="0"/>
          <w:numId w:val="36"/>
        </w:numPr>
        <w:spacing w:before="240" w:after="240"/>
      </w:pPr>
      <w:r w:rsidRPr="005B54EE">
        <w:t>ADEME’s ‘</w:t>
      </w:r>
      <w:r w:rsidRPr="005B54EE">
        <w:rPr>
          <w:b/>
          <w:bCs/>
        </w:rPr>
        <w:t>Decision Aids</w:t>
      </w:r>
      <w:r w:rsidRPr="005B54EE">
        <w:t xml:space="preserve">’ initiative subsidises the performance of studies on energy efficiency in the industry, including energy assessments, as long as they are not made obligatory by the regulations, as well as the implementation of energy management systems; </w:t>
      </w:r>
    </w:p>
    <w:p w14:paraId="0E87EDC8" w14:textId="77777777" w:rsidR="00CC6750" w:rsidRPr="005B54EE" w:rsidRDefault="00CC6750" w:rsidP="002F4FA6">
      <w:pPr>
        <w:numPr>
          <w:ilvl w:val="0"/>
          <w:numId w:val="36"/>
        </w:numPr>
        <w:spacing w:before="240" w:after="240"/>
      </w:pPr>
      <w:r w:rsidRPr="005B54EE">
        <w:t xml:space="preserve">The </w:t>
      </w:r>
      <w:r w:rsidRPr="005B54EE">
        <w:rPr>
          <w:b/>
          <w:bCs/>
        </w:rPr>
        <w:t>PROREFEI training programme</w:t>
      </w:r>
      <w:r w:rsidRPr="005B54EE">
        <w:t>, launched in 2018 and financed by the energy efficiency certificates initiative, aims to train people in charge of energy management in companies to make them energy specialists who will be quite capable of designing, implementing and coordinating actions to improve the energy performance of their sites. It also aims to create a network of energy specialists who will have access to, in particular, feedback from the entire community and technical and regulatory monitoring;</w:t>
      </w:r>
    </w:p>
    <w:p w14:paraId="0FB9D791" w14:textId="77777777" w:rsidR="00CC6750" w:rsidRPr="005B54EE" w:rsidRDefault="00CC6750" w:rsidP="002F4FA6">
      <w:pPr>
        <w:numPr>
          <w:ilvl w:val="0"/>
          <w:numId w:val="36"/>
        </w:numPr>
        <w:spacing w:before="240" w:after="240"/>
      </w:pPr>
      <w:r w:rsidRPr="005B54EE">
        <w:t xml:space="preserve">The </w:t>
      </w:r>
      <w:r w:rsidRPr="005B54EE">
        <w:rPr>
          <w:b/>
          <w:bCs/>
        </w:rPr>
        <w:t>INVEEST programme</w:t>
      </w:r>
      <w:r w:rsidRPr="005B54EE">
        <w:t>, also funded by the energy efficiency certificates initiative, is aimed at financial stakeholders (bankers, auditors, accounting experts, etc.). Thanks to a training and support programme combining energy, financial and industrial expertise, this programme aims to accelerate the funding of energy efficiency projects in industry;</w:t>
      </w:r>
    </w:p>
    <w:p w14:paraId="678F9B35" w14:textId="77777777" w:rsidR="00CC6750" w:rsidRPr="005B54EE" w:rsidRDefault="00CC6750" w:rsidP="002F4FA6">
      <w:pPr>
        <w:pStyle w:val="ListParagraph"/>
        <w:numPr>
          <w:ilvl w:val="0"/>
          <w:numId w:val="36"/>
        </w:numPr>
        <w:spacing w:before="240" w:after="240"/>
      </w:pPr>
      <w:r w:rsidRPr="005B54EE">
        <w:t xml:space="preserve">Since 1 January 2015, pursuant to article 14 of the directive 2012/27/EU relating to energy efficiency, industrial installations generating </w:t>
      </w:r>
      <w:r w:rsidRPr="005B54EE">
        <w:rPr>
          <w:b/>
          <w:bCs/>
        </w:rPr>
        <w:t>waste heat</w:t>
      </w:r>
      <w:r w:rsidRPr="005B54EE">
        <w:t xml:space="preserve"> that is not reused must carry out a </w:t>
      </w:r>
      <w:r w:rsidRPr="005B54EE">
        <w:rPr>
          <w:b/>
          <w:bCs/>
        </w:rPr>
        <w:t xml:space="preserve">cost/benefit analysis </w:t>
      </w:r>
      <w:r w:rsidRPr="005B54EE">
        <w:t>regarding new installations and in the event of major renovation works. This analysis allows the profitability of the reused waste heat to be evaluated for a manufacturer via a connection to a heat and refrigeration network and is accompanied by the implementation of solutions considered to be profitable. The main industrial sectors concerned by the initiative are the chemical, glass production, cement, lime, plaster, paper-cardboard, metal transformation and food-processing industries.</w:t>
      </w:r>
    </w:p>
    <w:p w14:paraId="0B422FAD" w14:textId="77777777" w:rsidR="00CC6750" w:rsidRPr="005B54EE" w:rsidRDefault="00CC6750" w:rsidP="002F4FA6">
      <w:pPr>
        <w:numPr>
          <w:ilvl w:val="0"/>
          <w:numId w:val="36"/>
        </w:numPr>
        <w:spacing w:before="240" w:after="240"/>
      </w:pPr>
      <w:r w:rsidRPr="005B54EE">
        <w:t xml:space="preserve">Since 2016, companies that consume a great deal of electricity can benefit from a </w:t>
      </w:r>
      <w:r w:rsidRPr="005B54EE">
        <w:rPr>
          <w:b/>
          <w:bCs/>
        </w:rPr>
        <w:t>reduction on the Public Electricity Transmission System User Tariff (TURPE)</w:t>
      </w:r>
      <w:r w:rsidRPr="005B54EE">
        <w:t>. In return, they must implement an energy performance policy (implement an energy management system according to the ISO 50001 standard, achieve a performance objective within 5 years monitored by means of indicators subject to certifications, and develop an energy performance plan to achieve this goal);</w:t>
      </w:r>
    </w:p>
    <w:p w14:paraId="052BB726" w14:textId="77777777" w:rsidR="00CC6750" w:rsidRPr="005B54EE" w:rsidRDefault="00CC6750" w:rsidP="00CC6750">
      <w:pPr>
        <w:pStyle w:val="Titre4niveau4"/>
        <w:spacing w:before="240"/>
      </w:pPr>
      <w:bookmarkStart w:id="61" w:name="_Ref123290406"/>
      <w:r w:rsidRPr="005B54EE">
        <w:t>Measures aiming to reduce the industry’s fluorinated gas emissions</w:t>
      </w:r>
      <w:bookmarkEnd w:id="61"/>
      <w:r w:rsidRPr="005B54EE">
        <w:t xml:space="preserve"> </w:t>
      </w:r>
    </w:p>
    <w:p w14:paraId="791DE23A" w14:textId="77777777" w:rsidR="00CC6750" w:rsidRPr="005B54EE" w:rsidRDefault="00CC6750" w:rsidP="00CC6750">
      <w:pPr>
        <w:spacing w:before="240" w:after="240"/>
      </w:pPr>
      <w:r w:rsidRPr="005B54EE">
        <w:t xml:space="preserve">Since 2013, perfluorocarbon (PFC) emissions due to the production of aluminium have been subjected to the </w:t>
      </w:r>
      <w:r w:rsidRPr="005B54EE">
        <w:rPr>
          <w:b/>
          <w:bCs/>
        </w:rPr>
        <w:t>European Union Emissions Trading System</w:t>
      </w:r>
      <w:r w:rsidRPr="005B54EE">
        <w:rPr>
          <w:b/>
        </w:rPr>
        <w:t>.</w:t>
      </w:r>
      <w:r w:rsidRPr="005B54EE">
        <w:t xml:space="preserve"> </w:t>
      </w:r>
    </w:p>
    <w:p w14:paraId="0A7CB878" w14:textId="77777777" w:rsidR="00CC6750" w:rsidRPr="005B54EE" w:rsidRDefault="00CC6750" w:rsidP="00CC6750">
      <w:pPr>
        <w:spacing w:before="240" w:after="240"/>
      </w:pPr>
      <w:r w:rsidRPr="005B54EE">
        <w:t xml:space="preserve">The </w:t>
      </w:r>
      <w:r w:rsidRPr="005B54EE">
        <w:rPr>
          <w:b/>
          <w:bCs/>
        </w:rPr>
        <w:t>European regulation no. 517/2014</w:t>
      </w:r>
      <w:r w:rsidRPr="005B54EE">
        <w:t xml:space="preserve"> (known as ‘F-Gas II’) implements a certain number of provisions aiming to reduce the emissions of fluorinated gases from refrigeration and air conditioning equipment, in particular industrial refrigeration (see detailed description of the regulation in section B.8). The revision of this ‘F-Gas’ regulation is committed to further reducing the production and marketing of fluorinated greenhouse gases in the European Union. The proposal currently being discussed between Member States notably provides for a decrease of 95% on the marketing of HFCs by 2030 compared to 2015 (compared to 80% according to the F-Gas regulation currently in place).</w:t>
      </w:r>
    </w:p>
    <w:p w14:paraId="6DBD8E8F" w14:textId="7F9A7E1A" w:rsidR="00CC6750" w:rsidRPr="005B54EE" w:rsidRDefault="00CC6750" w:rsidP="00CC6750">
      <w:pPr>
        <w:spacing w:before="240" w:after="240"/>
      </w:pPr>
      <w:r w:rsidRPr="005B54EE">
        <w:t>On a national level, the finance law for 2019 had provided for the implementation of a</w:t>
      </w:r>
      <w:r w:rsidRPr="005B54EE">
        <w:rPr>
          <w:b/>
          <w:bCs/>
        </w:rPr>
        <w:t xml:space="preserve"> tax on HFCs</w:t>
      </w:r>
      <w:r w:rsidRPr="005B54EE">
        <w:t xml:space="preserve"> from 1 January 2021, the amount of which was supposed to evolve as follows: €15 per equivalent ton of CO</w:t>
      </w:r>
      <w:r w:rsidRPr="005B54EE">
        <w:rPr>
          <w:vertAlign w:val="subscript"/>
        </w:rPr>
        <w:t>2</w:t>
      </w:r>
      <w:r w:rsidRPr="005B54EE">
        <w:t xml:space="preserve"> in 2021, €18 in 2022, €22 in 2023, €26 in 2024 and €30 from 2025. The entry into force of the HFC tax was postponed to 1 January 2025 by the 2022 finance law given that the objectives to reduce the use of HFC which had been set for refrigeration professionals in 2019 had been achieved. </w:t>
      </w:r>
    </w:p>
    <w:p w14:paraId="1C130248" w14:textId="77777777" w:rsidR="00CC6750" w:rsidRPr="005B54EE" w:rsidRDefault="00CC6750" w:rsidP="00CC6750">
      <w:pPr>
        <w:spacing w:before="240" w:after="240"/>
      </w:pPr>
      <w:r w:rsidRPr="005B54EE">
        <w:t>The finance law for 2019 also created an additional tax incentive plan designed to accompany, until late 2022, companies’ investments in cooling equipment using refrigerants with a low global warming potential. Companies subject to corporate tax or income tax under an actual tax regime may thus, under this scheme, deduct from their taxable income an amount equal to 40% of the original value of refrigeration and air conditioning equipment operating without HFC and bought new between 1 January 2019 and 31 December 2022.</w:t>
      </w:r>
    </w:p>
    <w:p w14:paraId="204B413A" w14:textId="7B55CD03" w:rsidR="00CC6750" w:rsidRPr="005B54EE" w:rsidRDefault="00CC6750" w:rsidP="00CC6750">
      <w:pPr>
        <w:pStyle w:val="Titre4niveau4"/>
        <w:spacing w:before="240"/>
      </w:pPr>
      <w:r w:rsidRPr="005B54EE">
        <w:t>Measures aiming to reduce the industry’s N</w:t>
      </w:r>
      <w:r w:rsidRPr="005B54EE">
        <w:rPr>
          <w:vertAlign w:val="subscript"/>
        </w:rPr>
        <w:t>2</w:t>
      </w:r>
      <w:r w:rsidRPr="005B54EE">
        <w:t xml:space="preserve">O emissions </w:t>
      </w:r>
    </w:p>
    <w:p w14:paraId="05B588EE" w14:textId="53EE2EFB" w:rsidR="00CC6750" w:rsidRPr="005B54EE" w:rsidRDefault="00CC6750" w:rsidP="00CC6750">
      <w:r w:rsidRPr="005B54EE">
        <w:t>Since 2013, N</w:t>
      </w:r>
      <w:r w:rsidRPr="005B54EE">
        <w:rPr>
          <w:vertAlign w:val="subscript"/>
        </w:rPr>
        <w:t>2</w:t>
      </w:r>
      <w:r w:rsidRPr="005B54EE">
        <w:t>O emissions in the chemical sector have been subjected to the European Union Emissions Trading System.</w:t>
      </w:r>
    </w:p>
    <w:p w14:paraId="736A1B52" w14:textId="7A88A742" w:rsidR="00630A34" w:rsidRPr="005B54EE" w:rsidRDefault="00630A34" w:rsidP="00B04A7C">
      <w:pPr>
        <w:pStyle w:val="Titre3Niveau3"/>
      </w:pPr>
      <w:bookmarkStart w:id="62" w:name="_Toc121149513"/>
      <w:bookmarkStart w:id="63" w:name="_Toc138344677"/>
      <w:r w:rsidRPr="005B54EE">
        <w:t>Energy industry</w:t>
      </w:r>
      <w:bookmarkEnd w:id="62"/>
      <w:bookmarkEnd w:id="63"/>
    </w:p>
    <w:p w14:paraId="59A2D98F" w14:textId="2C77DC64" w:rsidR="00C060AE" w:rsidRPr="005B54EE" w:rsidRDefault="00C060AE" w:rsidP="00C060AE">
      <w:r w:rsidRPr="005B54EE">
        <w:t>In this section, we will be distinguishing energy production and energy consumption. In the energy consumption sub-section (</w:t>
      </w:r>
      <w:r w:rsidR="00151882" w:rsidRPr="005B54EE">
        <w:fldChar w:fldCharType="begin"/>
      </w:r>
      <w:r w:rsidR="00151882" w:rsidRPr="005B54EE">
        <w:instrText xml:space="preserve"> REF _Ref122700483 \r \h </w:instrText>
      </w:r>
      <w:r w:rsidR="0098629B" w:rsidRPr="005B54EE">
        <w:instrText xml:space="preserve"> \* MERGEFORMAT </w:instrText>
      </w:r>
      <w:r w:rsidR="00151882" w:rsidRPr="005B54EE">
        <w:fldChar w:fldCharType="separate"/>
      </w:r>
      <w:r w:rsidR="005B1C45">
        <w:t>C.4.2</w:t>
      </w:r>
      <w:r w:rsidR="00151882" w:rsidRPr="005B54EE">
        <w:fldChar w:fldCharType="end"/>
      </w:r>
      <w:r w:rsidRPr="005B54EE">
        <w:t xml:space="preserve">), it was decided that the policies and measures impacting energy consumption would be reported transversally (i.e. in several sectors). The policies and measures impacting energy consumption in a single sector were reported in the sections dedicated to the various sectors. </w:t>
      </w:r>
    </w:p>
    <w:p w14:paraId="5781196A" w14:textId="77777777" w:rsidR="00C060AE" w:rsidRPr="005B54EE" w:rsidRDefault="00C060AE" w:rsidP="00C060AE">
      <w:pPr>
        <w:pStyle w:val="Titre4niveau4"/>
      </w:pPr>
      <w:r w:rsidRPr="005B54EE">
        <w:t>Energy production</w:t>
      </w:r>
    </w:p>
    <w:p w14:paraId="0EB8E8E1" w14:textId="77777777" w:rsidR="00C060AE" w:rsidRPr="005B54EE" w:rsidRDefault="00C060AE" w:rsidP="00C060AE">
      <w:r w:rsidRPr="005B54EE">
        <w:t>This sector represented 10% of national emissions in 2020 (excluding LULUCF). The main sources of emissions are electricity production which represents 43% of the sector’s emissions, oil refining (18%), energy transformation (17%) and district heating (13%), followed by the transformation of solid mineral fuels in the steel industry (5%) and the extraction and distribution of gas-based fuels (3%)</w:t>
      </w:r>
      <w:r w:rsidRPr="005B54EE">
        <w:rPr>
          <w:rStyle w:val="FootnoteReference"/>
        </w:rPr>
        <w:footnoteReference w:id="5"/>
      </w:r>
      <w:r w:rsidRPr="005B54EE">
        <w:t>.</w:t>
      </w:r>
    </w:p>
    <w:p w14:paraId="66CAAC65" w14:textId="350120D0" w:rsidR="00C060AE" w:rsidRPr="005B54EE" w:rsidRDefault="00C060AE" w:rsidP="00C060AE">
      <w:pPr>
        <w:pStyle w:val="titreencadre"/>
        <w:spacing w:before="120" w:after="60" w:line="240" w:lineRule="auto"/>
      </w:pPr>
      <w:r w:rsidRPr="005B54EE">
        <w:t>Measures aiming to reduce CO</w:t>
      </w:r>
      <w:r w:rsidRPr="005B54EE">
        <w:rPr>
          <w:vertAlign w:val="subscript"/>
        </w:rPr>
        <w:t>2</w:t>
      </w:r>
      <w:r w:rsidRPr="005B54EE">
        <w:t xml:space="preserve"> emissions relating to energy production </w:t>
      </w:r>
    </w:p>
    <w:p w14:paraId="0844826D" w14:textId="52D36F30" w:rsidR="00C060AE" w:rsidRPr="005B54EE" w:rsidRDefault="00C060AE" w:rsidP="00C060AE">
      <w:r w:rsidRPr="005B54EE">
        <w:t>Reducing CO2 emissions from the energy production sector includes capping emissions from electricity and heat production facilities and refineries through the European emissions trading system, by reducing energy demand and by decarbonising the sector. In this way, the revised SNBC (national low-carbon strategy) project is aiming for complete decarbonisation of the sector by 2050, especially through the development of renewable energies.</w:t>
      </w:r>
    </w:p>
    <w:p w14:paraId="474C3A02" w14:textId="77777777" w:rsidR="00C060AE" w:rsidRPr="005B54EE" w:rsidRDefault="00C060AE" w:rsidP="00C060AE">
      <w:pPr>
        <w:spacing w:before="240" w:after="240"/>
        <w:rPr>
          <w:b/>
        </w:rPr>
      </w:pPr>
      <w:r w:rsidRPr="005B54EE">
        <w:t>Furthermore, the hydrocarbon law adopted in late 2017 prohibits all new permits for the exploration and exploitation of fossil fuels and establishes the goal of ending existing production exploitation by 2040.</w:t>
      </w:r>
    </w:p>
    <w:p w14:paraId="525A3139" w14:textId="77777777" w:rsidR="00C060AE" w:rsidRPr="005B54EE" w:rsidRDefault="00C060AE" w:rsidP="00C060AE">
      <w:pPr>
        <w:spacing w:before="240" w:after="240"/>
      </w:pPr>
      <w:r w:rsidRPr="005B54EE">
        <w:t xml:space="preserve">In order to support the concrete implementation of renewable energy (RE) development projects, the State launched the RE release plan in late 2017, which aims to adopt committed administrative simplification measures to shorten development times and reduce costs. This plan has already led to administrative simplifications for onshore wind, solar photovoltaic and methanisation sectors and an increase in the volume of calls for tender for solar projects (1.5 to 2.5 GW/year). </w:t>
      </w:r>
    </w:p>
    <w:p w14:paraId="691F3105" w14:textId="77777777" w:rsidR="00C060AE" w:rsidRPr="005B54EE" w:rsidRDefault="00C060AE" w:rsidP="00C060AE">
      <w:pPr>
        <w:spacing w:before="240" w:after="240"/>
      </w:pPr>
      <w:r w:rsidRPr="005B54EE">
        <w:t xml:space="preserve">A </w:t>
      </w:r>
      <w:r w:rsidRPr="005B54EE">
        <w:rPr>
          <w:b/>
          <w:bCs/>
        </w:rPr>
        <w:t>cost reduction mechanism for the connection of renewable energy production facilities</w:t>
      </w:r>
      <w:r w:rsidRPr="005B54EE">
        <w:t xml:space="preserve"> to electricity and gas networks was introduced in 2017. It allows 40% of these costs to be covered by grid operators. This allows connection costs to be significantly alleviated for farms, which are often located far from power grids and thus facilitates the deployment of renewable energies.</w:t>
      </w:r>
    </w:p>
    <w:p w14:paraId="6CA87A6F" w14:textId="77777777" w:rsidR="00C060AE" w:rsidRPr="005B54EE" w:rsidRDefault="00C060AE" w:rsidP="00C060AE">
      <w:pPr>
        <w:spacing w:before="240" w:after="240"/>
      </w:pPr>
      <w:r w:rsidRPr="005B54EE">
        <w:t xml:space="preserve">The </w:t>
      </w:r>
      <w:r w:rsidRPr="005B54EE">
        <w:rPr>
          <w:b/>
          <w:bCs/>
        </w:rPr>
        <w:t>National Strategy for the Mobilisation of Biomass</w:t>
      </w:r>
      <w:r w:rsidRPr="005B54EE">
        <w:t xml:space="preserve"> created in 2018 defines the guidelines, recommendations, and actions concerning the biomass production and development sectors likely to have an energy use, with a view to developing biomass production, and increasing its mobilisation while ensuring a proper coordination of its uses and mitigating climate change. The regional plans for the mobilisation of biomass adapt the National Strategy for the Mobilisation of Biomass to meet regional requirements.</w:t>
      </w:r>
    </w:p>
    <w:p w14:paraId="166DEA90" w14:textId="77777777" w:rsidR="00C060AE" w:rsidRPr="005B54EE" w:rsidRDefault="00C060AE" w:rsidP="00C060AE">
      <w:pPr>
        <w:spacing w:before="240" w:after="240"/>
      </w:pPr>
      <w:r w:rsidRPr="005B54EE">
        <w:rPr>
          <w:b/>
          <w:bCs/>
        </w:rPr>
        <w:t>Injection rights for biomethane facilities</w:t>
      </w:r>
      <w:r w:rsidRPr="005B54EE">
        <w:t>, created in 2019, allows natural gas grid operators to carry out the necessary reinforcement to enable biomethane to be injected into the gas grid (under conditions and limitations enabling the techno-economic relevance of investments to be ensured). The aim is to facilitate the implementation of methanisation projects, restricted at present by the capacity of the local gas grid antenna.</w:t>
      </w:r>
    </w:p>
    <w:p w14:paraId="11CC6211" w14:textId="77777777" w:rsidR="00C060AE" w:rsidRPr="005B54EE" w:rsidRDefault="00C060AE" w:rsidP="00C060AE">
      <w:pPr>
        <w:spacing w:before="240" w:after="240"/>
      </w:pPr>
      <w:r w:rsidRPr="005B54EE">
        <w:t>The 2019-2028 Multiannual Energy Plan (MEP 2) also provides for the following initiatives, encouraging the deployment of renewable energies and decarbonisation of the sector:</w:t>
      </w:r>
    </w:p>
    <w:p w14:paraId="68DAF227" w14:textId="77777777" w:rsidR="00C060AE" w:rsidRPr="005B54EE" w:rsidRDefault="00C060AE" w:rsidP="002F4FA6">
      <w:pPr>
        <w:numPr>
          <w:ilvl w:val="0"/>
          <w:numId w:val="21"/>
        </w:numPr>
        <w:spacing w:before="240" w:after="240"/>
      </w:pPr>
      <w:r w:rsidRPr="005B54EE">
        <w:t xml:space="preserve">In favour of </w:t>
      </w:r>
      <w:r w:rsidRPr="005B54EE">
        <w:rPr>
          <w:b/>
          <w:bCs/>
        </w:rPr>
        <w:t>onshore wind</w:t>
      </w:r>
      <w:r w:rsidRPr="005B54EE">
        <w:t>: obligatory recycling of the materials used to make wind turbines when dismantled, encourage the reuse of end-of-life wind turbine sites to reinstall more efficient machines, launch calls for tender of up to 2 Gw/year according to a schedule defined in the MEP.</w:t>
      </w:r>
    </w:p>
    <w:p w14:paraId="3288A30D" w14:textId="77777777" w:rsidR="00C060AE" w:rsidRPr="005B54EE" w:rsidRDefault="00C060AE" w:rsidP="002F4FA6">
      <w:pPr>
        <w:numPr>
          <w:ilvl w:val="0"/>
          <w:numId w:val="21"/>
        </w:numPr>
        <w:spacing w:before="240" w:after="240"/>
      </w:pPr>
      <w:r w:rsidRPr="005B54EE">
        <w:t xml:space="preserve">In favour of </w:t>
      </w:r>
      <w:r w:rsidRPr="005B54EE">
        <w:rPr>
          <w:b/>
          <w:bCs/>
        </w:rPr>
        <w:t>photovoltaics</w:t>
      </w:r>
      <w:r w:rsidRPr="005B54EE">
        <w:t>: prioritise the development of ground mounted photovoltaic systems, which are cheaper, preferably on built-up or degraded land and car parks, ensuring that the projects respect the biodiversity and farm lands, support innovation in the photovoltaic sector through calls for tender in order to encourage new solar solutions at ground-level (agrivoltaics, floating photovoltaics, etc.) and on buildings. The MEP 2 project defines a call for tender schedule corresponding to 2 GW per year for ground mounted photovoltaic power plants and 0.9 GW per year for installations on large roofs, and it maintains an objective of 3,050 MW installed per year for installations on small and medium-sized roofs (under 100 kWc) via an open window system in guiding projects towards self-consumption.</w:t>
      </w:r>
    </w:p>
    <w:p w14:paraId="3EE3FE3E" w14:textId="77777777" w:rsidR="00C060AE" w:rsidRPr="005B54EE" w:rsidRDefault="00C060AE" w:rsidP="002F4FA6">
      <w:pPr>
        <w:numPr>
          <w:ilvl w:val="0"/>
          <w:numId w:val="21"/>
        </w:numPr>
        <w:spacing w:before="240" w:after="240"/>
      </w:pPr>
      <w:r w:rsidRPr="005B54EE">
        <w:t xml:space="preserve">Supporting the development of </w:t>
      </w:r>
      <w:r w:rsidRPr="005B54EE">
        <w:rPr>
          <w:b/>
          <w:bCs/>
        </w:rPr>
        <w:t>renewable gases</w:t>
      </w:r>
      <w:r w:rsidRPr="005B54EE">
        <w:t>: provide visibility by adopting a call for tender schedule for injected biomethane: two call for tenders, for an annual production objective of 350 GWh PCS/year each, will be launched every year; strengthen the obligation of purchasing biogas at a regulated tariff and launching calls for tenders to achieve the production objectives at a reasonable cost thanks to substantial cost reductions; implement an adapted support tool for biomethane not injected in natural gas networks (in particular the biomethane used directly for biomethane vehicles).</w:t>
      </w:r>
    </w:p>
    <w:p w14:paraId="4B9D662B" w14:textId="77777777" w:rsidR="00C060AE" w:rsidRPr="005B54EE" w:rsidRDefault="00C060AE" w:rsidP="002F4FA6">
      <w:pPr>
        <w:numPr>
          <w:ilvl w:val="0"/>
          <w:numId w:val="21"/>
        </w:numPr>
        <w:spacing w:before="240" w:after="240"/>
      </w:pPr>
      <w:r w:rsidRPr="005B54EE">
        <w:t xml:space="preserve">Supporting the development of </w:t>
      </w:r>
      <w:r w:rsidRPr="005B54EE">
        <w:rPr>
          <w:b/>
          <w:bCs/>
        </w:rPr>
        <w:t>hydrogen</w:t>
      </w:r>
      <w:r w:rsidRPr="005B54EE">
        <w:t>: put in place support for the development of hydrogen up to 100 million euros and launch calls for projects on transport and hydrogen production using electrolysers; set up a traceability system for carbon-free hydrogen by 2020; extend the tax incentive for the purchase of hydrogen vehicles under at least the same conditions as for NGV (heavy goods vehicles &gt;3.5t); mobilise financial institutions (private and public financing including CDC and BPI) and standardise co-financing models for ecosystem deployment projects in the regions; carry out a study with all the actors concerned on the simplification and harmonisation of authorisation and approval procedures for boats and associated hydrogen fuelling solutions.</w:t>
      </w:r>
    </w:p>
    <w:p w14:paraId="70654AB2" w14:textId="77777777" w:rsidR="00C060AE" w:rsidRPr="005B54EE" w:rsidRDefault="00C060AE" w:rsidP="002F4FA6">
      <w:pPr>
        <w:numPr>
          <w:ilvl w:val="0"/>
          <w:numId w:val="22"/>
        </w:numPr>
        <w:spacing w:before="240" w:after="240"/>
      </w:pPr>
      <w:r w:rsidRPr="005B54EE">
        <w:t xml:space="preserve">In favour of the development of </w:t>
      </w:r>
      <w:r w:rsidRPr="005B54EE">
        <w:rPr>
          <w:b/>
          <w:bCs/>
        </w:rPr>
        <w:t>biofuels</w:t>
      </w:r>
      <w:r w:rsidRPr="005B54EE">
        <w:t>: an incentive to incorporate biofuels for operators who release fuels for consumption. In addition, beyond the existing cap for conventional biofuels, the plan is to limit the incorporation of biofuels made using raw materials presenting a high risk of inducing indirect land-use change (here, palm oil), as envisaged in the new European directive relating to renewable energies RED II of 11 December 2018 and in particular its delegated act of 13 March 2019.</w:t>
      </w:r>
      <w:r w:rsidRPr="005B54EE">
        <w:rPr>
          <w:vertAlign w:val="superscript"/>
        </w:rPr>
        <w:footnoteReference w:id="6"/>
      </w:r>
    </w:p>
    <w:p w14:paraId="78EF8F03" w14:textId="237D7616" w:rsidR="00C060AE" w:rsidRPr="005B54EE" w:rsidRDefault="00C060AE" w:rsidP="002F4FA6">
      <w:pPr>
        <w:numPr>
          <w:ilvl w:val="0"/>
          <w:numId w:val="22"/>
        </w:numPr>
        <w:spacing w:before="240" w:after="240"/>
      </w:pPr>
      <w:r w:rsidRPr="005B54EE">
        <w:t xml:space="preserve">In favour of decarbonising the sector: </w:t>
      </w:r>
      <w:r w:rsidRPr="005B54EE">
        <w:rPr>
          <w:b/>
          <w:bCs/>
        </w:rPr>
        <w:t>shutting down the last exclusively coal-fired electricity plants by 2022</w:t>
      </w:r>
      <w:r w:rsidRPr="005B54EE">
        <w:t xml:space="preserve"> or supporting their development towards less carbon-intensive solutions, but also </w:t>
      </w:r>
      <w:r w:rsidRPr="005B54EE">
        <w:rPr>
          <w:b/>
          <w:bCs/>
        </w:rPr>
        <w:t>no longer permitting new projects for electricity production plants powered exclusively by fossil fuels.</w:t>
      </w:r>
      <w:r w:rsidRPr="005B54EE">
        <w:t xml:space="preserve"> In this way, Ecological Transition Contracts (CTEs), signed between the State and the territories, set out a voluntary ecological transformation action programme for territories. In particular, they aim to accompany industrial restructuring situations in areas affected by the closing of coal-fired plants. After a first experimentation phase in 2018, the CTE initiative was extended and a second experimentation phase was conducted in the first half of 2019. A wider deployment is now expected. Concerning the shutting down of coal-fired plants, a decree was enacted on 15 September 2022 to increase their emissions cap to allow around ‘2,500 equivalent kilotons of carbon dioxide per additional megawatt’ during the period between 1st October 2022 and 31 March 2023. This decree kept two coal-fired power stations in operation: this emergency measure should guarantee the supply of electricity during the winter in light of the tension on the nuclear fleet and on gas. This decision does not, however, question the aim which is to eventually shut down coal-fired power plants.</w:t>
      </w:r>
    </w:p>
    <w:p w14:paraId="194E6C24" w14:textId="033D0A63" w:rsidR="00C060AE" w:rsidRPr="005B54EE" w:rsidRDefault="00C060AE" w:rsidP="00C060AE">
      <w:pPr>
        <w:spacing w:before="240" w:after="240"/>
      </w:pPr>
      <w:r w:rsidRPr="005B54EE">
        <w:t>The 2019-2028 Multiannual Energy Plan (MEP 2) also plans to take steps, during the first period of the MEP (2019-2023), to enable the development of electricity pumping stations for a potential of 1.5 GW identified, with a view to commissioning the facilities between 2030 and 2035. The MEP 2 also sets a target of erasing 6.5 GW by 2028 with an intermediary objective of 4.5GW in 2023.</w:t>
      </w:r>
    </w:p>
    <w:p w14:paraId="709752E7" w14:textId="77777777" w:rsidR="00C060AE" w:rsidRPr="005B54EE" w:rsidRDefault="00C060AE" w:rsidP="00C060AE">
      <w:pPr>
        <w:spacing w:before="240" w:after="240"/>
      </w:pPr>
      <w:r w:rsidRPr="005B54EE">
        <w:t>The MEP also makes it possible to take the necessary steps to achieve the renewable energy production goals set down by the energy transition for green growth act of 2015 and the energy-climate law of 2019. French legislation aims for a proportion of renewable energy of at least 33% in terms of gross final energy consumption in 2030. This objective is broken down by energy carrier: 40% of electricity production will be renewable in 2030, as well as 38% of final heat consumption, 15% of final fuel consumption and 10% of final gas consumption. The production of heat and cooling from renewable sources in heating networks will be multiplied fivefold between 2012 and 2030.</w:t>
      </w:r>
    </w:p>
    <w:p w14:paraId="7854601A" w14:textId="77777777" w:rsidR="00C060AE" w:rsidRPr="005B54EE" w:rsidRDefault="00C060AE" w:rsidP="00C060AE">
      <w:pPr>
        <w:spacing w:before="240" w:after="240"/>
      </w:pPr>
      <w:r w:rsidRPr="005B54EE">
        <w:t xml:space="preserve">In this perspective, the MEP sets the goals for each renewable sector for 2023 and 2028. The incentive schemes implemented are specific to each sector and must be subject to periodic adaptations to account for technical and economic evolutions. They are guided by the principle of ensuring the minimum profitability required for the deployment of these technologies. </w:t>
      </w:r>
    </w:p>
    <w:p w14:paraId="57F7ACC5" w14:textId="77777777" w:rsidR="00C060AE" w:rsidRPr="005B54EE" w:rsidRDefault="00C060AE" w:rsidP="00C060AE">
      <w:pPr>
        <w:spacing w:before="240" w:after="240"/>
      </w:pPr>
      <w:r w:rsidRPr="005B54EE">
        <w:t xml:space="preserve">To achieve these goals concerning the production of renewable electricity, the government primarily has two types of support structures: open windows and competitive tendering procedures. </w:t>
      </w:r>
    </w:p>
    <w:p w14:paraId="53ABEDFD" w14:textId="77777777" w:rsidR="00C060AE" w:rsidRPr="005B54EE" w:rsidRDefault="00C060AE" w:rsidP="00C060AE">
      <w:pPr>
        <w:spacing w:before="240" w:after="240"/>
      </w:pPr>
      <w:r w:rsidRPr="005B54EE">
        <w:t>The open window structure confers a right to benefit from support for all eligible installations. This structure is adapted to mature sectors for which the production costs are relatively well-known and stable and for which there are numerous potential development sites, with limited conflicting uses. As this structure does not enable renewable energies to be developed at the best cost, it is reserved for smaller facilities (up to 1 MW, and exceptionally up to 18 MW for wind turbines), for the sake of ease of access. Two open window support systems can be distinguished depending on the size of the installation: purchasing obligation and additional remuneration.</w:t>
      </w:r>
    </w:p>
    <w:p w14:paraId="05D5D662" w14:textId="77777777" w:rsidR="00C060AE" w:rsidRPr="005B54EE" w:rsidRDefault="00C060AE" w:rsidP="00C060AE">
      <w:pPr>
        <w:spacing w:before="240" w:after="240"/>
      </w:pPr>
      <w:r w:rsidRPr="005B54EE">
        <w:t xml:space="preserve">The purchasing obligation has only applied to the smallest facilities (up to 500 kW) since 2016. Every kilowatt-hour injected into the public network is purchased by an obligated buyer at a feed-in tariff, greater than the average market price, fixed in advance and covering the costs of their installation while ensuring a normal profitability of the their project. </w:t>
      </w:r>
    </w:p>
    <w:p w14:paraId="778E2E69" w14:textId="77777777" w:rsidR="00C060AE" w:rsidRPr="005B54EE" w:rsidRDefault="00C060AE" w:rsidP="00C060AE">
      <w:pPr>
        <w:spacing w:before="240" w:after="240"/>
      </w:pPr>
      <w:r w:rsidRPr="005B54EE">
        <w:t xml:space="preserve">The additional remuneration, implemented in 2016, in accordance with the environmental and energy guidelines, applies to more powerful facilities (obligatory when the installed power capacity is above 500 kW). The open-window additional remuneration is a premium paid to a renewable energy producer to complement the market sales of electricity that it produces. This premium is proportional to the energy produced and calculated as the difference between a reference fee and the market price. It must provide the producer with a level of remuneration which covers the costs of their installation while ensuring a normal profitability of their project. </w:t>
      </w:r>
    </w:p>
    <w:p w14:paraId="249776EB" w14:textId="77777777" w:rsidR="00C060AE" w:rsidRPr="005B54EE" w:rsidRDefault="00C060AE" w:rsidP="00C060AE">
      <w:pPr>
        <w:spacing w:before="240" w:after="240"/>
      </w:pPr>
      <w:r w:rsidRPr="005B54EE">
        <w:t>In the competitive tendering procedures, support is only attributed to the successful candidates of these procedures (e.g. calls for tender). These schemes are adapted to renewable sectors presenting one of the following characteristics: steering needed due to the risk of conflicting usage; scarcity of favourable zones (the case of offshore wind); sharp asymmetry in information about costs; challenge of technological demonstration and industrial development. Competitive tendering procedures improve the competitiveness regarding the development of renewable energies through the competitive tendering of projects and are important tools adapted to guiding renewable energy development trajectories, in accordance with the goals set by the MEP. Indeed, when the goals in terms of installed power capacity set by the MEP are not achieved, the Minister for Energy has the possibility of launching competitive tendering procedures to develop new production capacities. Successful candidates benefit either from a feed-in tariff or an additional remuneration, depending on the installed power capacity of projects and the procedure specifications.</w:t>
      </w:r>
    </w:p>
    <w:p w14:paraId="61B9EA1D" w14:textId="77777777" w:rsidR="00C060AE" w:rsidRPr="005B54EE" w:rsidRDefault="00C060AE" w:rsidP="00C060AE">
      <w:pPr>
        <w:spacing w:before="240" w:after="240"/>
      </w:pPr>
      <w:r w:rsidRPr="005B54EE">
        <w:t>Support for renewable energy in the gas sector is delivered through the following mechanisms:</w:t>
      </w:r>
    </w:p>
    <w:p w14:paraId="34574516" w14:textId="77777777" w:rsidR="00C060AE" w:rsidRPr="005B54EE" w:rsidRDefault="00C060AE" w:rsidP="002F4FA6">
      <w:pPr>
        <w:numPr>
          <w:ilvl w:val="0"/>
          <w:numId w:val="39"/>
        </w:numPr>
        <w:spacing w:before="240" w:after="240"/>
      </w:pPr>
      <w:r w:rsidRPr="005B54EE">
        <w:t xml:space="preserve">‘Open window’ type programme: any biomethane producer wishing to inject its production into the natural gas transmission and distribution networks is eligible for an open window purchase obligation, subject to the preservation of the proper functioning of the networks. In this system, the injected biomethane is purchased by a natural gas supplier at a pre-determined purchase price that covers the investment and operating costs of the biomethane production facility while ensuring normal profitability of the project. The purchase obligation is contracted for a period of 15 years; </w:t>
      </w:r>
    </w:p>
    <w:p w14:paraId="13021BB6" w14:textId="77777777" w:rsidR="00C060AE" w:rsidRPr="005B54EE" w:rsidRDefault="00C060AE" w:rsidP="002F4FA6">
      <w:pPr>
        <w:numPr>
          <w:ilvl w:val="0"/>
          <w:numId w:val="39"/>
        </w:numPr>
        <w:spacing w:before="240" w:after="240"/>
      </w:pPr>
      <w:r w:rsidRPr="005B54EE">
        <w:t xml:space="preserve">Calls for tender: when the production capacity of biogas intended to be injected into the gas network doesn't meet the quantified targets of the Multiannual Energy Plan, the Minister for Energy may resort to a call for tender procedure. </w:t>
      </w:r>
    </w:p>
    <w:p w14:paraId="52EDC9DE" w14:textId="77777777" w:rsidR="00C060AE" w:rsidRPr="005B54EE" w:rsidRDefault="00C060AE" w:rsidP="00C060AE">
      <w:pPr>
        <w:spacing w:before="240" w:after="240"/>
      </w:pPr>
      <w:r w:rsidRPr="005B54EE">
        <w:t xml:space="preserve">In addition, producers who so request may receive </w:t>
      </w:r>
      <w:r w:rsidRPr="005B54EE">
        <w:rPr>
          <w:b/>
          <w:bCs/>
        </w:rPr>
        <w:t>guarantees of origin</w:t>
      </w:r>
      <w:r w:rsidRPr="005B54EE">
        <w:t xml:space="preserve"> for the production of renewable electricity, from high-efficiency cogeneration, or for injected biogas. These guarantees of origin can be valued on the markets and constitute an additional source of income for producers. </w:t>
      </w:r>
    </w:p>
    <w:p w14:paraId="07661EB2" w14:textId="77777777" w:rsidR="00C060AE" w:rsidRPr="005B54EE" w:rsidRDefault="00C060AE" w:rsidP="00C060AE">
      <w:pPr>
        <w:spacing w:before="240" w:after="240"/>
      </w:pPr>
      <w:r w:rsidRPr="005B54EE">
        <w:t xml:space="preserve">Since 1 January 2015, pursuant to Article 14 of the Energy Efficiency Directive 2012/27/EU, energy production installations in heat or cooling networks with a total thermal power exceeding 20 MW must carry out a </w:t>
      </w:r>
      <w:r w:rsidRPr="005B54EE">
        <w:rPr>
          <w:b/>
          <w:bCs/>
        </w:rPr>
        <w:t>cost-benefit analysis</w:t>
      </w:r>
      <w:r w:rsidRPr="005B54EE">
        <w:t xml:space="preserve"> in the case of new installations and in the case of substantial renovation. This analysis makes it possible to identify potential suppliers of waste heat located in the vicinity of the network and to implement the solution deemed to be profitable.</w:t>
      </w:r>
    </w:p>
    <w:p w14:paraId="73B44C5B" w14:textId="77777777" w:rsidR="00C060AE" w:rsidRPr="005B54EE" w:rsidRDefault="00C060AE" w:rsidP="00C060AE">
      <w:pPr>
        <w:spacing w:before="240" w:after="240"/>
      </w:pPr>
      <w:r w:rsidRPr="005B54EE">
        <w:rPr>
          <w:b/>
          <w:bCs/>
        </w:rPr>
        <w:t>Finally, the Heat Fund</w:t>
      </w:r>
      <w:r w:rsidRPr="005B54EE">
        <w:t xml:space="preserve"> provides financial support for projects to produce heat from renewable energy: biomass (forestry, agricultural, biogas), geothermal energy (for direct use or through heat pumps), solar thermal energy, recovered energy, as well as the development of heat networks using these energies. The sectors in question are collective housing, tertiary, agriculture and industry. The Heat Fund allows renewable heat to be competitive with heat produced from conventional energy sources, by guaranteeing a price for heat of renewable origin that is approximately 5% lower than that obtained with conventional energy sources. The Heat Fund has been allocated 2.9 billion euros in legal commitments for the period 2009-2021. The 2019-2028 MEP also provides for a simplification of the rules, particularly by removing the obligation of repayable advances and replacing them with subsidies.</w:t>
      </w:r>
    </w:p>
    <w:p w14:paraId="66E23A04" w14:textId="77777777" w:rsidR="00C060AE" w:rsidRPr="005B54EE" w:rsidRDefault="00C060AE" w:rsidP="00C060AE">
      <w:r w:rsidRPr="005B54EE">
        <w:t xml:space="preserve">Finally, the </w:t>
      </w:r>
      <w:r w:rsidRPr="005B54EE">
        <w:rPr>
          <w:b/>
          <w:bCs/>
        </w:rPr>
        <w:t>classification of heat and refrigeration networks</w:t>
      </w:r>
      <w:r w:rsidRPr="005B54EE">
        <w:t xml:space="preserve"> powered mainly by renewable or recovered energy sources has been made automatic by the Energy and Climate Law. This regulation makes it compulsory for new buildings or existing buildings replacing their heating system to be connected within a priority network development area.</w:t>
      </w:r>
    </w:p>
    <w:p w14:paraId="0FD88825" w14:textId="77777777" w:rsidR="00C060AE" w:rsidRPr="005B54EE" w:rsidRDefault="00C060AE" w:rsidP="00C060AE">
      <w:pPr>
        <w:pStyle w:val="Titre4niveau4"/>
        <w:spacing w:before="240"/>
      </w:pPr>
      <w:bookmarkStart w:id="64" w:name="_Ref122700483"/>
      <w:r w:rsidRPr="005B54EE">
        <w:t>Policies and measures impacting energy consumption in a cross-sectoral way</w:t>
      </w:r>
      <w:bookmarkEnd w:id="64"/>
      <w:r w:rsidRPr="005B54EE">
        <w:t xml:space="preserve"> </w:t>
      </w:r>
    </w:p>
    <w:p w14:paraId="00EB9B02" w14:textId="77777777" w:rsidR="00C060AE" w:rsidRPr="005B54EE" w:rsidRDefault="00C060AE" w:rsidP="00C060AE">
      <w:pPr>
        <w:spacing w:before="240" w:after="240"/>
      </w:pPr>
      <w:r w:rsidRPr="005B54EE">
        <w:t xml:space="preserve">Several structural policies and measures have been put in place to limit energy consumption and promote energy efficiency in several energy-consuming sectors, the main ones being listed below. These measures therefore contribute to the reduction of greenhouse gas emissions. </w:t>
      </w:r>
    </w:p>
    <w:p w14:paraId="69A64B9B" w14:textId="77777777" w:rsidR="00C060AE" w:rsidRPr="005B54EE" w:rsidRDefault="00C060AE" w:rsidP="00C060AE">
      <w:pPr>
        <w:spacing w:before="240" w:after="240"/>
      </w:pPr>
      <w:r w:rsidRPr="005B54EE">
        <w:t xml:space="preserve">The Energy Code sets a target of reducing final consumption by 20% in 2030 and 50% in 2050 compared to 2012 levels. </w:t>
      </w:r>
    </w:p>
    <w:p w14:paraId="16FD9C4A" w14:textId="77777777" w:rsidR="00151882" w:rsidRPr="005B54EE" w:rsidRDefault="00C060AE" w:rsidP="00C060AE">
      <w:pPr>
        <w:spacing w:before="240" w:after="240"/>
      </w:pPr>
      <w:r w:rsidRPr="005B54EE">
        <w:t xml:space="preserve">The </w:t>
      </w:r>
      <w:r w:rsidRPr="005B54EE">
        <w:rPr>
          <w:b/>
          <w:bCs/>
        </w:rPr>
        <w:t>energy saving certificate</w:t>
      </w:r>
      <w:r w:rsidRPr="005B54EE">
        <w:t xml:space="preserve"> scheme, in force since 2006, is based on a mandatory energy saving requirement imposed by public authorities on energy sellers (electricity, gas, LPG, heat and refrigeration, domestic fuel and motor fuels). A multi-year target is defined and distributed among the obligated parties according to their sales volumes. At the end of the period, the obliged parties must prove that they have fulfilled their requirement by holding an amount of energy saving certificates equivalent to these requirements.</w:t>
      </w:r>
    </w:p>
    <w:p w14:paraId="1DABF8AE" w14:textId="77777777" w:rsidR="00151882" w:rsidRPr="005B54EE" w:rsidRDefault="00C060AE" w:rsidP="00C060AE">
      <w:pPr>
        <w:spacing w:before="240" w:after="240"/>
      </w:pPr>
      <w:r w:rsidRPr="005B54EE">
        <w:t>To obtain certificates, the obliged parties can choose the actions to be implemented (carrying out energy saving actions themselves, having consumers carry out energy actions, buying certificates from other players on the market etc.), the sectors of activity (residential, tertiary, industrial, agricultural, transport) and the types of customers (households, companies, public authorities etc.)</w:t>
      </w:r>
    </w:p>
    <w:p w14:paraId="4332CF20" w14:textId="77777777" w:rsidR="00151882" w:rsidRPr="005B54EE" w:rsidRDefault="00C060AE" w:rsidP="00C060AE">
      <w:pPr>
        <w:spacing w:before="240" w:after="240"/>
      </w:pPr>
      <w:r w:rsidRPr="005B54EE">
        <w:t>The first three-year period of the scheme ran from mid-2006 to mid-2009, with a total obligation set at 54 TWh cumulative updated.</w:t>
      </w:r>
    </w:p>
    <w:p w14:paraId="4558FAAD" w14:textId="77777777" w:rsidR="00151882" w:rsidRPr="005B54EE" w:rsidRDefault="00C060AE" w:rsidP="00C060AE">
      <w:pPr>
        <w:spacing w:before="240" w:after="240"/>
      </w:pPr>
      <w:r w:rsidRPr="005B54EE">
        <w:t>The second period, which ran from 1 January 2011 to 31 December 2014, included a target of 460 TWh cumulative updated.</w:t>
      </w:r>
    </w:p>
    <w:p w14:paraId="071B2580" w14:textId="4149C009" w:rsidR="00151882" w:rsidRPr="005B54EE" w:rsidRDefault="00C060AE" w:rsidP="00C060AE">
      <w:pPr>
        <w:spacing w:before="240" w:after="240"/>
      </w:pPr>
      <w:r w:rsidRPr="005B54EE">
        <w:t>The third period ran from 1 January 2015 to 31 December 2017. The overall mandatory requirement imposed on energy sellers was set at 700 TWh cumulative updated.</w:t>
      </w:r>
    </w:p>
    <w:p w14:paraId="31804117" w14:textId="77777777" w:rsidR="00151882" w:rsidRPr="005B54EE" w:rsidRDefault="00C060AE" w:rsidP="00C060AE">
      <w:pPr>
        <w:spacing w:before="240" w:after="240"/>
      </w:pPr>
      <w:r w:rsidRPr="005B54EE">
        <w:t>In application of the energy transition for green growth act of 17 August 2015, a new obligation dedicated to the benefit of households in fuel poverty has been in place since 1 January 2016, with a target of 150 TWh cumulative updated by the end of 2017.</w:t>
      </w:r>
    </w:p>
    <w:p w14:paraId="3051B6E9" w14:textId="352397B8" w:rsidR="00151882" w:rsidRPr="005B54EE" w:rsidRDefault="00C060AE" w:rsidP="00C060AE">
      <w:pPr>
        <w:spacing w:before="240" w:after="240"/>
      </w:pPr>
      <w:r w:rsidRPr="005B54EE">
        <w:t>The fourth period, initially planned for 1 January 2018 to 31 December 2020, was extended to 31 December 2021. The mandatory requirement imposed on energy sellers in the fourth period was equivalent to 2,133 TWh cumulative updated of conventional actions for the period 2018-2021, of which 533 TWh cumulative updated was to be carried out for the benefit of households in fuel poverty.</w:t>
      </w:r>
    </w:p>
    <w:p w14:paraId="2BAF55C6" w14:textId="4278D35F" w:rsidR="00C060AE" w:rsidRPr="005B54EE" w:rsidRDefault="00C060AE" w:rsidP="00C060AE">
      <w:pPr>
        <w:spacing w:before="240" w:after="240"/>
      </w:pPr>
      <w:r w:rsidRPr="005B54EE">
        <w:t>The 5th period, which starts on 1 January 2022 as part of the ‘Fit for 55’ legislative package, has an obligation level of 2,500 TWh cumulative updated over four years, of which almost 30% will benefit households in fuel poverty.</w:t>
      </w:r>
    </w:p>
    <w:p w14:paraId="007A516B" w14:textId="4151EB69" w:rsidR="00C060AE" w:rsidRPr="005B54EE" w:rsidRDefault="00C060AE" w:rsidP="00C060AE">
      <w:pPr>
        <w:spacing w:before="240" w:after="240"/>
      </w:pPr>
      <w:r w:rsidRPr="005B54EE">
        <w:t>In 2014, a proportional share of CO</w:t>
      </w:r>
      <w:r w:rsidRPr="005B54EE">
        <w:rPr>
          <w:vertAlign w:val="subscript"/>
        </w:rPr>
        <w:t>2</w:t>
      </w:r>
      <w:r w:rsidRPr="005B54EE">
        <w:t xml:space="preserve"> emissions from energy products was introduced into the domestic consumption tax on energy products (TICPE). The ‘</w:t>
      </w:r>
      <w:r w:rsidRPr="005B54EE">
        <w:rPr>
          <w:b/>
          <w:bCs/>
        </w:rPr>
        <w:t>carbon component</w:t>
      </w:r>
      <w:r w:rsidRPr="005B54EE">
        <w:t>’ currently amounts to €44.60/tCO</w:t>
      </w:r>
      <w:r w:rsidRPr="005B54EE">
        <w:rPr>
          <w:vertAlign w:val="subscript"/>
        </w:rPr>
        <w:t>2</w:t>
      </w:r>
      <w:r w:rsidRPr="005B54EE">
        <w:t xml:space="preserve">. </w:t>
      </w:r>
    </w:p>
    <w:p w14:paraId="6785867C" w14:textId="47075929" w:rsidR="00C060AE" w:rsidRPr="005B54EE" w:rsidRDefault="00C060AE" w:rsidP="00C060AE">
      <w:r w:rsidRPr="005B54EE">
        <w:t xml:space="preserve">As part of the transposition of the Energy Efficiency Directive 2012/27/EU, companies with more than 250 employees or with an annual turnover of more than €50 million and total assets of more than €43 million must carry out an </w:t>
      </w:r>
      <w:r w:rsidRPr="005B54EE">
        <w:rPr>
          <w:b/>
          <w:bCs/>
        </w:rPr>
        <w:t>energy audit</w:t>
      </w:r>
      <w:r w:rsidRPr="005B54EE">
        <w:t xml:space="preserve"> every 4 years. The energy audit, carried out by an internal or external auditor, consists of a methodical analysis of the energy flows and consumption of a site and should enable companies to identify energy saving actions at all levels (buildings, industrial processes, transport etc.)</w:t>
      </w:r>
    </w:p>
    <w:p w14:paraId="4D6B1A89" w14:textId="09FE8494" w:rsidR="00630A34" w:rsidRPr="005B54EE" w:rsidRDefault="00630A34" w:rsidP="00B04A7C">
      <w:pPr>
        <w:pStyle w:val="Titre3Niveau3"/>
      </w:pPr>
      <w:bookmarkStart w:id="65" w:name="_Toc121149514"/>
      <w:bookmarkStart w:id="66" w:name="_Toc138344678"/>
      <w:r w:rsidRPr="005B54EE">
        <w:t>Agriculture and forestry</w:t>
      </w:r>
      <w:bookmarkEnd w:id="65"/>
      <w:bookmarkEnd w:id="66"/>
    </w:p>
    <w:p w14:paraId="619F948E" w14:textId="77777777" w:rsidR="002A52F3" w:rsidRPr="005B54EE" w:rsidRDefault="002A52F3" w:rsidP="002A52F3">
      <w:pPr>
        <w:rPr>
          <w:shd w:val="clear" w:color="auto" w:fill="FFFFFF"/>
        </w:rPr>
      </w:pPr>
      <w:r w:rsidRPr="005B54EE">
        <w:rPr>
          <w:shd w:val="clear" w:color="auto" w:fill="FFFFFF"/>
        </w:rPr>
        <w:t xml:space="preserve">Policies and measures in the agricultural sector are aimed at better control of nitrogen fertilisation, the fight against organic and mineral nitrogen surpluses, the reduction of livestock manure emissions, the development of renewable energy of agricultural origin (methanisation in particular), the improvement of the energy performance of farms, the increase of carbon stocks in agricultural soils and the reduction of losses and wastage. </w:t>
      </w:r>
    </w:p>
    <w:p w14:paraId="4212ED84" w14:textId="77777777" w:rsidR="002A52F3" w:rsidRPr="005B54EE" w:rsidRDefault="002A52F3" w:rsidP="002A52F3">
      <w:pPr>
        <w:rPr>
          <w:shd w:val="clear" w:color="auto" w:fill="FFFFFF"/>
        </w:rPr>
      </w:pPr>
    </w:p>
    <w:p w14:paraId="6B2ECA4D" w14:textId="4CA58C28" w:rsidR="002A52F3" w:rsidRPr="005B54EE" w:rsidRDefault="002A52F3" w:rsidP="002A52F3">
      <w:r w:rsidRPr="005B54EE">
        <w:rPr>
          <w:shd w:val="clear" w:color="auto" w:fill="FFFFFF"/>
        </w:rPr>
        <w:t xml:space="preserve">The National Low Carbon Strategy (SNBC) sets 6 guidelines to ensure the transition of the agricultural sector, including the reduction of </w:t>
      </w:r>
      <w:r w:rsidRPr="005B54EE">
        <w:t>N</w:t>
      </w:r>
      <w:r w:rsidRPr="005B54EE">
        <w:rPr>
          <w:vertAlign w:val="subscript"/>
        </w:rPr>
        <w:t>2</w:t>
      </w:r>
      <w:r w:rsidRPr="005B54EE">
        <w:t>O</w:t>
      </w:r>
      <w:r w:rsidRPr="005B54EE">
        <w:rPr>
          <w:shd w:val="clear" w:color="auto" w:fill="FFFFFF"/>
        </w:rPr>
        <w:t xml:space="preserve">, </w:t>
      </w:r>
      <w:r w:rsidRPr="005B54EE">
        <w:t>CH</w:t>
      </w:r>
      <w:r w:rsidRPr="005B54EE">
        <w:rPr>
          <w:vertAlign w:val="subscript"/>
        </w:rPr>
        <w:t>4</w:t>
      </w:r>
      <w:r w:rsidRPr="005B54EE">
        <w:rPr>
          <w:shd w:val="clear" w:color="auto" w:fill="FFFFFF"/>
        </w:rPr>
        <w:t xml:space="preserve"> and </w:t>
      </w:r>
      <w:r w:rsidRPr="005B54EE">
        <w:t>CO</w:t>
      </w:r>
      <w:r w:rsidRPr="005B54EE">
        <w:rPr>
          <w:vertAlign w:val="subscript"/>
        </w:rPr>
        <w:t>2</w:t>
      </w:r>
      <w:r w:rsidRPr="005B54EE">
        <w:rPr>
          <w:shd w:val="clear" w:color="auto" w:fill="FFFFFF"/>
        </w:rPr>
        <w:t xml:space="preserve"> emissions; the development of decarbonised energy production and development of the bioeconomy; the increase of carbon storage; the evolution of food consumption patterns. </w:t>
      </w:r>
      <w:r w:rsidRPr="005B54EE">
        <w:t xml:space="preserve">To strengthen the contribution of agriculture to the fight against climate change, several structural measures are being implemented. The ‘Agriculture, Food and Forestry Transition’ section of the ‘France Recovery’ plan has 3 objectives: to strengthen food sovereignty; to accelerate the agro-ecological transition to give all French people access to healthy, sustainable and local food; and to adapt agriculture and forestry to climate change. The National Strategic Plan (PSN) 2023-2027 will contribute to the dynamic of lowering emissions from agriculture and increasing carbon storage, in particular through reinforced cross-compliance, the eco-regime and Pillar 2 measures. Article 274 of the ‘Climate and Resilience’ Law states that the PSN must be compatible with the SNBC. A series of cross-sectoral plans also contribute to these objectives: </w:t>
      </w:r>
      <w:r w:rsidRPr="005B54EE">
        <w:rPr>
          <w:shd w:val="clear" w:color="auto" w:fill="FFFFFF"/>
        </w:rPr>
        <w:t xml:space="preserve">the plan for competitiveness and adaptation of farms, the plan for energy methanisation and nitrogen autonomy and the plan for the development of agroforestry. </w:t>
      </w:r>
      <w:r w:rsidRPr="005B54EE">
        <w:t xml:space="preserve">Finally, </w:t>
      </w:r>
      <w:r w:rsidRPr="005B54EE">
        <w:rPr>
          <w:b/>
          <w:bCs/>
        </w:rPr>
        <w:t>the Ministry of Agriculture’s climate action plan</w:t>
      </w:r>
      <w:r w:rsidRPr="005B54EE">
        <w:t>, published in June 2021, outlines a roadmap for achieving climate objectives in the agricultural and forestry sectors, and recalls the overall coherence of the various levers and tools mobilised by the Ministry.</w:t>
      </w:r>
    </w:p>
    <w:p w14:paraId="7D13D4A5" w14:textId="77777777" w:rsidR="002A52F3" w:rsidRPr="005B54EE" w:rsidRDefault="002A52F3" w:rsidP="002A52F3">
      <w:pPr>
        <w:rPr>
          <w:shd w:val="clear" w:color="auto" w:fill="FFFFFF"/>
        </w:rPr>
      </w:pPr>
    </w:p>
    <w:p w14:paraId="211256A2" w14:textId="6E401CEA" w:rsidR="002A52F3" w:rsidRPr="005B54EE" w:rsidRDefault="002A52F3" w:rsidP="002A52F3">
      <w:r w:rsidRPr="005B54EE">
        <w:rPr>
          <w:shd w:val="clear" w:color="auto" w:fill="FFFFFF"/>
        </w:rPr>
        <w:t>With regard to forestry, the measures in place seek to promote carbon sequestration in the forest ecosystem, and the resilience of stands to climate change through better forest management, and to develop the use of organically-sourced products (which allow both carbon storage and the substitution of materials or energy sources that are high emitters of greenhouse gases). Significant financial resources (France Recovery, France 2030 etc.) have been deployed to achieve these objectives. More generally, specific attention is being paid to the forestry and wood sector with strengthened governance schemes. The Forestry and Wood Conferences, held between October 2021 and March 2022, made it possible to identify the main actions to be focused on in the short term in a concerted manner, and led to a political commitment to maintain substantial financial resources for the forest. These resources are associated with reinforced research and monitoring schemes, as well as a more demanding environmental framework.</w:t>
      </w:r>
    </w:p>
    <w:p w14:paraId="2F6651A4" w14:textId="41D4907F" w:rsidR="00630A34" w:rsidRPr="005B54EE" w:rsidRDefault="00630A34" w:rsidP="00B04A7C">
      <w:pPr>
        <w:pStyle w:val="Titre3Niveau3"/>
      </w:pPr>
      <w:bookmarkStart w:id="67" w:name="_Toc123072531"/>
      <w:bookmarkStart w:id="68" w:name="_Toc123072609"/>
      <w:bookmarkStart w:id="69" w:name="_Toc123072779"/>
      <w:bookmarkStart w:id="70" w:name="_Toc121149515"/>
      <w:bookmarkStart w:id="71" w:name="_Toc138344679"/>
      <w:bookmarkEnd w:id="67"/>
      <w:bookmarkEnd w:id="68"/>
      <w:bookmarkEnd w:id="69"/>
      <w:r w:rsidRPr="005B54EE">
        <w:t>LULUCF</w:t>
      </w:r>
      <w:bookmarkEnd w:id="70"/>
      <w:bookmarkEnd w:id="71"/>
    </w:p>
    <w:p w14:paraId="2EE7196B" w14:textId="7CD4880D" w:rsidR="00896B85" w:rsidRPr="005B54EE" w:rsidRDefault="00896B85" w:rsidP="00896B85">
      <w:pPr>
        <w:spacing w:before="240" w:after="240"/>
      </w:pPr>
      <w:r w:rsidRPr="005B54EE">
        <w:t>Compared to the other sectors, the Land Use, Land-Use Change and Forestry (LULUCF) sector has the distinctive feature of being a net carbon sink: in 2020, the overall absorption of the sector was about -14 MtCO</w:t>
      </w:r>
      <w:r w:rsidRPr="005B54EE">
        <w:rPr>
          <w:vertAlign w:val="subscript"/>
        </w:rPr>
        <w:t>2eq</w:t>
      </w:r>
      <w:r w:rsidRPr="005B54EE">
        <w:t>, which therefore makes it possible to offset 3.6% of the emissions of the other sectors. Forests alone represent a sink of -30.4 MtCO</w:t>
      </w:r>
      <w:r w:rsidRPr="005B54EE">
        <w:rPr>
          <w:vertAlign w:val="subscript"/>
        </w:rPr>
        <w:t>2eq</w:t>
      </w:r>
      <w:r w:rsidRPr="005B54EE">
        <w:t>.</w:t>
      </w:r>
      <w:r w:rsidRPr="005B54EE">
        <w:rPr>
          <w:strike/>
        </w:rPr>
        <w:t xml:space="preserve"> </w:t>
      </w:r>
    </w:p>
    <w:p w14:paraId="72C6E1FA" w14:textId="409616D0" w:rsidR="00896B85" w:rsidRPr="005B54EE" w:rsidRDefault="00896B85" w:rsidP="00896B85">
      <w:pPr>
        <w:spacing w:before="240" w:after="240"/>
      </w:pPr>
      <w:r w:rsidRPr="005B54EE">
        <w:t>The main effect of the measures presented in this section is to reduce CO</w:t>
      </w:r>
      <w:r w:rsidRPr="005B54EE">
        <w:rPr>
          <w:vertAlign w:val="subscript"/>
        </w:rPr>
        <w:t>2</w:t>
      </w:r>
      <w:r w:rsidRPr="005B54EE">
        <w:t xml:space="preserve"> emissions or to contribute to carbon storage through CO</w:t>
      </w:r>
      <w:r w:rsidRPr="005B54EE">
        <w:rPr>
          <w:vertAlign w:val="subscript"/>
        </w:rPr>
        <w:t>2</w:t>
      </w:r>
      <w:r w:rsidRPr="005B54EE">
        <w:t xml:space="preserve"> absorption. In general, the LAAAF (Future Law for Agriculture, Food and Forestry), presented in section B.5 is now the reference text to guide climate action in the forestry and wood industry. In particular, Article 67 recognises the following as being in the public interest ‘the fixation of CO</w:t>
      </w:r>
      <w:r w:rsidRPr="005B54EE">
        <w:rPr>
          <w:vertAlign w:val="subscript"/>
        </w:rPr>
        <w:t>2</w:t>
      </w:r>
      <w:r w:rsidRPr="005B54EE">
        <w:t xml:space="preserve"> by wood and forests and the storage of carbon in woods and forests, wood and products made from wood, thereby contributing to the fight against climate change’. The other categories of land, including crop land and grassland, are also the subject of several provisions in the LAAAF, under the provisions on agriculture (see section B.5). </w:t>
      </w:r>
    </w:p>
    <w:p w14:paraId="52D8384B" w14:textId="77777777" w:rsidR="00896B85" w:rsidRPr="005B54EE" w:rsidRDefault="00896B85" w:rsidP="00A229A3">
      <w:pPr>
        <w:pStyle w:val="Titre4niveau4"/>
        <w:numPr>
          <w:ilvl w:val="2"/>
          <w:numId w:val="14"/>
        </w:numPr>
        <w:spacing w:before="240"/>
      </w:pPr>
      <w:r w:rsidRPr="005B54EE">
        <w:t xml:space="preserve">Schemes to promote carbon storage in soils and biomass </w:t>
      </w:r>
    </w:p>
    <w:p w14:paraId="4BF4747B" w14:textId="77777777" w:rsidR="00896B85" w:rsidRPr="005B54EE" w:rsidRDefault="00896B85" w:rsidP="00896B85">
      <w:pPr>
        <w:spacing w:before="240" w:after="240"/>
      </w:pPr>
      <w:r w:rsidRPr="005B54EE">
        <w:t xml:space="preserve">The Common Agricultural Policy (CAP) includes a number of measures that promote carbon storage in soils and biomass: </w:t>
      </w:r>
    </w:p>
    <w:p w14:paraId="7C256759" w14:textId="77777777" w:rsidR="00896B85" w:rsidRPr="005B54EE" w:rsidRDefault="00896B85" w:rsidP="002F4FA6">
      <w:pPr>
        <w:numPr>
          <w:ilvl w:val="0"/>
          <w:numId w:val="40"/>
        </w:numPr>
        <w:spacing w:before="240" w:after="240"/>
      </w:pPr>
      <w:r w:rsidRPr="005B54EE">
        <w:rPr>
          <w:b/>
          <w:bCs/>
        </w:rPr>
        <w:t>Greening</w:t>
      </w:r>
      <w:r w:rsidRPr="005B54EE">
        <w:t>, which contributes to maintaining a ratio of permanent grassland, a requirement to diversify crops, and to have 5% of the farm's arable land in areas of ecological interest;</w:t>
      </w:r>
    </w:p>
    <w:p w14:paraId="41FACB46" w14:textId="77777777" w:rsidR="00896B85" w:rsidRPr="005B54EE" w:rsidRDefault="00896B85" w:rsidP="002F4FA6">
      <w:pPr>
        <w:numPr>
          <w:ilvl w:val="0"/>
          <w:numId w:val="40"/>
        </w:numPr>
        <w:spacing w:before="240" w:after="240"/>
      </w:pPr>
      <w:r w:rsidRPr="005B54EE">
        <w:t xml:space="preserve">The </w:t>
      </w:r>
      <w:r w:rsidRPr="005B54EE">
        <w:rPr>
          <w:b/>
          <w:bCs/>
        </w:rPr>
        <w:t>compensatory allowance for natural handicaps</w:t>
      </w:r>
      <w:r w:rsidRPr="005B54EE">
        <w:t xml:space="preserve"> (ICHN), by contributing largely to the maintenance of extensive grassland areas, is an important lever for the preservation and storage of carbon in the soils of cultivated land and grassland; </w:t>
      </w:r>
    </w:p>
    <w:p w14:paraId="4D5525B4" w14:textId="77777777" w:rsidR="00896B85" w:rsidRPr="005B54EE" w:rsidRDefault="00896B85" w:rsidP="002F4FA6">
      <w:pPr>
        <w:numPr>
          <w:ilvl w:val="0"/>
          <w:numId w:val="40"/>
        </w:numPr>
        <w:spacing w:before="240" w:after="240"/>
      </w:pPr>
      <w:r w:rsidRPr="005B54EE">
        <w:t xml:space="preserve">Cross-compliance provides for a number of </w:t>
      </w:r>
      <w:r w:rsidRPr="005B54EE">
        <w:rPr>
          <w:b/>
          <w:bCs/>
        </w:rPr>
        <w:t>Good Agricultural and Environmental Conditions</w:t>
      </w:r>
      <w:r w:rsidRPr="005B54EE">
        <w:t xml:space="preserve"> (GAEC) and </w:t>
      </w:r>
      <w:r w:rsidRPr="005B54EE">
        <w:rPr>
          <w:b/>
          <w:bCs/>
        </w:rPr>
        <w:t>Statutory Management Requirements</w:t>
      </w:r>
      <w:r w:rsidRPr="005B54EE">
        <w:t xml:space="preserve"> (SMR) that promote a greater return of organic matter to the soil, grassland or environments conducive to the diversity of animal and plant species (maintenance of hedges, ponds and copses) and therefore better adapted; </w:t>
      </w:r>
    </w:p>
    <w:p w14:paraId="56944C19" w14:textId="77777777" w:rsidR="00896B85" w:rsidRPr="005B54EE" w:rsidRDefault="00896B85" w:rsidP="002F4FA6">
      <w:pPr>
        <w:numPr>
          <w:ilvl w:val="0"/>
          <w:numId w:val="40"/>
        </w:numPr>
        <w:spacing w:before="240" w:after="240"/>
      </w:pPr>
      <w:r w:rsidRPr="005B54EE">
        <w:rPr>
          <w:b/>
          <w:bCs/>
        </w:rPr>
        <w:t>Coupled support from the first pillar</w:t>
      </w:r>
      <w:r w:rsidRPr="005B54EE">
        <w:t xml:space="preserve"> aiming to accompany the production of leguminous plants, can contribute to the storage of organic material by maintaining soil fertility. The three components of greening promote organic matter inputs, grassland or woody cover, which are beneficial for carbon storage, as well as diversity, which is a source of better adaptation; </w:t>
      </w:r>
    </w:p>
    <w:p w14:paraId="12382F88" w14:textId="77777777" w:rsidR="00896B85" w:rsidRPr="005B54EE" w:rsidRDefault="00896B85" w:rsidP="002F4FA6">
      <w:pPr>
        <w:numPr>
          <w:ilvl w:val="0"/>
          <w:numId w:val="40"/>
        </w:numPr>
        <w:spacing w:before="240" w:after="240"/>
      </w:pPr>
      <w:r w:rsidRPr="005B54EE">
        <w:t xml:space="preserve">Climate action on agricultural soils also includes </w:t>
      </w:r>
      <w:r w:rsidRPr="005B54EE">
        <w:rPr>
          <w:b/>
          <w:bCs/>
        </w:rPr>
        <w:t>agri-environmental and climate measures</w:t>
      </w:r>
      <w:r w:rsidRPr="005B54EE">
        <w:t xml:space="preserve"> (AECM). One of them, the conversion to direct seeding under cover (SOL_01) is now dedicated to agricultural soils, explicitly aimed at reducing tillage, establishing cover crops and the diversification of crop rotations. Several types of operation (TO) and AECMs known as ‘systems’ were already contributing to the increase or preservation of organic matter in soils, by allowing the maintenance and extensive management of grassland and trails, trees and hedges, leguminous plants, or even remarkable environments, or the upkeep of meadow orchards; </w:t>
      </w:r>
    </w:p>
    <w:p w14:paraId="10841CB9" w14:textId="77777777" w:rsidR="00896B85" w:rsidRPr="005B54EE" w:rsidRDefault="00896B85" w:rsidP="002F4FA6">
      <w:pPr>
        <w:numPr>
          <w:ilvl w:val="0"/>
          <w:numId w:val="40"/>
        </w:numPr>
        <w:spacing w:before="240" w:after="240"/>
      </w:pPr>
      <w:r w:rsidRPr="005B54EE">
        <w:t>Under the second pillar, the</w:t>
      </w:r>
      <w:r w:rsidRPr="005B54EE">
        <w:rPr>
          <w:b/>
          <w:bCs/>
        </w:rPr>
        <w:t xml:space="preserve"> technical assistance component of the National Risk Management and Technical Assistance</w:t>
      </w:r>
      <w:r w:rsidRPr="005B54EE">
        <w:t xml:space="preserve"> </w:t>
      </w:r>
      <w:r w:rsidRPr="005B54EE">
        <w:rPr>
          <w:b/>
          <w:bCs/>
        </w:rPr>
        <w:t>Programme</w:t>
      </w:r>
      <w:r w:rsidRPr="005B54EE">
        <w:t xml:space="preserve"> (PNGRAT) is mobilised to improve soil knowledge (regional soil reference systems) and several measures of the </w:t>
      </w:r>
      <w:r w:rsidRPr="005B54EE">
        <w:rPr>
          <w:b/>
          <w:bCs/>
        </w:rPr>
        <w:t>Regional Rural Development Programmes</w:t>
      </w:r>
      <w:r w:rsidRPr="005B54EE">
        <w:t xml:space="preserve"> (PDRR) contribute to improving the carbon content of agricultural soils. </w:t>
      </w:r>
    </w:p>
    <w:p w14:paraId="374E8E0B" w14:textId="77777777" w:rsidR="00896B85" w:rsidRPr="005B54EE" w:rsidRDefault="00896B85" w:rsidP="00896B85">
      <w:pPr>
        <w:spacing w:before="240" w:after="240"/>
      </w:pPr>
      <w:r w:rsidRPr="005B54EE">
        <w:t xml:space="preserve">Improving the carbon content of agricultural soils also involves investment, thanks to certain aids under the </w:t>
      </w:r>
      <w:r w:rsidRPr="005B54EE">
        <w:rPr>
          <w:b/>
          <w:bCs/>
        </w:rPr>
        <w:t>Plan for Competitiveness and Adaptation of Farms</w:t>
      </w:r>
      <w:r w:rsidRPr="005B54EE">
        <w:t xml:space="preserve"> (PCAE) dedicated to combating erosion, optimising organic fertilisation which allows more organic matter to be returned to the soil, planting perennial crops and increasing the vegetation cover of agricultural soils. </w:t>
      </w:r>
    </w:p>
    <w:p w14:paraId="5BAC159C" w14:textId="77777777" w:rsidR="00896B85" w:rsidRPr="005B54EE" w:rsidRDefault="00896B85" w:rsidP="00896B85">
      <w:pPr>
        <w:spacing w:before="240" w:after="240"/>
      </w:pPr>
      <w:r w:rsidRPr="005B54EE">
        <w:t xml:space="preserve">Measures in favour of agroforestry are also important levers for promoting carbon storage in both the soil and the plant biomass. </w:t>
      </w:r>
      <w:r w:rsidRPr="005B54EE">
        <w:rPr>
          <w:b/>
          <w:bCs/>
        </w:rPr>
        <w:t>The agroforestry development plan</w:t>
      </w:r>
      <w:r w:rsidRPr="005B54EE">
        <w:t xml:space="preserve"> launched in 2016 consists of five areas of action: i) strengthening knowledge, monitoring and research actions on agroforestry; ii) improving the regulatory and legal framework and strengthening financial support; iii) developing advice and training, promoting agroforestry and enhancing the value of its products; iv) enhancing the economic value of agroforestry products, and developing them on the ground and in the regions; v) promoting European and international approaches. </w:t>
      </w:r>
    </w:p>
    <w:p w14:paraId="73C5E4CD" w14:textId="77777777" w:rsidR="00896B85" w:rsidRPr="005B54EE" w:rsidRDefault="00896B85" w:rsidP="00896B85">
      <w:pPr>
        <w:spacing w:before="240" w:after="240"/>
      </w:pPr>
      <w:r w:rsidRPr="005B54EE">
        <w:rPr>
          <w:b/>
          <w:bCs/>
        </w:rPr>
        <w:t xml:space="preserve">Organic farming </w:t>
      </w:r>
      <w:r w:rsidRPr="005B54EE">
        <w:t xml:space="preserve">is also worth mentioning, with its almost exclusive use of organic fertilisers, its practices involving more frequent diversification of crops and intermediate covers, its preferential use of grass in livestock farming and/or its greater inclination towards agroforestry. </w:t>
      </w:r>
    </w:p>
    <w:p w14:paraId="09E7723B" w14:textId="77777777" w:rsidR="00896B85" w:rsidRPr="005B54EE" w:rsidRDefault="00896B85" w:rsidP="00896B85">
      <w:pPr>
        <w:spacing w:before="240" w:after="240"/>
      </w:pPr>
      <w:r w:rsidRPr="005B54EE">
        <w:t>The</w:t>
      </w:r>
      <w:r w:rsidRPr="005B54EE">
        <w:rPr>
          <w:b/>
          <w:bCs/>
        </w:rPr>
        <w:t xml:space="preserve"> Natura 2000 network and the Water Framework Directive</w:t>
      </w:r>
      <w:r w:rsidRPr="005B54EE">
        <w:t xml:space="preserve"> can in some cases (where biodiversity protection leads to higher vegetation cover or around water catchments) promote higher organic matter content of soil and increased carbon stocks in plant biomass. </w:t>
      </w:r>
    </w:p>
    <w:p w14:paraId="0F15E853" w14:textId="77777777" w:rsidR="00896B85" w:rsidRPr="005B54EE" w:rsidRDefault="00896B85" w:rsidP="00896B85">
      <w:pPr>
        <w:spacing w:before="240" w:after="240"/>
      </w:pPr>
      <w:r w:rsidRPr="005B54EE">
        <w:t xml:space="preserve">What’s more, the implementation of </w:t>
      </w:r>
      <w:r w:rsidRPr="005B54EE">
        <w:rPr>
          <w:b/>
          <w:bCs/>
        </w:rPr>
        <w:t>sustainability criteria for bioenergy</w:t>
      </w:r>
      <w:r w:rsidRPr="005B54EE">
        <w:t xml:space="preserve"> results in avoiding the production of agricultural raw materials for energy production on some carbon-rich soils and in some biodiversity-rich areas, within the European Union or in countries exporting to the Union European.</w:t>
      </w:r>
    </w:p>
    <w:p w14:paraId="567E760B" w14:textId="77777777" w:rsidR="00896B85" w:rsidRPr="005B54EE" w:rsidRDefault="00896B85" w:rsidP="00896B85">
      <w:pPr>
        <w:spacing w:before="240" w:after="240"/>
      </w:pPr>
      <w:r w:rsidRPr="005B54EE">
        <w:t xml:space="preserve">The </w:t>
      </w:r>
      <w:r w:rsidRPr="005B54EE">
        <w:rPr>
          <w:b/>
          <w:bCs/>
        </w:rPr>
        <w:t>biodiversity plan</w:t>
      </w:r>
      <w:r w:rsidRPr="005B54EE">
        <w:t xml:space="preserve">, published in 2018, which aims to implement the objective of reducing the net loss of biodiversity to zero, proposes actions to limit the consumption of natural, agricultural and forest areas in order to achieve the objective of zero net artificialisation. In particular, it proposes a review of commercial development and town planning policies in order to curb the increase in developed areas (buildings, transport infrastructure, car parks, sports grounds etc.) and to promote urban planning with low consumption of space. </w:t>
      </w:r>
    </w:p>
    <w:p w14:paraId="4C835F2F" w14:textId="77777777" w:rsidR="00896B85" w:rsidRPr="005B54EE" w:rsidRDefault="00896B85" w:rsidP="00896B85">
      <w:pPr>
        <w:spacing w:before="240" w:after="240"/>
      </w:pPr>
      <w:r w:rsidRPr="005B54EE">
        <w:t>The French government is now aiming for zero net artificialisation by 2050</w:t>
      </w:r>
      <w:r w:rsidRPr="005B54EE">
        <w:rPr>
          <w:rStyle w:val="FootnoteReference"/>
        </w:rPr>
        <w:footnoteReference w:id="7"/>
      </w:r>
      <w:r w:rsidRPr="005B54EE">
        <w:t>. To this end, it has the regulatory measures of the so-called Climate and Resilience Law, new tools for observing and identifying wasteland, as well as several financial aid schemes (financing of wasteland recycling operations, initially endowed with €300 million, and topped up to €350 million in May 2021, ‘aid for the revival of sustainable construction’ (€350 million) to promote land simplicity, a call for projects in favour of urban innovation is also endowed with €305 million, and the ‘Action Cœur de Ville’ programme is endowed with €5 billion over 5 years).</w:t>
      </w:r>
    </w:p>
    <w:p w14:paraId="66E76A16" w14:textId="77777777" w:rsidR="00896B85" w:rsidRPr="005B54EE" w:rsidRDefault="00896B85" w:rsidP="00A229A3">
      <w:pPr>
        <w:pStyle w:val="Titre4niveau4"/>
        <w:numPr>
          <w:ilvl w:val="2"/>
          <w:numId w:val="14"/>
        </w:numPr>
        <w:spacing w:before="240"/>
      </w:pPr>
      <w:r w:rsidRPr="005B54EE">
        <w:t xml:space="preserve">Carbon storage in forests </w:t>
      </w:r>
    </w:p>
    <w:p w14:paraId="56DDA9EE" w14:textId="71F2EC52" w:rsidR="00896B85" w:rsidRPr="005B54EE" w:rsidRDefault="00896B85" w:rsidP="00896B85">
      <w:pPr>
        <w:spacing w:before="240" w:after="240"/>
      </w:pPr>
      <w:r w:rsidRPr="005B54EE">
        <w:t>French forests currently have an overall positive net contribution to climate change mitigation, with emissions (notably from dead wood oxidation and removals) lower than sequestration. The forest sink was -30.4</w:t>
      </w:r>
      <w:r w:rsidRPr="005B54EE">
        <w:rPr>
          <w:rFonts w:ascii="Calibri" w:hAnsi="Calibri"/>
        </w:rPr>
        <w:t> </w:t>
      </w:r>
      <w:r w:rsidRPr="005B54EE">
        <w:t>MtCO</w:t>
      </w:r>
      <w:r w:rsidRPr="005B54EE">
        <w:rPr>
          <w:vertAlign w:val="subscript"/>
        </w:rPr>
        <w:t>2</w:t>
      </w:r>
      <w:r w:rsidRPr="005B54EE">
        <w:t xml:space="preserve"> in 2020.</w:t>
      </w:r>
    </w:p>
    <w:p w14:paraId="10CCE46F" w14:textId="6BEEAA91" w:rsidR="00896B85" w:rsidRPr="005B54EE" w:rsidRDefault="00896B85" w:rsidP="00896B85">
      <w:pPr>
        <w:spacing w:before="240" w:after="240"/>
      </w:pPr>
      <w:r w:rsidRPr="005B54EE">
        <w:rPr>
          <w:b/>
          <w:bCs/>
        </w:rPr>
        <w:t>The Forest and Wood Conferences, held between October 2021 and March 2022</w:t>
      </w:r>
      <w:r w:rsidRPr="005B54EE">
        <w:t xml:space="preserve">, made it possible to identify the main actions to focus on in the short term in terms of knowledge, forest renewal, biodiversity preservation, investment in the processing sector, governance, etc. These actions will be taken up and amplified within the framework of the </w:t>
      </w:r>
      <w:r w:rsidRPr="005B54EE">
        <w:rPr>
          <w:b/>
          <w:bCs/>
        </w:rPr>
        <w:t>‘forest component’ of the ecological plan</w:t>
      </w:r>
      <w:r w:rsidRPr="005B54EE">
        <w:t xml:space="preserve"> launched by the French Prime Minister at the end of 2022, a plan that will notably fulfil the objective of replanting one billion trees in 10 years set by the President of the Republic on 28 October 2022, following the fires of the summer.</w:t>
      </w:r>
    </w:p>
    <w:p w14:paraId="1F64290E" w14:textId="77777777" w:rsidR="00896B85" w:rsidRPr="005B54EE" w:rsidRDefault="00896B85" w:rsidP="00896B85">
      <w:pPr>
        <w:spacing w:before="240" w:after="240"/>
      </w:pPr>
      <w:r w:rsidRPr="005B54EE">
        <w:rPr>
          <w:b/>
          <w:bCs/>
        </w:rPr>
        <w:t>Substantial financial resources have been made available in recent years to finance forest renewal</w:t>
      </w:r>
      <w:r w:rsidRPr="005B54EE">
        <w:t xml:space="preserve"> (France Recovery then France 2030). At the end of the Forest and Wood Conferences, permanent funding was announced. Dedicated to forest renewal and endowed with 100-150 million euros each year, the funding will be set up from 2024, calling on carbon finance mechanisms in particular with regard to the role of the forest and its products as a carbon sink.</w:t>
      </w:r>
    </w:p>
    <w:p w14:paraId="6087B070" w14:textId="77777777" w:rsidR="00896B85" w:rsidRPr="005B54EE" w:rsidRDefault="00896B85" w:rsidP="00896B85">
      <w:pPr>
        <w:spacing w:before="240" w:after="240"/>
      </w:pPr>
      <w:r w:rsidRPr="005B54EE">
        <w:t xml:space="preserve">Other policies and measures that contribute to reinforcing the forest carbon sink include: </w:t>
      </w:r>
    </w:p>
    <w:p w14:paraId="508894EC" w14:textId="77777777" w:rsidR="00896B85" w:rsidRPr="005B54EE" w:rsidRDefault="00896B85" w:rsidP="002F4FA6">
      <w:pPr>
        <w:numPr>
          <w:ilvl w:val="0"/>
          <w:numId w:val="41"/>
        </w:numPr>
        <w:spacing w:before="240" w:after="240"/>
      </w:pPr>
      <w:r w:rsidRPr="005B54EE">
        <w:t>The</w:t>
      </w:r>
      <w:r w:rsidRPr="005B54EE">
        <w:rPr>
          <w:b/>
          <w:bCs/>
        </w:rPr>
        <w:t xml:space="preserve"> tax incentive scheme for forest investment </w:t>
      </w:r>
      <w:r w:rsidRPr="005B54EE">
        <w:t>(DEFI), which encourages forest owners to adopt a sustainable forest management approach, including joining producer organisations or forestry economic and environmental interest groups (GIEEF), due to a higher tax credit rate, was extended until 31 December 2020. The aim is to improve forest management, which will bring multiple benefits, in particular a reduction in the overcapitalisation of certain forests, greater resilience to the risk of storms, but also greater mobilisation of wood;</w:t>
      </w:r>
    </w:p>
    <w:p w14:paraId="22C61294" w14:textId="77777777" w:rsidR="00896B85" w:rsidRPr="005B54EE" w:rsidRDefault="00896B85" w:rsidP="002F4FA6">
      <w:pPr>
        <w:numPr>
          <w:ilvl w:val="0"/>
          <w:numId w:val="41"/>
        </w:numPr>
        <w:spacing w:before="240" w:after="240"/>
      </w:pPr>
      <w:r w:rsidRPr="005B54EE">
        <w:t xml:space="preserve">The </w:t>
      </w:r>
      <w:r w:rsidRPr="005B54EE">
        <w:rPr>
          <w:b/>
          <w:bCs/>
        </w:rPr>
        <w:t>forestry investment and insurance account</w:t>
      </w:r>
      <w:r w:rsidRPr="005B54EE">
        <w:t xml:space="preserve"> (CIFA), which encourages forest owners to insure themselves against the risk of storms and to build up savings to finance prevention work and, where necessary, the cleaning up and reconstitution of damaged stands. The aim is to improve resilience to climate change and therefore maintain forest sequestration;</w:t>
      </w:r>
    </w:p>
    <w:p w14:paraId="23C38060" w14:textId="77777777" w:rsidR="00896B85" w:rsidRPr="005B54EE" w:rsidRDefault="00896B85" w:rsidP="002F4FA6">
      <w:pPr>
        <w:pStyle w:val="ListParagraph"/>
        <w:numPr>
          <w:ilvl w:val="0"/>
          <w:numId w:val="41"/>
        </w:numPr>
        <w:spacing w:before="240" w:after="240"/>
      </w:pPr>
      <w:r w:rsidRPr="005B54EE">
        <w:t xml:space="preserve">The </w:t>
      </w:r>
      <w:r w:rsidRPr="005B54EE">
        <w:rPr>
          <w:b/>
          <w:bCs/>
        </w:rPr>
        <w:t>forest fire fighting mechanism</w:t>
      </w:r>
      <w:r w:rsidRPr="005B54EE">
        <w:t>, which is put in place every year to protect the populations and the forest massifs. The fight against forest fires starts with the preventive mobilisation of intervention resources and a daily and precise assessment of the fire risk. The President of the Republic has announced a reinforcement of these resources following the fires of summer 2022.</w:t>
      </w:r>
    </w:p>
    <w:p w14:paraId="1E2096BA" w14:textId="77777777" w:rsidR="00896B85" w:rsidRPr="005B54EE" w:rsidRDefault="00896B85" w:rsidP="002F4FA6">
      <w:pPr>
        <w:numPr>
          <w:ilvl w:val="0"/>
          <w:numId w:val="41"/>
        </w:numPr>
        <w:spacing w:before="240" w:after="240"/>
      </w:pPr>
      <w:r w:rsidRPr="005B54EE">
        <w:t xml:space="preserve">The </w:t>
      </w:r>
      <w:r w:rsidRPr="005B54EE">
        <w:rPr>
          <w:b/>
          <w:bCs/>
        </w:rPr>
        <w:t>low-carbon label</w:t>
      </w:r>
      <w:r w:rsidRPr="005B54EE">
        <w:t xml:space="preserve"> created by decree n°2018-1043 of 28 November 2018, allows the Ministry of Ecology Transition to promote the emergence of projects avoiding the emission or sequestering of greenhouse gases (GHG) and to make them more attractive, as part of the voluntary or mandatory compensation of public or private players. Projects that sequester GHG emissions in a way that is additional to existing regulations and incentives can therefore be labelled and then financed by public or private players, with the emission reductions ultimately being recognised for their benefit. Projects wishing to be labelled as low-carbon must fall within the scope of a method approved by the Ministry of Ecology Transition. The role of these methods is to define the scope of application, the eligibility and additionality criteria and the method of calculating the sequestered or reduced GHGs. These GHG sequestration projects can apply to all sectors of activity, excluding activities subject to the European Union Emissions Trading System (EU ETS). Eleven methods have already been approved, including three in forestry.</w:t>
      </w:r>
    </w:p>
    <w:p w14:paraId="63432BB8" w14:textId="77777777" w:rsidR="00896B85" w:rsidRPr="005B54EE" w:rsidRDefault="00896B85" w:rsidP="002F4FA6">
      <w:pPr>
        <w:numPr>
          <w:ilvl w:val="0"/>
          <w:numId w:val="41"/>
        </w:numPr>
        <w:spacing w:before="240" w:after="240"/>
      </w:pPr>
      <w:r w:rsidRPr="005B54EE">
        <w:t xml:space="preserve">The </w:t>
      </w:r>
      <w:r w:rsidRPr="005B54EE">
        <w:rPr>
          <w:b/>
          <w:bCs/>
        </w:rPr>
        <w:t>National Climate Change Adaptation Plan</w:t>
      </w:r>
      <w:r w:rsidRPr="005B54EE">
        <w:t>, which includes measures for forests. Adaptation to climate change is essential to ensure and secure the forest's function as a carbon sink.</w:t>
      </w:r>
    </w:p>
    <w:p w14:paraId="22F11CFE" w14:textId="77777777" w:rsidR="00896B85" w:rsidRPr="005B54EE" w:rsidRDefault="00896B85" w:rsidP="00896B85">
      <w:pPr>
        <w:spacing w:before="240" w:after="240"/>
      </w:pPr>
      <w:r w:rsidRPr="005B54EE">
        <w:t xml:space="preserve">In addition, a number of cross-sectoral measures are aimed at both better forest management and greater wood mobilisation: </w:t>
      </w:r>
    </w:p>
    <w:p w14:paraId="16F20C60" w14:textId="77777777" w:rsidR="00896B85" w:rsidRPr="005B54EE" w:rsidRDefault="00896B85" w:rsidP="002F4FA6">
      <w:pPr>
        <w:numPr>
          <w:ilvl w:val="0"/>
          <w:numId w:val="42"/>
        </w:numPr>
        <w:spacing w:before="240" w:after="240"/>
      </w:pPr>
      <w:r w:rsidRPr="005B54EE">
        <w:t xml:space="preserve">The </w:t>
      </w:r>
      <w:r w:rsidRPr="005B54EE">
        <w:rPr>
          <w:b/>
          <w:bCs/>
        </w:rPr>
        <w:t>National Forest and Wood Programme</w:t>
      </w:r>
      <w:r w:rsidRPr="005B54EE">
        <w:t xml:space="preserve"> (PNFB), resulting from the LAAAF, and approved by decree on 8 February 2017, sets the guidelines for forestry policy for the decade 2016-2026. In particular, it aims to optimise forestry levers to adapt French forests to climate change and contribute to mitigation, taking into consideration the complete carbon footprint of the forestry-wood sector (carbon storage in living above-ground and underground biomass, in dead biomass, in forest soils, in wood products, substitution of wood for fossil fuels or competing materials). In particular, it sets a target for additional commercial wood mobilisation of 12 Mm³ by 2026 compared to 2015. The </w:t>
      </w:r>
      <w:r w:rsidRPr="005B54EE">
        <w:rPr>
          <w:b/>
          <w:bCs/>
        </w:rPr>
        <w:t>regional forestry and wood programmes</w:t>
      </w:r>
      <w:r w:rsidRPr="005B54EE">
        <w:t xml:space="preserve"> (PRFB) are a regional variation of the national forestry and wood programme and are being developed by the regions. The PRFBs will take up the structural elements of the regional multiannual forest development plans; </w:t>
      </w:r>
    </w:p>
    <w:p w14:paraId="5ED17905" w14:textId="77777777" w:rsidR="00896B85" w:rsidRPr="005B54EE" w:rsidRDefault="00896B85" w:rsidP="002F4FA6">
      <w:pPr>
        <w:numPr>
          <w:ilvl w:val="0"/>
          <w:numId w:val="42"/>
        </w:numPr>
        <w:spacing w:before="240" w:after="240"/>
      </w:pPr>
      <w:r w:rsidRPr="005B54EE">
        <w:t xml:space="preserve">The </w:t>
      </w:r>
      <w:r w:rsidRPr="005B54EE">
        <w:rPr>
          <w:b/>
          <w:bCs/>
        </w:rPr>
        <w:t>inter-ministerial action plan for the revival of the forestry and wood industry</w:t>
      </w:r>
      <w:r w:rsidRPr="005B54EE">
        <w:t xml:space="preserve"> (PAIFB), presented by the government on 16 November 2018. It identifies priority actions grouped into three areas which are based on the mobilisation and the sustainable renewal of the forest, the development of end markets and support for innovation and investment, the improvement of the sector’s environmental performance and its development in the regions.</w:t>
      </w:r>
    </w:p>
    <w:p w14:paraId="251C8CDC" w14:textId="77777777" w:rsidR="00896B85" w:rsidRPr="005B54EE" w:rsidRDefault="00896B85" w:rsidP="002F4FA6">
      <w:pPr>
        <w:numPr>
          <w:ilvl w:val="0"/>
          <w:numId w:val="42"/>
        </w:numPr>
        <w:spacing w:before="240" w:after="240"/>
      </w:pPr>
      <w:r w:rsidRPr="005B54EE">
        <w:t xml:space="preserve">The </w:t>
      </w:r>
      <w:r w:rsidRPr="005B54EE">
        <w:rPr>
          <w:b/>
          <w:bCs/>
        </w:rPr>
        <w:t>strategic contract for the wood industry</w:t>
      </w:r>
      <w:r w:rsidRPr="005B54EE">
        <w:t xml:space="preserve"> (CSF 2018-2022), signed by the industry's professionals and the government, aims to promote the use of wood and strengthen the industry's competitiveness. The CSF contributes to defining a new model of circular economy aimed at sustainable production, by limiting the waste of raw materials and ensuring the recycling and recovery of wood waste. It also provides for the development of the use of wood in construction, therefore allowing for long-term carbon storage. An amendment was signed for 2021-2022 for the implementation of the recovery plan.</w:t>
      </w:r>
    </w:p>
    <w:p w14:paraId="535497CE" w14:textId="77777777" w:rsidR="00896B85" w:rsidRPr="005B54EE" w:rsidRDefault="00896B85" w:rsidP="002F4FA6">
      <w:pPr>
        <w:numPr>
          <w:ilvl w:val="0"/>
          <w:numId w:val="42"/>
        </w:numPr>
        <w:spacing w:before="240" w:after="240"/>
      </w:pPr>
      <w:r w:rsidRPr="005B54EE">
        <w:t xml:space="preserve">The </w:t>
      </w:r>
      <w:r w:rsidRPr="005B54EE">
        <w:rPr>
          <w:b/>
          <w:bCs/>
        </w:rPr>
        <w:t>National Bioeconomy Strategy</w:t>
      </w:r>
      <w:r w:rsidRPr="005B54EE">
        <w:t xml:space="preserve"> (adopted in 2017) and its 2018-2020 action plan integrate all public policies dealing with biomass in the same perspective, in order to put the renewable carbon and living economy back at the heart of the economy, by replacing fossil and mining products with bio-based products. The action plan breaks down the bioeconomy strategy into operational actions divided into five areas: improving knowledge; promoting the bioeconomy and its products to the general public; creating the conditions for supply and demand to be met; producing, mobilising and transforming bio-resources in a sustainable manner; removing barriers and mobilising funding.</w:t>
      </w:r>
    </w:p>
    <w:p w14:paraId="047FC005" w14:textId="3C575468" w:rsidR="00896B85" w:rsidRPr="005B54EE" w:rsidRDefault="00896B85" w:rsidP="002F4FA6">
      <w:pPr>
        <w:numPr>
          <w:ilvl w:val="0"/>
          <w:numId w:val="42"/>
        </w:numPr>
        <w:spacing w:before="240" w:after="240"/>
      </w:pPr>
      <w:r w:rsidRPr="005B54EE">
        <w:t xml:space="preserve">The </w:t>
      </w:r>
      <w:r w:rsidRPr="005B54EE">
        <w:rPr>
          <w:b/>
          <w:bCs/>
        </w:rPr>
        <w:t>Forest-Wood 2025 Research-Innovation Plan</w:t>
      </w:r>
      <w:r w:rsidRPr="005B54EE">
        <w:t>, which describes the main priorities of the sector in terms of research and development: increasing the use of wood with high added value, particularly hardwoods, improving the performance of the sector, ensuring its adaptation, etc. The launch of a €50 million priority research programme for forest resilience and biodiversity and an agile bioeconomy, led by public research, was announced on 21 November 2022</w:t>
      </w:r>
      <w:r w:rsidRPr="005B54EE">
        <w:rPr>
          <w:rStyle w:val="FootnoteReference"/>
        </w:rPr>
        <w:footnoteReference w:id="8"/>
      </w:r>
      <w:r w:rsidRPr="005B54EE">
        <w:t xml:space="preserve">. </w:t>
      </w:r>
    </w:p>
    <w:p w14:paraId="33F62D00" w14:textId="77777777" w:rsidR="00896B85" w:rsidRPr="005B54EE" w:rsidRDefault="00896B85" w:rsidP="00A229A3">
      <w:pPr>
        <w:pStyle w:val="Titre4niveau4"/>
        <w:numPr>
          <w:ilvl w:val="2"/>
          <w:numId w:val="14"/>
        </w:numPr>
        <w:spacing w:before="240"/>
      </w:pPr>
      <w:r w:rsidRPr="005B54EE">
        <w:t xml:space="preserve">Development of wood material </w:t>
      </w:r>
    </w:p>
    <w:p w14:paraId="062920C9" w14:textId="13A94711" w:rsidR="00896B85" w:rsidRPr="005B54EE" w:rsidRDefault="00896B85" w:rsidP="00896B85">
      <w:pPr>
        <w:spacing w:before="240" w:after="240"/>
      </w:pPr>
      <w:r w:rsidRPr="005B54EE">
        <w:t>Wood material produced and used in a sustainable way requires little energy for its manufacture and allows the temporary storage of carbon: it already allows the storage of about 2 MtCO</w:t>
      </w:r>
      <w:r w:rsidRPr="005B54EE">
        <w:rPr>
          <w:vertAlign w:val="subscript"/>
        </w:rPr>
        <w:t>2eq</w:t>
      </w:r>
      <w:r w:rsidRPr="005B54EE">
        <w:t xml:space="preserve"> annually in France and the development of these uses would allow it to increase. In addition, it can replace materials whose manufacture generates greenhouse gases (such as concrete, steel and aluminium). </w:t>
      </w:r>
    </w:p>
    <w:p w14:paraId="72DB72F1" w14:textId="218CFC85" w:rsidR="00896B85" w:rsidRPr="005B54EE" w:rsidRDefault="00896B85" w:rsidP="00896B85">
      <w:pPr>
        <w:spacing w:before="240" w:after="240"/>
      </w:pPr>
      <w:r w:rsidRPr="005B54EE">
        <w:t xml:space="preserve">Several measures are planned to promote the development of wood materials, particularly in construction. </w:t>
      </w:r>
      <w:r w:rsidRPr="005B54EE">
        <w:rPr>
          <w:b/>
          <w:bCs/>
        </w:rPr>
        <w:t>Wood Plans I, II and III (Wood Plan IV</w:t>
      </w:r>
      <w:r w:rsidRPr="005B54EE">
        <w:t xml:space="preserve"> covers the period 2021-2024) have helped remove technical and regulatory barriers related to the use of wood in medium and high-rise construction. The aim of the </w:t>
      </w:r>
      <w:r w:rsidRPr="005B54EE">
        <w:rPr>
          <w:b/>
          <w:bCs/>
        </w:rPr>
        <w:t>New Industrial France plan ‘Wooden high-rise buildings’</w:t>
      </w:r>
      <w:r w:rsidRPr="005B54EE">
        <w:t xml:space="preserve"> is to demonstrate, in a very concrete way through the construction of buildings, the feasibility of building in wood at great heights and to, subsequently, make the most appropriate technical solutions more accessible. Finally, </w:t>
      </w:r>
      <w:r w:rsidRPr="005B54EE">
        <w:rPr>
          <w:b/>
          <w:bCs/>
        </w:rPr>
        <w:t>the RE2020</w:t>
      </w:r>
      <w:r w:rsidRPr="005B54EE">
        <w:t xml:space="preserve"> (see section </w:t>
      </w:r>
      <w:r w:rsidR="00E862E7" w:rsidRPr="005B54EE">
        <w:fldChar w:fldCharType="begin"/>
      </w:r>
      <w:r w:rsidR="00E862E7" w:rsidRPr="005B54EE">
        <w:instrText xml:space="preserve"> REF _Ref122701470 \r \h </w:instrText>
      </w:r>
      <w:r w:rsidR="0098629B" w:rsidRPr="005B54EE">
        <w:instrText xml:space="preserve"> \* MERGEFORMAT </w:instrText>
      </w:r>
      <w:r w:rsidR="00E862E7" w:rsidRPr="005B54EE">
        <w:fldChar w:fldCharType="separate"/>
      </w:r>
      <w:r w:rsidR="005B1C45">
        <w:t>C.2</w:t>
      </w:r>
      <w:r w:rsidR="00E862E7" w:rsidRPr="005B54EE">
        <w:fldChar w:fldCharType="end"/>
      </w:r>
      <w:r w:rsidRPr="005B54EE">
        <w:t>) takes into account all the emissions of a new building over its entire life cycle (including the manufacture of materials), which promotes biosourced products.</w:t>
      </w:r>
    </w:p>
    <w:p w14:paraId="67D58308" w14:textId="77777777" w:rsidR="00896B85" w:rsidRPr="005B54EE" w:rsidRDefault="00896B85" w:rsidP="00896B85">
      <w:pPr>
        <w:spacing w:before="240" w:after="240"/>
      </w:pPr>
      <w:r w:rsidRPr="005B54EE">
        <w:t>The ‘</w:t>
      </w:r>
      <w:r w:rsidRPr="005B54EE">
        <w:rPr>
          <w:b/>
          <w:bCs/>
        </w:rPr>
        <w:t>biosourced buildings</w:t>
      </w:r>
      <w:r w:rsidRPr="005B54EE">
        <w:t>’ label, which has been operational since 2013, helps give greater visibility to new buildings that make an effort to significantly use materials of plant and animal origin (wood, hemp, straw, wool, feathers etc.)</w:t>
      </w:r>
    </w:p>
    <w:p w14:paraId="0510B0F0" w14:textId="77777777" w:rsidR="00896B85" w:rsidRPr="005B54EE" w:rsidRDefault="00896B85" w:rsidP="00896B85">
      <w:pPr>
        <w:spacing w:before="240" w:after="240"/>
      </w:pPr>
      <w:r w:rsidRPr="005B54EE">
        <w:t xml:space="preserve">Companies in the wood industry also benefit from several </w:t>
      </w:r>
      <w:r w:rsidRPr="005B54EE">
        <w:rPr>
          <w:b/>
          <w:bCs/>
        </w:rPr>
        <w:t>financing schemes managed by the French public investment bank Bpifrance</w:t>
      </w:r>
      <w:r w:rsidRPr="005B54EE">
        <w:rPr>
          <w:vertAlign w:val="superscript"/>
        </w:rPr>
        <w:footnoteReference w:id="9"/>
      </w:r>
      <w:r w:rsidRPr="005B54EE">
        <w:t>: the ‘Prêt Participatif de Développement (PPD) Bois’ and the ‘Prêt Filière Bois’ for debt financing, the ‘Fonds Bois’ for equity investments. They also benefit from a support system, the Filière Bois Accelerator, including advice, training and networking to facilitate their growth.</w:t>
      </w:r>
    </w:p>
    <w:p w14:paraId="6C60914B" w14:textId="77777777" w:rsidR="00896B85" w:rsidRPr="005B54EE" w:rsidRDefault="00896B85" w:rsidP="00A229A3">
      <w:pPr>
        <w:pStyle w:val="Titre4niveau4"/>
        <w:numPr>
          <w:ilvl w:val="2"/>
          <w:numId w:val="14"/>
        </w:numPr>
        <w:spacing w:before="240"/>
      </w:pPr>
      <w:r w:rsidRPr="005B54EE">
        <w:t xml:space="preserve">Development of biomass energy </w:t>
      </w:r>
    </w:p>
    <w:p w14:paraId="4FB2ED98" w14:textId="77777777" w:rsidR="00896B85" w:rsidRPr="005B54EE" w:rsidRDefault="00896B85" w:rsidP="00896B85">
      <w:pPr>
        <w:spacing w:before="240" w:after="240"/>
      </w:pPr>
      <w:r w:rsidRPr="005B54EE">
        <w:t xml:space="preserve">Wood energy can be harvested as a co-product of timber, respecting the hierarchy of uses. It is therefore interesting to use the heat produced by the harvesting of timber and industrial wood, sawmills and certain wood waste. More generally, the development of the use of biomass for energy purposes makes it possible to reduce GHG emissions in various sectors of activity when it replaces fossil fuels. The choice was made to report the measures for the development of biomass energy in this forest section (rather than in the energy section) because they are complementary to the measures aimed at ensuring sustainable forest management. Public policy on forests and wood aims to take into account the upstream and downstream forestry sectors in a complementary manner. </w:t>
      </w:r>
    </w:p>
    <w:p w14:paraId="1E51CA18" w14:textId="77777777" w:rsidR="00896B85" w:rsidRPr="005B54EE" w:rsidRDefault="00896B85" w:rsidP="00896B85">
      <w:pPr>
        <w:spacing w:before="240" w:after="240"/>
      </w:pPr>
      <w:r w:rsidRPr="005B54EE">
        <w:t xml:space="preserve">The </w:t>
      </w:r>
      <w:r w:rsidRPr="005B54EE">
        <w:rPr>
          <w:b/>
          <w:bCs/>
        </w:rPr>
        <w:t>National Strategy for Biomass Mobilisation</w:t>
      </w:r>
      <w:r w:rsidRPr="005B54EE">
        <w:t xml:space="preserve"> (SNMB) and the </w:t>
      </w:r>
      <w:r w:rsidRPr="005B54EE">
        <w:rPr>
          <w:b/>
          <w:bCs/>
        </w:rPr>
        <w:t>Regional Biomass Mobilisation Schemes</w:t>
      </w:r>
      <w:r w:rsidRPr="005B54EE">
        <w:t xml:space="preserve"> (SRB) stem from the Energy Transition for Green Growth Act of August 2015. The SNMB defines guidelines, recommendations and actions concerning the production and use of biomass likely to be used for energy purposes, with a view to developing the production of biomass and increasing its mobilisation while ensuring that its uses are well linked, and that climate change is mitigated. The SRBs adapt the SNMB to regional specificities. </w:t>
      </w:r>
    </w:p>
    <w:p w14:paraId="42C2C772" w14:textId="77777777" w:rsidR="00896B85" w:rsidRPr="005B54EE" w:rsidRDefault="00896B85" w:rsidP="00896B85">
      <w:pPr>
        <w:spacing w:before="240" w:after="240"/>
      </w:pPr>
      <w:r w:rsidRPr="005B54EE">
        <w:t xml:space="preserve">In terms of heat production, the </w:t>
      </w:r>
      <w:r w:rsidRPr="005B54EE">
        <w:rPr>
          <w:b/>
          <w:bCs/>
        </w:rPr>
        <w:t>heat fund</w:t>
      </w:r>
      <w:r w:rsidRPr="005B54EE">
        <w:t xml:space="preserve"> managed by ADEME since 2009 (see Energy section) supports numerous biomass heating projects. Over the 2009-2021 period, 6,566 projects were supported (including 1,853 wood-biomass projects) for a total of 2.9 billion euros in aid and an annual heat production of 3.34 Mtoe</w:t>
      </w:r>
      <w:r w:rsidRPr="005B54EE">
        <w:rPr>
          <w:rStyle w:val="FootnoteReference"/>
        </w:rPr>
        <w:footnoteReference w:id="10"/>
      </w:r>
      <w:r w:rsidRPr="005B54EE">
        <w:t xml:space="preserve">. In addition, two calls for expressions of interest called </w:t>
      </w:r>
      <w:r w:rsidRPr="005B54EE">
        <w:rPr>
          <w:b/>
          <w:bCs/>
        </w:rPr>
        <w:t>DYNAMIC bois</w:t>
      </w:r>
      <w:r w:rsidRPr="005B54EE">
        <w:t xml:space="preserve"> were launched by ADEME in 2015 and 2016 to support innovative and operational actions to mobilise additional wood to facilitate the supply of biomass heating projects financed under the heat fund and to improve forest stands. </w:t>
      </w:r>
    </w:p>
    <w:p w14:paraId="456A3A41" w14:textId="77777777" w:rsidR="00896B85" w:rsidRPr="005B54EE" w:rsidRDefault="00896B85" w:rsidP="00896B85">
      <w:pPr>
        <w:spacing w:before="240" w:after="240"/>
      </w:pPr>
      <w:r w:rsidRPr="005B54EE">
        <w:t xml:space="preserve">Electricity production from solid biomass is supported by contractual arrangements from </w:t>
      </w:r>
      <w:r w:rsidRPr="005B54EE">
        <w:rPr>
          <w:b/>
          <w:bCs/>
        </w:rPr>
        <w:t>past tenders.</w:t>
      </w:r>
      <w:r w:rsidRPr="005B54EE">
        <w:t xml:space="preserve"> Support schemes now focus on support for renewable heat.</w:t>
      </w:r>
    </w:p>
    <w:p w14:paraId="6A24B261" w14:textId="1FDAC798" w:rsidR="00A229A3" w:rsidRPr="005B54EE" w:rsidRDefault="00896B85" w:rsidP="00896B85">
      <w:r w:rsidRPr="005B54EE">
        <w:t>In addition, the MaPrimeRénov' schemes (see section B.2. Residential/tertiary), energy saving certificates (see Energy section) and the zero-interest eco-loan (see Residential/tertiary section) support the development of wood energy for individuals.</w:t>
      </w:r>
    </w:p>
    <w:p w14:paraId="36146BE6" w14:textId="0E2A52A9" w:rsidR="00630A34" w:rsidRPr="005B54EE" w:rsidRDefault="00630A34" w:rsidP="00B04A7C">
      <w:pPr>
        <w:pStyle w:val="Titre3Niveau3"/>
      </w:pPr>
      <w:bookmarkStart w:id="72" w:name="_Toc121149516"/>
      <w:bookmarkStart w:id="73" w:name="_Toc138344680"/>
      <w:r w:rsidRPr="005B54EE">
        <w:t>Waste treatment</w:t>
      </w:r>
      <w:bookmarkEnd w:id="72"/>
      <w:bookmarkEnd w:id="73"/>
    </w:p>
    <w:p w14:paraId="2F30D50E" w14:textId="16F887D9" w:rsidR="00A229A3" w:rsidRPr="005B54EE" w:rsidRDefault="00A229A3" w:rsidP="00A229A3">
      <w:pPr>
        <w:spacing w:before="240" w:after="240"/>
      </w:pPr>
      <w:r w:rsidRPr="005B54EE">
        <w:t>In 2020, this sector contributed 4%</w:t>
      </w:r>
      <w:r w:rsidRPr="005B54EE">
        <w:rPr>
          <w:rStyle w:val="FootnoteReference"/>
        </w:rPr>
        <w:footnoteReference w:id="11"/>
      </w:r>
      <w:r w:rsidRPr="005B54EE">
        <w:t xml:space="preserve"> of French greenhouse gas emissions. Landfill accounts for 82% of the sector’s emissions, incineration without energy recovery for 9%, other solid waste treatment (sorting and recycling, compost and biogas production) for 6% of the sector’s emissions and wastewater treatment for 3%. Methane from landfill and solid waste and wastewater treatment is the main greenhouse gas emitted by this sector in 2020 (88% of emissions), followed by CO</w:t>
      </w:r>
      <w:r w:rsidRPr="005B54EE">
        <w:rPr>
          <w:vertAlign w:val="subscript"/>
        </w:rPr>
        <w:t>2</w:t>
      </w:r>
      <w:r w:rsidRPr="005B54EE">
        <w:t xml:space="preserve"> from waste incineration (9%) and N</w:t>
      </w:r>
      <w:r w:rsidRPr="005B54EE">
        <w:rPr>
          <w:vertAlign w:val="subscript"/>
        </w:rPr>
        <w:t>2</w:t>
      </w:r>
      <w:r w:rsidRPr="005B54EE">
        <w:t>O mainly from wastewater and solid waste treatment (3%).</w:t>
      </w:r>
    </w:p>
    <w:p w14:paraId="7F6A349A" w14:textId="77777777" w:rsidR="00A229A3" w:rsidRPr="005B54EE" w:rsidRDefault="00A229A3" w:rsidP="00A229A3">
      <w:pPr>
        <w:spacing w:before="240" w:after="240"/>
      </w:pPr>
      <w:r w:rsidRPr="005B54EE">
        <w:t xml:space="preserve">The prevention of waste production is listed in the Environmental Code as the priority in waste management. Preventing waste production not only avoids the environmental impacts of waste treatment, it also avoids the environmental impacts of the upstream stages of the product life cycle: extraction of natural resources, production of goods and services, distribution and use. </w:t>
      </w:r>
    </w:p>
    <w:p w14:paraId="2870F2D4" w14:textId="77777777" w:rsidR="00A229A3" w:rsidRPr="005B54EE" w:rsidRDefault="00A229A3" w:rsidP="00A229A3">
      <w:pPr>
        <w:spacing w:before="240" w:after="240"/>
      </w:pPr>
      <w:r w:rsidRPr="005B54EE">
        <w:t xml:space="preserve">Several measures have been put in place to reduce waste production: </w:t>
      </w:r>
    </w:p>
    <w:p w14:paraId="102084A9" w14:textId="77777777" w:rsidR="00A229A3" w:rsidRPr="005B54EE" w:rsidRDefault="00A229A3" w:rsidP="002F4FA6">
      <w:pPr>
        <w:numPr>
          <w:ilvl w:val="0"/>
          <w:numId w:val="43"/>
        </w:numPr>
        <w:spacing w:before="240" w:after="240"/>
      </w:pPr>
      <w:r w:rsidRPr="005B54EE">
        <w:t>The end of eligibility for the remuneration supplement for the production of electricity from waste incinerated in household waste incineration plants (in 2016) and from landfill gas (in 2020).</w:t>
      </w:r>
    </w:p>
    <w:p w14:paraId="4A8E1279" w14:textId="77777777" w:rsidR="00A229A3" w:rsidRPr="005B54EE" w:rsidRDefault="00A229A3" w:rsidP="002F4FA6">
      <w:pPr>
        <w:numPr>
          <w:ilvl w:val="0"/>
          <w:numId w:val="43"/>
        </w:numPr>
        <w:spacing w:before="240" w:after="240"/>
      </w:pPr>
      <w:r w:rsidRPr="005B54EE">
        <w:rPr>
          <w:b/>
          <w:bCs/>
        </w:rPr>
        <w:t>Single-use plastic bags have been banned</w:t>
      </w:r>
      <w:r w:rsidRPr="005B54EE">
        <w:t xml:space="preserve"> since 1 January 2016; </w:t>
      </w:r>
    </w:p>
    <w:p w14:paraId="476785F2" w14:textId="77777777" w:rsidR="00A229A3" w:rsidRPr="005B54EE" w:rsidRDefault="00A229A3" w:rsidP="002F4FA6">
      <w:pPr>
        <w:numPr>
          <w:ilvl w:val="0"/>
          <w:numId w:val="43"/>
        </w:numPr>
        <w:spacing w:before="240" w:after="240"/>
      </w:pPr>
      <w:r w:rsidRPr="005B54EE">
        <w:t xml:space="preserve">The </w:t>
      </w:r>
      <w:r w:rsidRPr="005B54EE">
        <w:rPr>
          <w:b/>
          <w:bCs/>
        </w:rPr>
        <w:t>fight against food waste</w:t>
      </w:r>
      <w:r w:rsidRPr="005B54EE">
        <w:t xml:space="preserve"> has been established as a national priority with a target of halving food loss and waste by 2025. The following measures have been taken: large food stores are now obliged to offer agreements to authorised charities for the donation of unsold foodstuffs. Distributors are prohibited from deliberately making unsold food unfit for consumption. The State, its public institutions and local authorities are obliged to establish an approach to combat food waste in the contract catering services they manage; </w:t>
      </w:r>
    </w:p>
    <w:p w14:paraId="698A7485" w14:textId="77777777" w:rsidR="00A229A3" w:rsidRPr="005B54EE" w:rsidRDefault="00A229A3" w:rsidP="002F4FA6">
      <w:pPr>
        <w:numPr>
          <w:ilvl w:val="0"/>
          <w:numId w:val="43"/>
        </w:numPr>
        <w:spacing w:before="240" w:after="240"/>
      </w:pPr>
      <w:r w:rsidRPr="005B54EE">
        <w:t xml:space="preserve">Built-in obsolescence was defined in the Energy Transition for Green Growth Act of 17 August 2015 as ‘all techniques by which a marketer aims to deliberately reduce the lifespan of a product in order to increase its replacement rate’. The law recognises the </w:t>
      </w:r>
      <w:r w:rsidRPr="005B54EE">
        <w:rPr>
          <w:b/>
          <w:bCs/>
        </w:rPr>
        <w:t>offence of built-in obsolescence</w:t>
      </w:r>
      <w:r w:rsidRPr="005B54EE">
        <w:t xml:space="preserve">, which is punishable by two years’ imprisonment and a fine of €300,000, the amount of which can be increased to 5% of average annual turnover. </w:t>
      </w:r>
    </w:p>
    <w:p w14:paraId="7FA509D3" w14:textId="77777777" w:rsidR="00A229A3" w:rsidRPr="005B54EE" w:rsidRDefault="00A229A3" w:rsidP="00A229A3">
      <w:pPr>
        <w:spacing w:before="240" w:after="240"/>
      </w:pPr>
      <w:r w:rsidRPr="005B54EE">
        <w:t xml:space="preserve">After waste prevention, the waste treatment hierarchy in French law (pursuant to European Waste Directive 2008/98/EC) is as follows: reuse, recycling and other forms of material recovery, energy recovery and disposal (incineration without energy recovery and landfill). </w:t>
      </w:r>
    </w:p>
    <w:p w14:paraId="7976D8FD" w14:textId="77777777" w:rsidR="00A229A3" w:rsidRPr="005B54EE" w:rsidRDefault="00A229A3" w:rsidP="00A229A3">
      <w:pPr>
        <w:spacing w:before="240" w:after="240"/>
      </w:pPr>
      <w:r w:rsidRPr="005B54EE">
        <w:rPr>
          <w:b/>
          <w:bCs/>
        </w:rPr>
        <w:t>Extended Producer Responsibility</w:t>
      </w:r>
      <w:r w:rsidRPr="005B54EE">
        <w:t xml:space="preserve"> (EPR) schemes are organisational arrangements for the prevention and management of waste that concern certain types of products. These arrangements are based on the principal of extended producer responsibility, according to which producers, i.e. those responsible for putting certain products on the market, are made responsible for financing or organising management of waste from these products at the end of their life. There are currently about twenty channels in France that are subject to this principle, which has been implemented gradually since 1992. Such a scheme allows the producer to include the cost of waste management in the cost of the product and encourages the sustainable design of their product to reduce waste. </w:t>
      </w:r>
      <w:r w:rsidRPr="005B54EE">
        <w:rPr>
          <w:b/>
          <w:bCs/>
        </w:rPr>
        <w:t xml:space="preserve">Law no. 2020-105 of 10 February 2020 on the fight against waste and the circular economy (AGEC) </w:t>
      </w:r>
      <w:r w:rsidRPr="005B54EE">
        <w:t>stipulates that any product covered by the principle of extended producer responsibility (EPR), with the exclusion of household glass drink containers, must be marked with a Triman sign</w:t>
      </w:r>
      <w:r w:rsidRPr="005B54EE">
        <w:rPr>
          <w:rStyle w:val="FootnoteReference"/>
        </w:rPr>
        <w:footnoteReference w:id="12"/>
      </w:r>
      <w:r w:rsidRPr="005B54EE">
        <w:t xml:space="preserve"> informing the consumer that this product is subject to sorting rules. This Triman sign is accompanied by information on how to sort or get the waste from the product. If several elements of the product or waste from the product are subject to different sorting arrangements, these arrangements are detailed element by element. This information shall appear on the product, its packaging or, failing that, in the other documents supplied with the product, without prejudice to the symbols affixed pursuant to other provisions.</w:t>
      </w:r>
    </w:p>
    <w:p w14:paraId="5F6F4D22" w14:textId="77777777" w:rsidR="00A229A3" w:rsidRPr="005B54EE" w:rsidRDefault="00A229A3" w:rsidP="00A229A3">
      <w:pPr>
        <w:spacing w:before="240" w:after="240"/>
      </w:pPr>
      <w:r w:rsidRPr="005B54EE">
        <w:t>The AGEC law also stipulates the creation of eleven additional EPR schemes between 2021 and 2025</w:t>
      </w:r>
      <w:r w:rsidRPr="005B54EE">
        <w:rPr>
          <w:rStyle w:val="FootnoteReference"/>
        </w:rPr>
        <w:footnoteReference w:id="13"/>
      </w:r>
      <w:r w:rsidRPr="005B54EE">
        <w:t>.</w:t>
      </w:r>
    </w:p>
    <w:p w14:paraId="4BEEE87E" w14:textId="77777777" w:rsidR="00A229A3" w:rsidRPr="005B54EE" w:rsidRDefault="00A229A3" w:rsidP="00A229A3">
      <w:pPr>
        <w:spacing w:before="240" w:after="240"/>
      </w:pPr>
      <w:r w:rsidRPr="005B54EE">
        <w:t xml:space="preserve">Immediately after waste reduction and prevention, sorting waste at the source is a very important step to direct it into an appropriate channel and increase the quantities of recovered waste. The energy transition for green growth act has put in place a set of provisions relating to sorting:  </w:t>
      </w:r>
    </w:p>
    <w:p w14:paraId="275A0D21" w14:textId="77777777" w:rsidR="00A229A3" w:rsidRPr="005B54EE" w:rsidRDefault="00A229A3" w:rsidP="002F4FA6">
      <w:pPr>
        <w:numPr>
          <w:ilvl w:val="0"/>
          <w:numId w:val="44"/>
        </w:numPr>
        <w:spacing w:before="240" w:after="240"/>
      </w:pPr>
      <w:r w:rsidRPr="005B54EE">
        <w:rPr>
          <w:b/>
          <w:bCs/>
        </w:rPr>
        <w:t xml:space="preserve">Obligation to sort </w:t>
      </w:r>
      <w:r w:rsidRPr="005B54EE">
        <w:t xml:space="preserve">paper, cardboard, plastic, metal, wood, glass with a view to material or energy recovery </w:t>
      </w:r>
      <w:r w:rsidRPr="005B54EE">
        <w:rPr>
          <w:b/>
          <w:bCs/>
        </w:rPr>
        <w:t>for waste from economic activities</w:t>
      </w:r>
      <w:r w:rsidRPr="005B54EE">
        <w:t xml:space="preserve"> of companies and administrations; </w:t>
      </w:r>
    </w:p>
    <w:p w14:paraId="44B67F48" w14:textId="77777777" w:rsidR="00A229A3" w:rsidRPr="005B54EE" w:rsidRDefault="00A229A3" w:rsidP="002F4FA6">
      <w:pPr>
        <w:numPr>
          <w:ilvl w:val="0"/>
          <w:numId w:val="44"/>
        </w:numPr>
        <w:spacing w:before="240" w:after="240"/>
      </w:pPr>
      <w:r w:rsidRPr="005B54EE">
        <w:rPr>
          <w:b/>
          <w:bCs/>
        </w:rPr>
        <w:t>Roll-out of bio-waste separation at source</w:t>
      </w:r>
      <w:r w:rsidRPr="005B54EE">
        <w:t xml:space="preserve"> for households by 2025; </w:t>
      </w:r>
    </w:p>
    <w:p w14:paraId="283DD442" w14:textId="77777777" w:rsidR="00A229A3" w:rsidRPr="005B54EE" w:rsidRDefault="00A229A3" w:rsidP="002F4FA6">
      <w:pPr>
        <w:numPr>
          <w:ilvl w:val="0"/>
          <w:numId w:val="44"/>
        </w:numPr>
        <w:spacing w:before="240" w:after="240"/>
      </w:pPr>
      <w:r w:rsidRPr="005B54EE">
        <w:t xml:space="preserve">Deployment of </w:t>
      </w:r>
      <w:r w:rsidRPr="005B54EE">
        <w:rPr>
          <w:b/>
          <w:bCs/>
        </w:rPr>
        <w:t>incentive-based pricing for the collection of household and similar waste</w:t>
      </w:r>
      <w:r w:rsidRPr="005B54EE">
        <w:t xml:space="preserve">, i.e. introducing a variable part in the household waste collection tax to reward good sorting; </w:t>
      </w:r>
    </w:p>
    <w:p w14:paraId="6704BF6A" w14:textId="77777777" w:rsidR="00A229A3" w:rsidRPr="005B54EE" w:rsidRDefault="00A229A3" w:rsidP="002F4FA6">
      <w:pPr>
        <w:numPr>
          <w:ilvl w:val="0"/>
          <w:numId w:val="44"/>
        </w:numPr>
        <w:spacing w:before="240" w:after="240"/>
      </w:pPr>
      <w:r w:rsidRPr="005B54EE">
        <w:rPr>
          <w:b/>
          <w:bCs/>
        </w:rPr>
        <w:t>Extension of sorting instructions for household packaging to all plastic packaging</w:t>
      </w:r>
      <w:r w:rsidRPr="005B54EE">
        <w:t xml:space="preserve"> by 2022, including plastic films and containers (until now, only plastic bottles and flasks had to be sorted); </w:t>
      </w:r>
    </w:p>
    <w:p w14:paraId="3C3044BD" w14:textId="77777777" w:rsidR="00A229A3" w:rsidRPr="005B54EE" w:rsidRDefault="00A229A3" w:rsidP="002F4FA6">
      <w:pPr>
        <w:numPr>
          <w:ilvl w:val="0"/>
          <w:numId w:val="44"/>
        </w:numPr>
        <w:spacing w:before="240" w:after="240"/>
      </w:pPr>
      <w:r w:rsidRPr="005B54EE">
        <w:rPr>
          <w:b/>
          <w:bCs/>
        </w:rPr>
        <w:t>Gradual harmonisation of sorting instructions and bin colours</w:t>
      </w:r>
      <w:r w:rsidRPr="005B54EE">
        <w:t xml:space="preserve"> in France</w:t>
      </w:r>
    </w:p>
    <w:p w14:paraId="22C9CA79" w14:textId="77777777" w:rsidR="00A229A3" w:rsidRPr="005B54EE" w:rsidRDefault="00A229A3" w:rsidP="002F4FA6">
      <w:pPr>
        <w:numPr>
          <w:ilvl w:val="0"/>
          <w:numId w:val="44"/>
        </w:numPr>
        <w:spacing w:before="240" w:after="240"/>
      </w:pPr>
      <w:r w:rsidRPr="005B54EE">
        <w:t xml:space="preserve">Establishment, as of 1 January 2017, of </w:t>
      </w:r>
      <w:r w:rsidRPr="005B54EE">
        <w:rPr>
          <w:b/>
          <w:bCs/>
        </w:rPr>
        <w:t>a network of professional recycling centres for the construction industry</w:t>
      </w:r>
      <w:r w:rsidRPr="005B54EE">
        <w:t xml:space="preserve">, under the responsibility of building material distributors, to recover their customers’ pre-sorted waste. </w:t>
      </w:r>
    </w:p>
    <w:p w14:paraId="32694632" w14:textId="77777777" w:rsidR="00A229A3" w:rsidRPr="005B54EE" w:rsidRDefault="00A229A3" w:rsidP="00A229A3">
      <w:pPr>
        <w:spacing w:before="240" w:after="240"/>
      </w:pPr>
      <w:r w:rsidRPr="005B54EE">
        <w:t xml:space="preserve">The </w:t>
      </w:r>
      <w:r w:rsidRPr="005B54EE">
        <w:rPr>
          <w:b/>
          <w:bCs/>
        </w:rPr>
        <w:t>waste component of the general tax on polluting activities</w:t>
      </w:r>
      <w:r w:rsidRPr="005B54EE">
        <w:t xml:space="preserve"> (TGAP) is an incentive tax payable by anyone using a landfill (storage facility) or an incinerator (waste thermal treatment facility) subject to authorisation. The tax is triggered when the waste is received by the operator of the facility and aims to reduce the quantity of waste produced upstream and encourage recycling. The TGAP waste rates are regularly increased in order to reinforce its incentive character.  In addition, the TGAP rate for non-hazardous waste is adjusted depending on environmental and energy criteria for landfills and incinerators, in order to encourage the use of facilities with the highest environmental and recovery performance. </w:t>
      </w:r>
    </w:p>
    <w:p w14:paraId="0BB6B586" w14:textId="77777777" w:rsidR="00A229A3" w:rsidRPr="005B54EE" w:rsidRDefault="00A229A3" w:rsidP="00A229A3">
      <w:pPr>
        <w:spacing w:before="240" w:after="240"/>
      </w:pPr>
      <w:r w:rsidRPr="005B54EE">
        <w:rPr>
          <w:b/>
          <w:bCs/>
        </w:rPr>
        <w:t xml:space="preserve">ADEME’s waste fund </w:t>
      </w:r>
      <w:r w:rsidRPr="005B54EE">
        <w:t xml:space="preserve">aims to support all operations that contribute to the implementation of the waste policy and the circular economy. The waste fund is financed by revenues from the TGAP waste tax. The level of this fund allows ADEME to offer support to most operations contributing to this policy, according to the terms and conditions depending on the nature of the operations (studies, organisation, awareness-raising, investment etc.) and their objective (prevention, recycling, recovery etc.) The main actions involve: sorting bio-waste at source by households and companies, preventing the production of waste from economic activities and its sorting, and incentive pricing for the public waste management service. </w:t>
      </w:r>
    </w:p>
    <w:p w14:paraId="7B5E827C" w14:textId="77777777" w:rsidR="00A229A3" w:rsidRPr="005B54EE" w:rsidRDefault="00A229A3" w:rsidP="00A229A3">
      <w:pPr>
        <w:spacing w:before="240" w:after="240"/>
      </w:pPr>
      <w:r w:rsidRPr="005B54EE">
        <w:t xml:space="preserve">The </w:t>
      </w:r>
      <w:r w:rsidRPr="005B54EE">
        <w:rPr>
          <w:b/>
          <w:bCs/>
        </w:rPr>
        <w:t>circular economy roadmap</w:t>
      </w:r>
      <w:r w:rsidRPr="005B54EE">
        <w:t xml:space="preserve">, published in April 2018, aims to produce better (eco-design, incorporation of recycled materials), consume better (development of reuse and repair, extension of product lifespan), manage waste better (optimisation of waste sorting, development of recycling and recovery) and mobilise all players. </w:t>
      </w:r>
    </w:p>
    <w:p w14:paraId="73C0C0B6" w14:textId="77777777" w:rsidR="00A229A3" w:rsidRPr="005B54EE" w:rsidRDefault="00A229A3" w:rsidP="00A229A3">
      <w:pPr>
        <w:spacing w:before="240" w:after="240"/>
      </w:pPr>
      <w:r w:rsidRPr="005B54EE">
        <w:t xml:space="preserve">Following up on this 2018 circular economy roadmap, the </w:t>
      </w:r>
      <w:r w:rsidRPr="005B54EE">
        <w:rPr>
          <w:b/>
          <w:bCs/>
        </w:rPr>
        <w:t>AGEC law</w:t>
      </w:r>
      <w:r w:rsidRPr="005B54EE">
        <w:t xml:space="preserve"> aims to put in place a set of measures based on four main guidelines: ending waste to preserve natural resources, mobilising manufacturers to transform production methods, strengthening consumer information and improving waste collection and combating illegal dumping:</w:t>
      </w:r>
    </w:p>
    <w:p w14:paraId="44ADF516" w14:textId="77777777" w:rsidR="00A229A3" w:rsidRPr="005B54EE" w:rsidRDefault="00A229A3" w:rsidP="002F4FA6">
      <w:pPr>
        <w:numPr>
          <w:ilvl w:val="0"/>
          <w:numId w:val="21"/>
        </w:numPr>
        <w:spacing w:before="240" w:after="240"/>
      </w:pPr>
      <w:r w:rsidRPr="005B54EE">
        <w:t>To stop waste, the law provides for the implementation of bans on the destruction of unsold products, the introduction of consumer information on the availability (or not) of spare parts to encourage repair, and reinforcement of the waste diagnosis that must be carried out by the project owner upstream of the construction site for better management of building waste;</w:t>
      </w:r>
    </w:p>
    <w:p w14:paraId="60A02747" w14:textId="77777777" w:rsidR="00A229A3" w:rsidRPr="005B54EE" w:rsidRDefault="00A229A3" w:rsidP="002F4FA6">
      <w:pPr>
        <w:numPr>
          <w:ilvl w:val="0"/>
          <w:numId w:val="21"/>
        </w:numPr>
        <w:spacing w:before="240" w:after="240"/>
      </w:pPr>
      <w:r w:rsidRPr="005B54EE">
        <w:t>To transform production methods, a bonus-malus system will be introduced on the contribution that manufacturers pay for the management and processing of the end-of-life of their products in order to reward eco-designed products, and EPR schemes will be extended to new products (toys, cigarettes, sports goods);</w:t>
      </w:r>
    </w:p>
    <w:p w14:paraId="7B0FCA46" w14:textId="77777777" w:rsidR="00A229A3" w:rsidRPr="005B54EE" w:rsidRDefault="00A229A3" w:rsidP="002F4FA6">
      <w:pPr>
        <w:numPr>
          <w:ilvl w:val="0"/>
          <w:numId w:val="21"/>
        </w:numPr>
        <w:spacing w:before="240" w:after="240"/>
      </w:pPr>
      <w:r w:rsidRPr="005B54EE">
        <w:t>To improve consumption, a reparability index to inform consumers will be put in place on a number of electrical and electronic consumer products, and sorting will be made more efficient thanks to a single logo and harmonisation of the colours of sorting bins.</w:t>
      </w:r>
    </w:p>
    <w:p w14:paraId="27CFC675" w14:textId="77777777" w:rsidR="00A229A3" w:rsidRPr="005B54EE" w:rsidRDefault="00A229A3" w:rsidP="002F4FA6">
      <w:pPr>
        <w:numPr>
          <w:ilvl w:val="0"/>
          <w:numId w:val="21"/>
        </w:numPr>
        <w:spacing w:before="240" w:after="240"/>
      </w:pPr>
      <w:r w:rsidRPr="005B54EE">
        <w:t>Waste collection will be improved by making deposit systems available to the French, obliging distributors to take back old appliances free of charge, and structuring the sector for the management of construction waste.</w:t>
      </w:r>
    </w:p>
    <w:p w14:paraId="68FD470D" w14:textId="77777777" w:rsidR="00A229A3" w:rsidRPr="005B54EE" w:rsidRDefault="00A229A3" w:rsidP="00A229A3">
      <w:pPr>
        <w:spacing w:before="240" w:after="240"/>
      </w:pPr>
      <w:r w:rsidRPr="005B54EE">
        <w:t>These measures will have a positive effect in terms of reducing greenhouse gases through changes in production and consumption patterns. They will also have a positive impact in terms of reducing the amount of material produced, through better reuse of materials. Finally, the gradual disappearance of single-use plastic will help curb plastic pollution of the environment and its impact on biodiversity.</w:t>
      </w:r>
    </w:p>
    <w:p w14:paraId="51B2BE94" w14:textId="28FDE7DF" w:rsidR="00A229A3" w:rsidRPr="005B54EE" w:rsidRDefault="00A229A3" w:rsidP="006E0C3B">
      <w:pPr>
        <w:spacing w:before="240" w:after="240"/>
      </w:pPr>
      <w:r w:rsidRPr="005B54EE">
        <w:t xml:space="preserve">In the National Packaging Pact, signed in February 2019, </w:t>
      </w:r>
      <w:r w:rsidRPr="005B54EE">
        <w:rPr>
          <w:b/>
          <w:bCs/>
        </w:rPr>
        <w:t>signatory companies committed to reducing their use of plastic</w:t>
      </w:r>
      <w:r w:rsidRPr="005B54EE">
        <w:t xml:space="preserve"> (and therefore reducing the amount of waste produced) and subscribed to a shared vision of the circular economy with NGOs.</w:t>
      </w:r>
    </w:p>
    <w:p w14:paraId="5C31A8B4" w14:textId="363D9A80" w:rsidR="00630A34" w:rsidRPr="005B54EE" w:rsidRDefault="00630A34" w:rsidP="00B04A7C">
      <w:pPr>
        <w:pStyle w:val="Titre3Niveau3"/>
      </w:pPr>
      <w:bookmarkStart w:id="74" w:name="_Toc121149517"/>
      <w:bookmarkStart w:id="75" w:name="_Toc138344681"/>
      <w:r w:rsidRPr="005B54EE">
        <w:t>Cross-sector policies and measures</w:t>
      </w:r>
      <w:bookmarkEnd w:id="74"/>
      <w:bookmarkEnd w:id="75"/>
    </w:p>
    <w:p w14:paraId="25C4CA66" w14:textId="77777777" w:rsidR="00A229A3" w:rsidRPr="005B54EE" w:rsidRDefault="00A229A3" w:rsidP="00A229A3">
      <w:pPr>
        <w:pStyle w:val="Titre4niveau4"/>
        <w:numPr>
          <w:ilvl w:val="2"/>
          <w:numId w:val="14"/>
        </w:numPr>
        <w:spacing w:before="240"/>
      </w:pPr>
      <w:r w:rsidRPr="005B54EE">
        <w:t xml:space="preserve">Policies and measures affecting all sectors </w:t>
      </w:r>
    </w:p>
    <w:p w14:paraId="09957B4E" w14:textId="77777777" w:rsidR="00A229A3" w:rsidRPr="005B54EE" w:rsidRDefault="00A229A3" w:rsidP="00A229A3">
      <w:pPr>
        <w:spacing w:before="240" w:after="240"/>
      </w:pPr>
      <w:r w:rsidRPr="005B54EE">
        <w:t xml:space="preserve">Policies and measures that impact all sectors are those that affect businesses and authorities. They are also likely to have an impact on all greenhouse gases. </w:t>
      </w:r>
    </w:p>
    <w:p w14:paraId="46A8276B" w14:textId="77777777" w:rsidR="00A229A3" w:rsidRPr="005B54EE" w:rsidRDefault="00A229A3" w:rsidP="00A229A3">
      <w:pPr>
        <w:spacing w:before="240" w:after="240"/>
      </w:pPr>
      <w:r w:rsidRPr="005B54EE">
        <w:t xml:space="preserve">Since 2012, an obligation to carry out a </w:t>
      </w:r>
      <w:r w:rsidRPr="005B54EE">
        <w:rPr>
          <w:b/>
          <w:bCs/>
        </w:rPr>
        <w:t>greenhouse gas emissions assessment</w:t>
      </w:r>
      <w:r w:rsidRPr="005B54EE">
        <w:t xml:space="preserve"> and an action plan to reduce them has applied to businesses with more than 500 employees, authorities with more than 50,000 inhabitants, public institutions with more than 250 employees and government departments. The assessment and action plan must be carried out every three years in the case of authorities and public institutions and every four years for businesses, or else fines will be incurred. This is a diagnostic approach to greenhouse gas emissions at the level of an organisation (private or public), carried out with a view to identifying and mobilising sources of emissions reduction. Since decree no 2022-982 of 1 July 2022, the regulation makes it compulsory to calculate all direct emissions (scope 1) and significant indirect emissions (scopes 2 and 3) for most of the obliged parties. A methodological guide for carrying out the assessment is available to organisations free of charge. Furthermore, an online platform for publishing the assessments was set up in 2015 to facilitate the publication and dissemination of this information to the public.</w:t>
      </w:r>
    </w:p>
    <w:p w14:paraId="3BFD03AC" w14:textId="77777777" w:rsidR="00A229A3" w:rsidRPr="005B54EE" w:rsidRDefault="00A229A3" w:rsidP="00A229A3">
      <w:pPr>
        <w:spacing w:before="240" w:after="240"/>
      </w:pPr>
      <w:r w:rsidRPr="005B54EE">
        <w:t xml:space="preserve">The duties of companies in terms of social, environmental and societal responsibility have been reinforced by the Energy Transition for Green Growth Act of August 2015, in terms of reporting obligations on climate change. Large companies must include information in their non-financial reporting on the significant greenhouse gas emissions generated by their activity, in particular through the use of the goods and services they produce, from the financial year ending 31 December 2016. The notion of significant emissions has therefore been adopted to lead the company to report on the impacts of its activity on climate change, both in terms of direct and indirect emissions, particularly those relating to the use of the goods and services it produces.   </w:t>
      </w:r>
    </w:p>
    <w:p w14:paraId="7482A21E" w14:textId="77777777" w:rsidR="00A229A3" w:rsidRPr="005B54EE" w:rsidRDefault="00A229A3" w:rsidP="00A229A3">
      <w:pPr>
        <w:spacing w:before="240" w:after="240"/>
      </w:pPr>
      <w:r w:rsidRPr="005B54EE">
        <w:t xml:space="preserve">The same law also completed the regulatory framework relating to the disclosure by portfolio management companies of the environmental, social and governance (known as ESG) criteria taken into account in their investment policy. Institutional investors must therefore publish information on their contribution to climate objectives and the financial risks associated with the energy and ecological transition. These obligations are applicable from the management reports published in 2017 for the year 2016. </w:t>
      </w:r>
    </w:p>
    <w:p w14:paraId="5292416C" w14:textId="77777777" w:rsidR="00A229A3" w:rsidRPr="005B54EE" w:rsidRDefault="00A229A3" w:rsidP="00A229A3">
      <w:pPr>
        <w:spacing w:before="240" w:after="240"/>
      </w:pPr>
      <w:r w:rsidRPr="005B54EE">
        <w:t xml:space="preserve">Since 2021, two </w:t>
      </w:r>
      <w:r w:rsidRPr="005B54EE">
        <w:rPr>
          <w:b/>
          <w:bCs/>
        </w:rPr>
        <w:t>environmental cross-compliance mechanisms for public aid</w:t>
      </w:r>
      <w:r w:rsidRPr="005B54EE">
        <w:t xml:space="preserve"> have also been introduced:</w:t>
      </w:r>
    </w:p>
    <w:p w14:paraId="4FE4B50F" w14:textId="77777777" w:rsidR="00A229A3" w:rsidRPr="005B54EE" w:rsidRDefault="00A229A3" w:rsidP="002F4FA6">
      <w:pPr>
        <w:numPr>
          <w:ilvl w:val="0"/>
          <w:numId w:val="42"/>
        </w:numPr>
        <w:spacing w:before="240" w:after="240"/>
      </w:pPr>
      <w:r w:rsidRPr="005B54EE">
        <w:t>Article 66 of Law no. 2020-935 of 30 July 2020 stipulates that companies with a turnover of more than €500 million subject to the extra-financial performance declaration (DPEF) obligation and benefiting from state help as part of the emergency plan put in place by the government to deal with the health crisis, must subscribe to commitments to reduce their greenhouse gas emissions. These commitments must be established in line with the sectoral carbon budgets set by the National Low Carbon Strategy. They are broken down into an action plan and are monitored annually, all in a public setting;</w:t>
      </w:r>
    </w:p>
    <w:p w14:paraId="1402DEB6" w14:textId="77777777" w:rsidR="00A229A3" w:rsidRPr="005B54EE" w:rsidRDefault="00A229A3" w:rsidP="002F4FA6">
      <w:pPr>
        <w:numPr>
          <w:ilvl w:val="0"/>
          <w:numId w:val="42"/>
        </w:numPr>
        <w:spacing w:before="240" w:after="240"/>
      </w:pPr>
      <w:r w:rsidRPr="005B54EE">
        <w:t xml:space="preserve">Article 244 of Law no. 2020-1721 of 29 December 2020 provides for the introduction of a simplified greenhouse gas emissions assessment for legal entities under private law benefiting from credits under the recovery plan following the health crisis. This reporting differs from the system of greenhouse gas emissions assessments (BEGES), governed by Article L. 229-25 of the Environmental Code, both in terms of the scope of the obliged parties and the scope of the emissions to be taken into account: </w:t>
      </w:r>
    </w:p>
    <w:p w14:paraId="4D26B2ED" w14:textId="77777777" w:rsidR="00A229A3" w:rsidRPr="005B54EE" w:rsidRDefault="00A229A3" w:rsidP="002F4FA6">
      <w:pPr>
        <w:numPr>
          <w:ilvl w:val="1"/>
          <w:numId w:val="42"/>
        </w:numPr>
        <w:spacing w:before="240" w:after="240"/>
      </w:pPr>
      <w:r w:rsidRPr="005B54EE">
        <w:t>This applies only to companies that are not subject to the BEGES and have between 50 and 500 employees (the BEGES applies to legal entities under private law with more than 500 employees);</w:t>
      </w:r>
    </w:p>
    <w:p w14:paraId="60AAFA86" w14:textId="77777777" w:rsidR="00A229A3" w:rsidRPr="005B54EE" w:rsidRDefault="00A229A3" w:rsidP="002F4FA6">
      <w:pPr>
        <w:pStyle w:val="ListParagraph"/>
        <w:numPr>
          <w:ilvl w:val="1"/>
          <w:numId w:val="42"/>
        </w:numPr>
        <w:spacing w:before="240" w:after="240"/>
      </w:pPr>
      <w:r w:rsidRPr="005B54EE">
        <w:t>Only direct emissions from fixed and mobile energy sources necessary for the activities of the legal entity should be estimated.</w:t>
      </w:r>
    </w:p>
    <w:p w14:paraId="1A59CB03" w14:textId="77777777" w:rsidR="00A229A3" w:rsidRPr="005B54EE" w:rsidRDefault="00A229A3" w:rsidP="00A229A3">
      <w:pPr>
        <w:spacing w:before="240" w:after="240"/>
      </w:pPr>
      <w:r w:rsidRPr="005B54EE">
        <w:t>In addition, Decrees no. 2002-538 and no. 2022-539 of 13 April 2022 provide that from 1 January 2023, advertisers will be prohibited from stating in an advert that a product or service is ‘carbon neutral’ without presenting a greenhouse gas emission assessment over the entire life cycle of the product or service, the planned emissions reduction trajectory, as well as the methods for offsetting residual emissions. These elements must be easily accessible to the public and updated every year. This mechanism, provided for in Article 12 of the Climate and Resilience Law, aims to guarantee complete information to the public on ‘carbon neutral’ claims and will help to gradually strengthen the commitments of advertisers while combating greenwashing.</w:t>
      </w:r>
    </w:p>
    <w:p w14:paraId="01CDEDE3" w14:textId="77777777" w:rsidR="00A229A3" w:rsidRPr="005B54EE" w:rsidRDefault="00A229A3" w:rsidP="00A229A3">
      <w:pPr>
        <w:spacing w:before="240" w:after="240"/>
      </w:pPr>
      <w:r w:rsidRPr="005B54EE">
        <w:t>As far as local authorities are concerned, their climate action is based on territorial planning tools: the Regional Schemes for Planning, Sustainable Development and Equality of Territories (SRADDET), and the Territorial Climate-Air-Energy Plans (PCAET) for inter-municipal authorities with more than 20,000 inhabitants (see section A.1. Institutional foundations).</w:t>
      </w:r>
    </w:p>
    <w:p w14:paraId="542BCEFE" w14:textId="77777777" w:rsidR="00A229A3" w:rsidRPr="005B54EE" w:rsidRDefault="00A229A3" w:rsidP="00A229A3">
      <w:pPr>
        <w:pStyle w:val="Titre4niveau4"/>
        <w:numPr>
          <w:ilvl w:val="2"/>
          <w:numId w:val="14"/>
        </w:numPr>
        <w:spacing w:before="240"/>
      </w:pPr>
      <w:r w:rsidRPr="005B54EE">
        <w:t xml:space="preserve">Cross-sectoral policies and measures on F-Gases </w:t>
      </w:r>
    </w:p>
    <w:p w14:paraId="2FB0C297" w14:textId="77777777" w:rsidR="00A229A3" w:rsidRPr="005B54EE" w:rsidRDefault="00A229A3" w:rsidP="00A229A3">
      <w:pPr>
        <w:spacing w:before="240" w:after="240"/>
      </w:pPr>
      <w:r w:rsidRPr="005B54EE">
        <w:t xml:space="preserve">EU Regulation no. 517/2014 (so called ‘F-Gas II’) provides for a number of provisions to reduce F-gas emissions from refrigeration and air conditioning equipment used in the construction industry, manufacturing and refrigerated transport. It came into force on 1 January 2015 and repeals and replaces Regulation no. 842/2006 (the so-called ‘F-Gas’ Regulation). It is based on the following provisions: </w:t>
      </w:r>
    </w:p>
    <w:p w14:paraId="2B25DCF2" w14:textId="77777777" w:rsidR="00A229A3" w:rsidRPr="005B54EE" w:rsidRDefault="00A229A3" w:rsidP="002F4FA6">
      <w:pPr>
        <w:numPr>
          <w:ilvl w:val="0"/>
          <w:numId w:val="21"/>
        </w:numPr>
        <w:spacing w:before="240" w:after="240"/>
      </w:pPr>
      <w:r w:rsidRPr="005B54EE">
        <w:t xml:space="preserve">The reinforcement of obligations related to the containment of equipment (leakage checks, repair obligations), to the certification of personnel handling HFCs, and to the obligation of recovery during maintenance and dismantling of equipment; </w:t>
      </w:r>
    </w:p>
    <w:p w14:paraId="6699EB55" w14:textId="723DB5DB" w:rsidR="00A229A3" w:rsidRPr="005B54EE" w:rsidRDefault="00A229A3" w:rsidP="002F4FA6">
      <w:pPr>
        <w:numPr>
          <w:ilvl w:val="0"/>
          <w:numId w:val="21"/>
        </w:numPr>
        <w:spacing w:before="240" w:after="240"/>
      </w:pPr>
      <w:r w:rsidRPr="005B54EE">
        <w:t>The introduction of a mechanism for the phased reduction of the quantities of HFCs placed on the market from 2015 to 2030 via a quota system. In 2030, the total amount of HFCs placed on the market, in CO</w:t>
      </w:r>
      <w:r w:rsidRPr="005B54EE">
        <w:rPr>
          <w:vertAlign w:val="subscript"/>
        </w:rPr>
        <w:t>2</w:t>
      </w:r>
      <w:r w:rsidRPr="005B54EE">
        <w:t xml:space="preserve"> equivalent, should be 21% of the average level between 2009 and 2012; </w:t>
      </w:r>
    </w:p>
    <w:p w14:paraId="39E5F74B" w14:textId="77777777" w:rsidR="00A229A3" w:rsidRPr="005B54EE" w:rsidRDefault="00A229A3" w:rsidP="002F4FA6">
      <w:pPr>
        <w:numPr>
          <w:ilvl w:val="0"/>
          <w:numId w:val="21"/>
        </w:numPr>
        <w:spacing w:before="240" w:after="240"/>
      </w:pPr>
      <w:r w:rsidRPr="005B54EE">
        <w:t xml:space="preserve">Sectoral bans on placing products and equipment containing F-gases above a certain GWP on the market; </w:t>
      </w:r>
    </w:p>
    <w:p w14:paraId="464CC2CD" w14:textId="77777777" w:rsidR="00A229A3" w:rsidRPr="005B54EE" w:rsidRDefault="00A229A3" w:rsidP="002F4FA6">
      <w:pPr>
        <w:numPr>
          <w:ilvl w:val="0"/>
          <w:numId w:val="21"/>
        </w:numPr>
        <w:spacing w:before="240" w:after="240"/>
      </w:pPr>
      <w:r w:rsidRPr="005B54EE">
        <w:t xml:space="preserve">A ban on the maintenance of refrigeration installations with new fluids with a GWP greater than 2,500 from 1 January 2020. </w:t>
      </w:r>
    </w:p>
    <w:p w14:paraId="09DA020D" w14:textId="77777777" w:rsidR="00A229A3" w:rsidRPr="005B54EE" w:rsidRDefault="00A229A3" w:rsidP="00A229A3">
      <w:r w:rsidRPr="005B54EE">
        <w:t>The revision of this ‘F-Gas’ regulation is underway in order to further reduce the production and placing on the market of fluorinated greenhouse gases in the European Union. The proposal currently being discussed between Member States notably provides for a decrease of 95% on the marketing of HFCs by 2030 compared to 2015 (compared to 80% according to the F-Gas regulation currently in place).</w:t>
      </w:r>
    </w:p>
    <w:p w14:paraId="745CED13" w14:textId="143D1B00" w:rsidR="00A229A3" w:rsidRPr="005B54EE" w:rsidRDefault="00A229A3" w:rsidP="00A229A3">
      <w:r w:rsidRPr="005B54EE">
        <w:t>In addition, on 29 March 2018, France ratified the Kigali amendment to the Montreal Protocol on Substances that Deplete the Ozone Layer. While the Kigali amendment contributes to the same overall objectives as the European F-Gas II Regulation, it covers a longer commitment period up to 2036 (the F-Gas II Regulation goes up to 2030.)</w:t>
      </w:r>
    </w:p>
    <w:p w14:paraId="2C46EE8B" w14:textId="708237B2" w:rsidR="00A229A3" w:rsidRPr="005B54EE" w:rsidRDefault="006E0C3B" w:rsidP="00B04A7C">
      <w:pPr>
        <w:pStyle w:val="Titre3Niveau3"/>
      </w:pPr>
      <w:bookmarkStart w:id="76" w:name="_Toc138344682"/>
      <w:r w:rsidRPr="005B54EE">
        <w:t>Table of policies and measures</w:t>
      </w:r>
      <w:bookmarkEnd w:id="76"/>
    </w:p>
    <w:p w14:paraId="4E9F93DC" w14:textId="2CF4D49C" w:rsidR="006E0C3B" w:rsidRPr="005B54EE" w:rsidRDefault="006E0C3B" w:rsidP="006E0C3B">
      <w:r w:rsidRPr="005B54EE">
        <w:t>In order to not duplicate the information previously provided in the 4th Biennial Report</w:t>
      </w:r>
      <w:r w:rsidRPr="005B54EE">
        <w:rPr>
          <w:rStyle w:val="FootnoteReference"/>
          <w:lang w:eastAsia="en-US"/>
        </w:rPr>
        <w:footnoteReference w:id="14"/>
      </w:r>
      <w:r w:rsidRPr="005B54EE">
        <w:t xml:space="preserve"> submitted by France in 2019, table CTF3 provided in the appendix presents all measures from 2019 onwards.</w:t>
      </w:r>
    </w:p>
    <w:p w14:paraId="46E40C98" w14:textId="77777777" w:rsidR="00630A34" w:rsidRPr="005B54EE" w:rsidRDefault="00630A34" w:rsidP="004D2261">
      <w:pPr>
        <w:pStyle w:val="Titre2Niveau2"/>
      </w:pPr>
      <w:bookmarkStart w:id="77" w:name="_Toc121149518"/>
      <w:bookmarkStart w:id="78" w:name="_Toc138344683"/>
      <w:r w:rsidRPr="005B54EE">
        <w:t>Long-term effect of undertaken policies and measures</w:t>
      </w:r>
      <w:bookmarkEnd w:id="77"/>
      <w:bookmarkEnd w:id="78"/>
    </w:p>
    <w:p w14:paraId="35C40D8B" w14:textId="77777777" w:rsidR="00630A34" w:rsidRPr="005B54EE" w:rsidRDefault="00630A34" w:rsidP="00B04A7C">
      <w:pPr>
        <w:pStyle w:val="Titre3Niveau3"/>
      </w:pPr>
      <w:bookmarkStart w:id="79" w:name="_Toc121149519"/>
      <w:bookmarkStart w:id="80" w:name="_Toc138344684"/>
      <w:r w:rsidRPr="005B54EE">
        <w:t>Effect on the reduction of emissions</w:t>
      </w:r>
      <w:bookmarkEnd w:id="79"/>
      <w:bookmarkEnd w:id="80"/>
    </w:p>
    <w:p w14:paraId="3D485DAB" w14:textId="040101E5" w:rsidR="00630A34" w:rsidRPr="005B54EE" w:rsidRDefault="00630A34" w:rsidP="00630A34">
      <w:r w:rsidRPr="005B54EE">
        <w:t>Greenhouse gas emissions decreased by 27.8% between 1990 and 2020 (Kyoto scope, excluding LULUCF). At the same time, the population has increased by 16% and GDP has more than doubled over the same period. Today, among developed countries, French per capita emissions are among the lowest in the world: over the same period, per capita emissions have therefore fallen from 9.4 tCO</w:t>
      </w:r>
      <w:r w:rsidRPr="005B54EE">
        <w:rPr>
          <w:vertAlign w:val="subscript"/>
        </w:rPr>
        <w:t>2eq</w:t>
      </w:r>
      <w:r w:rsidRPr="005B54EE">
        <w:t xml:space="preserve"> to 5.93 tCO</w:t>
      </w:r>
      <w:r w:rsidRPr="005B54EE">
        <w:rPr>
          <w:vertAlign w:val="subscript"/>
        </w:rPr>
        <w:t>2eq</w:t>
      </w:r>
      <w:r w:rsidRPr="005B54EE">
        <w:t>.</w:t>
      </w:r>
    </w:p>
    <w:p w14:paraId="1C3E5099" w14:textId="77777777" w:rsidR="00630A34" w:rsidRPr="005B54EE" w:rsidRDefault="00630A34" w:rsidP="00630A34">
      <w:r w:rsidRPr="005B54EE">
        <w:t xml:space="preserve">This testifies to the effort to decarbonise the economy that has already been made in France, and which will be further increased by 2030 and 2050. But this also reflects the tertiarisation of the French economy, which is correlated with a decline in its industrial activity. </w:t>
      </w:r>
    </w:p>
    <w:p w14:paraId="1DA6D181" w14:textId="77777777" w:rsidR="00630A34" w:rsidRPr="005B54EE" w:rsidRDefault="00630A34" w:rsidP="00630A34">
      <w:r w:rsidRPr="005B54EE">
        <w:t xml:space="preserve">The policies and measures undertaken have already made it possible to: </w:t>
      </w:r>
    </w:p>
    <w:p w14:paraId="23C00620" w14:textId="77777777" w:rsidR="00630A34" w:rsidRPr="005B54EE" w:rsidRDefault="00630A34" w:rsidP="00A229A3">
      <w:pPr>
        <w:pStyle w:val="ListParagraph"/>
        <w:numPr>
          <w:ilvl w:val="0"/>
          <w:numId w:val="13"/>
        </w:numPr>
      </w:pPr>
      <w:r w:rsidRPr="005B54EE">
        <w:t>exploit significant energy saving sources to curb the upward trend in consumption;</w:t>
      </w:r>
    </w:p>
    <w:p w14:paraId="18B7BF50" w14:textId="77777777" w:rsidR="00630A34" w:rsidRPr="005B54EE" w:rsidRDefault="00630A34" w:rsidP="00A229A3">
      <w:pPr>
        <w:pStyle w:val="ListParagraph"/>
        <w:numPr>
          <w:ilvl w:val="0"/>
          <w:numId w:val="13"/>
        </w:numPr>
      </w:pPr>
      <w:r w:rsidRPr="005B54EE">
        <w:t xml:space="preserve">develop renewable energy sources; </w:t>
      </w:r>
    </w:p>
    <w:p w14:paraId="5C3310B1" w14:textId="77777777" w:rsidR="00630A34" w:rsidRPr="005B54EE" w:rsidRDefault="00630A34" w:rsidP="00A229A3">
      <w:pPr>
        <w:pStyle w:val="ListParagraph"/>
        <w:numPr>
          <w:ilvl w:val="0"/>
          <w:numId w:val="13"/>
        </w:numPr>
      </w:pPr>
      <w:r w:rsidRPr="005B54EE">
        <w:t xml:space="preserve">introduce a carbon price signal in energy taxation; </w:t>
      </w:r>
    </w:p>
    <w:p w14:paraId="2E142BB8" w14:textId="77777777" w:rsidR="00630A34" w:rsidRPr="005B54EE" w:rsidRDefault="00630A34" w:rsidP="00A229A3">
      <w:pPr>
        <w:pStyle w:val="ListParagraph"/>
        <w:numPr>
          <w:ilvl w:val="0"/>
          <w:numId w:val="13"/>
        </w:numPr>
      </w:pPr>
      <w:r w:rsidRPr="005B54EE">
        <w:t xml:space="preserve">introduce public policies in all activity sectors by targeting the different mitigation levers; </w:t>
      </w:r>
    </w:p>
    <w:p w14:paraId="56DE0E61" w14:textId="77777777" w:rsidR="00630A34" w:rsidRPr="005B54EE" w:rsidRDefault="00630A34" w:rsidP="00A229A3">
      <w:pPr>
        <w:pStyle w:val="ListParagraph"/>
        <w:numPr>
          <w:ilvl w:val="0"/>
          <w:numId w:val="13"/>
        </w:numPr>
      </w:pPr>
      <w:r w:rsidRPr="005B54EE">
        <w:t xml:space="preserve">raise public awareness of climate change mitigation issues. </w:t>
      </w:r>
    </w:p>
    <w:p w14:paraId="1FDA8598" w14:textId="77777777" w:rsidR="00630A34" w:rsidRPr="005B54EE" w:rsidRDefault="00630A34" w:rsidP="00630A34">
      <w:pPr>
        <w:rPr>
          <w:lang w:eastAsia="en-US"/>
        </w:rPr>
      </w:pPr>
    </w:p>
    <w:p w14:paraId="1D43D058" w14:textId="77777777" w:rsidR="00630A34" w:rsidRPr="005B54EE" w:rsidRDefault="00630A34" w:rsidP="00630A34">
      <w:r w:rsidRPr="005B54EE">
        <w:t xml:space="preserve">Moreover, the bulk of budgetary expenditure on the fight against climate change is geared towards the long term. This is because it concerns research and transport infrastructure in the modes that emit the least greenhouse gases. This is also the case for tax expenditure, most of which aims to support housing renovation or the acquisition of low emission vehicles. Finally, it’s also the case of regulatory action, which forces investments to make significant energy savings over their entire life cycle. In the longer term, research and development funding is likely to have the greatest impact. Therefore, support for the emergence of green industries and the development of renewable energy (support for onshore and offshore wind power, photovoltaics, renewable gas, biomass) is an essential lever for meeting the challenge of energy transition, which is the only way to meet the challenge of climate change, in terms of controlling energy consumption and, more generally, in terms of a low emission and energy-efficient lifestyle and production methods. </w:t>
      </w:r>
    </w:p>
    <w:p w14:paraId="4D9C7551" w14:textId="77777777" w:rsidR="00630A34" w:rsidRPr="005B54EE" w:rsidRDefault="00630A34" w:rsidP="00630A34">
      <w:r w:rsidRPr="005B54EE">
        <w:t>As detailed above, France has set itself a long-term objective, carbon neutrality by 2050, and has equipped itself with tools to steer its climate and energy policy with the multiannual energy plan and above all the national low-carbon strategy. Aiming for overall coherence, this strategy sets out the course for driving the greenhouse gas emission mitigation policy in the medium and long term. It proposes a structured and continuous approach to decarbonise the various sectors by 2050. It therefore contributes to strengthening the consideration of long-term impacts in the prioritisation of the implemented measures.</w:t>
      </w:r>
    </w:p>
    <w:p w14:paraId="064D8ADB" w14:textId="77777777" w:rsidR="00630A34" w:rsidRPr="005B54EE" w:rsidRDefault="00630A34" w:rsidP="00630A34">
      <w:pPr>
        <w:rPr>
          <w:lang w:eastAsia="en-US"/>
        </w:rPr>
      </w:pPr>
    </w:p>
    <w:p w14:paraId="67D4B2A5" w14:textId="628B8929" w:rsidR="00630A34" w:rsidRPr="005B54EE" w:rsidRDefault="00630A34" w:rsidP="00630A34">
      <w:r w:rsidRPr="005B54EE">
        <w:t xml:space="preserve">Key climate change policies and measures shall be subject to a GHG assessment. Where a GHG assessment is available, it is specified in </w:t>
      </w:r>
      <w:r w:rsidR="00811B0F" w:rsidRPr="005B54EE">
        <w:fldChar w:fldCharType="begin"/>
      </w:r>
      <w:r w:rsidR="00811B0F" w:rsidRPr="005B54EE">
        <w:instrText xml:space="preserve"> REF _Ref123072826 \h </w:instrText>
      </w:r>
      <w:r w:rsidR="0098629B" w:rsidRPr="005B54EE">
        <w:instrText xml:space="preserve"> \* MERGEFORMAT </w:instrText>
      </w:r>
      <w:r w:rsidR="00811B0F" w:rsidRPr="005B54EE">
        <w:fldChar w:fldCharType="separate"/>
      </w:r>
      <w:r w:rsidR="005B1C45" w:rsidRPr="005B54EE">
        <w:t>Table</w:t>
      </w:r>
      <w:r w:rsidR="005B1C45">
        <w:t>41</w:t>
      </w:r>
      <w:r w:rsidR="00811B0F" w:rsidRPr="005B54EE">
        <w:fldChar w:fldCharType="end"/>
      </w:r>
      <w:r w:rsidRPr="005B54EE">
        <w:t xml:space="preserve"> Appendix III.  Only key measures are assessed. However, many measures can’t be assessed, particularly in the case of information, support, obligation and audit mechanisms for which it is difficult to isolate the triggering impact of these measures, or measures aimed at changing practices and behaviours for which it is often difficult to isolate their impact. The projection modelling exercise allows for regular updating of the estimated impact of measures. It is an exercise that needs to be seen as a whole in order to take into account the synergies that may exist between different policies and measures.</w:t>
      </w:r>
    </w:p>
    <w:p w14:paraId="65D661E5" w14:textId="1F8E4E60" w:rsidR="00630A34" w:rsidRPr="005B54EE" w:rsidRDefault="00630A34" w:rsidP="00B04A7C">
      <w:pPr>
        <w:pStyle w:val="Titre3Niveau3"/>
      </w:pPr>
      <w:bookmarkStart w:id="81" w:name="_Toc121149520"/>
      <w:bookmarkStart w:id="82" w:name="_Toc138344685"/>
      <w:r w:rsidRPr="005B54EE">
        <w:t>Economic and social impacts</w:t>
      </w:r>
      <w:bookmarkEnd w:id="81"/>
      <w:bookmarkEnd w:id="82"/>
    </w:p>
    <w:p w14:paraId="6C7674FE" w14:textId="77777777" w:rsidR="00630A34" w:rsidRPr="005B54EE" w:rsidRDefault="00630A34" w:rsidP="00630A34">
      <w:r w:rsidRPr="005B54EE">
        <w:t>The National Low Carbon Strategy and the MEP have been subject to a macroeconomic assessment of their economic and social impacts. The macroeconomic assessment has shown a slightly positive effect on GDP and employment (around 1 to 2 points in 2030 and 3 points in 2050 compared to a trend scenario) and a benefit on employment (around 300,000 to 400,000 jobs in 2030 and 700,000 to 800,000 jobs in 2050). In particular, these results are based on the hypothesis that the other countries are committed to the low-carbon transition in accordance with the Paris Agreement. Finally, climate change-related damages are not taken into account.</w:t>
      </w:r>
    </w:p>
    <w:p w14:paraId="17731635" w14:textId="77777777" w:rsidR="00630A34" w:rsidRPr="005B54EE" w:rsidRDefault="00630A34" w:rsidP="00B04A7C">
      <w:pPr>
        <w:pStyle w:val="Titre3Niveau3"/>
      </w:pPr>
      <w:bookmarkStart w:id="83" w:name="_Toc121149521"/>
      <w:bookmarkStart w:id="84" w:name="_Toc138344686"/>
      <w:r w:rsidRPr="005B54EE">
        <w:t>Minimising adverse effects on developing countries</w:t>
      </w:r>
      <w:bookmarkEnd w:id="83"/>
      <w:bookmarkEnd w:id="84"/>
    </w:p>
    <w:p w14:paraId="3527B251" w14:textId="712F21F7" w:rsidR="00630A34" w:rsidRPr="005B54EE" w:rsidRDefault="00630A34" w:rsidP="003C71EF">
      <w:r w:rsidRPr="005B54EE">
        <w:t xml:space="preserve">As well as the transfer of technology and expertise, France helps developing countries to strengthen and enrich their climate change observation systems through its climate observation network and its research and cooperation projects (see </w:t>
      </w:r>
      <w:bookmarkStart w:id="85" w:name="ChapV"/>
      <w:r w:rsidR="003C71EF" w:rsidRPr="005B54EE">
        <w:fldChar w:fldCharType="begin"/>
      </w:r>
      <w:r w:rsidR="003C71EF" w:rsidRPr="005B54EE">
        <w:instrText xml:space="preserve"> HYPERLINK  \l "ChapV" </w:instrText>
      </w:r>
      <w:r w:rsidR="003C71EF" w:rsidRPr="005B54EE">
        <w:fldChar w:fldCharType="separate"/>
      </w:r>
      <w:r w:rsidRPr="005B54EE">
        <w:rPr>
          <w:rStyle w:val="Hyperlink"/>
        </w:rPr>
        <w:t>chapter 5</w:t>
      </w:r>
      <w:bookmarkEnd w:id="85"/>
      <w:r w:rsidR="003C71EF" w:rsidRPr="005B54EE">
        <w:fldChar w:fldCharType="end"/>
      </w:r>
      <w:r w:rsidRPr="005B54EE">
        <w:t xml:space="preserve">). </w:t>
      </w:r>
    </w:p>
    <w:p w14:paraId="4EF096B4" w14:textId="77777777" w:rsidR="00630A34" w:rsidRPr="005B54EE" w:rsidRDefault="00630A34" w:rsidP="003C71EF"/>
    <w:p w14:paraId="6C2F0148" w14:textId="321BC165" w:rsidR="00630A34" w:rsidRPr="005B54EE" w:rsidRDefault="00630A34" w:rsidP="00630A34">
      <w:r w:rsidRPr="005B54EE">
        <w:t>With regard to policies and measures put in place within the framework of European policies, France, as a Member State of the European Union, must transpose European law into its legislative system. In the process of adopting European policies, Europe has established a system for estimating the positive and negative impacts of these policies, including the effects on other countries in the context of impact studies. The consideration of these impact studies is a key element in the final decision to define the policy and measure. They make it possible to ensure that the negative impacts of a European policy on developing countries are minimised and to ensure that the French legislative provisions resulting from European law respect the commitment made in the framework of the Kyoto Protocol in accordance with its article 3.14. Regarding national policies, Table 3.9 on page 84 of France’s 4th Biennial Report</w:t>
      </w:r>
      <w:r w:rsidR="007C589E" w:rsidRPr="005B54EE">
        <w:rPr>
          <w:rStyle w:val="FootnoteReference"/>
        </w:rPr>
        <w:footnoteReference w:id="15"/>
      </w:r>
      <w:r w:rsidRPr="005B54EE">
        <w:t xml:space="preserve"> lists the estimated direct and indirect effects of some of France’s climate policies and measures.</w:t>
      </w:r>
    </w:p>
    <w:p w14:paraId="62511A05" w14:textId="77777777" w:rsidR="00630A34" w:rsidRPr="005B54EE" w:rsidRDefault="00630A34" w:rsidP="00630A34">
      <w:pPr>
        <w:pStyle w:val="Default"/>
        <w:rPr>
          <w:sz w:val="21"/>
          <w:szCs w:val="21"/>
        </w:rPr>
      </w:pPr>
    </w:p>
    <w:p w14:paraId="23315028" w14:textId="19E9FB3E" w:rsidR="003555E2" w:rsidRPr="005B54EE" w:rsidRDefault="00630A34" w:rsidP="009D3953">
      <w:r w:rsidRPr="005B54EE">
        <w:t>In addition, France's carbon footprint is receiving increasing attention. This footprint represents the emissions linked to French consumption, i.e. national emissions minus emissions linked to exports and plus those linked to imports. This indicator is one of the 10 leading sustainable development indicators monitored by France. The National Low Carbon Strategy contains a number of guidelines for reducing the carbon footprint, to ensure that national emission reductions do not lead to increases elsewhere in the world. Finally, the 2019 Energy and Climate Law stipulates that from the next National Low Carbon Strategy onwards, indicative carbon budgets will have to be defined for the carbon footprint and no longer only for national emissions.</w:t>
      </w:r>
    </w:p>
    <w:p w14:paraId="0ED896FD" w14:textId="77777777" w:rsidR="006007BA" w:rsidRPr="005B54EE" w:rsidRDefault="003555E2" w:rsidP="007C589E">
      <w:pPr>
        <w:pStyle w:val="Titre1Niveau1"/>
      </w:pPr>
      <w:r w:rsidRPr="005B54EE">
        <w:br w:type="page"/>
      </w:r>
      <w:bookmarkStart w:id="86" w:name="ChapIV"/>
      <w:bookmarkStart w:id="87" w:name="_Toc121833022"/>
      <w:bookmarkStart w:id="88" w:name="_Toc138344687"/>
      <w:bookmarkEnd w:id="86"/>
      <w:r w:rsidRPr="005B54EE">
        <w:t>Chapter IV - Greenhouse gas emission projections</w:t>
      </w:r>
      <w:bookmarkEnd w:id="87"/>
      <w:bookmarkEnd w:id="88"/>
    </w:p>
    <w:p w14:paraId="26252D12" w14:textId="77777777" w:rsidR="006007BA" w:rsidRPr="005B54EE" w:rsidRDefault="006007BA" w:rsidP="00D8302C">
      <w:pPr>
        <w:pStyle w:val="Titre2Niveau2"/>
        <w:numPr>
          <w:ilvl w:val="0"/>
          <w:numId w:val="57"/>
        </w:numPr>
      </w:pPr>
      <w:bookmarkStart w:id="89" w:name="_Toc121833023"/>
      <w:bookmarkStart w:id="90" w:name="_Toc138344688"/>
      <w:r w:rsidRPr="005B54EE">
        <w:t>Definition of scenarios</w:t>
      </w:r>
      <w:bookmarkEnd w:id="89"/>
      <w:bookmarkEnd w:id="90"/>
    </w:p>
    <w:p w14:paraId="15EB8BB0" w14:textId="71B191A7" w:rsidR="00F24A36" w:rsidRDefault="00F24A36" w:rsidP="002F4FA6">
      <w:pPr>
        <w:pStyle w:val="titreencadre"/>
        <w:numPr>
          <w:ilvl w:val="3"/>
          <w:numId w:val="47"/>
        </w:numPr>
        <w:spacing w:before="120" w:after="60" w:line="240" w:lineRule="auto"/>
      </w:pPr>
      <w:bookmarkStart w:id="91" w:name="_Toc121833026"/>
      <w:r w:rsidRPr="005B54EE">
        <w:t>AME Scenario</w:t>
      </w:r>
    </w:p>
    <w:p w14:paraId="542F9D83" w14:textId="77777777" w:rsidR="00920B68" w:rsidRPr="00920B68" w:rsidRDefault="00920B68" w:rsidP="00C50CEB">
      <w:pPr>
        <w:pStyle w:val="ListParagraph"/>
        <w:ind w:left="0"/>
        <w:rPr>
          <w:b/>
        </w:rPr>
      </w:pPr>
      <w:r w:rsidRPr="00364545">
        <w:t xml:space="preserve">A scenario “with existing measures” or AME 2021, taking into account all policies and measures decided and implemented until 31 December 2019, was created in 2021. This 2050 scenario updates the AME 2018 scenario by integrating all the policies and measures decided and implemented between 1 July 2017 and 31 December 2019. </w:t>
      </w:r>
      <w:r>
        <w:t xml:space="preserve">The general approach, for WEM scenarios is to consider that no new policies and measures are being implemented after a particular cut-off date, and that existing measures end unless a funding trajectory has been established. The AME scenario is therefore a “business-as-usual” scenario, which provides a conservative estimate of the evolution of GHG emissions with existing measures. </w:t>
      </w:r>
      <w:r w:rsidRPr="00364545">
        <w:t>A summary of this scenario, written in French, is available on the website of the Ministry of Ecology Transition</w:t>
      </w:r>
      <w:r w:rsidRPr="00364545">
        <w:rPr>
          <w:rStyle w:val="FootnoteReference"/>
        </w:rPr>
        <w:footnoteReference w:id="16"/>
      </w:r>
      <w:r w:rsidRPr="00364545">
        <w:t>.</w:t>
      </w:r>
    </w:p>
    <w:p w14:paraId="442D9EBE" w14:textId="77777777" w:rsidR="00920B68" w:rsidRPr="00A46044" w:rsidRDefault="00920B68" w:rsidP="00C50CEB"/>
    <w:p w14:paraId="171FADA1" w14:textId="77777777" w:rsidR="00F24A36" w:rsidRPr="005B54EE" w:rsidRDefault="00F24A36" w:rsidP="002F4FA6">
      <w:pPr>
        <w:pStyle w:val="titreencadre"/>
        <w:numPr>
          <w:ilvl w:val="3"/>
          <w:numId w:val="47"/>
        </w:numPr>
        <w:spacing w:before="120" w:after="60" w:line="240" w:lineRule="auto"/>
      </w:pPr>
      <w:r w:rsidRPr="005B54EE">
        <w:t>AMS Scenario</w:t>
      </w:r>
    </w:p>
    <w:p w14:paraId="7791AAC0" w14:textId="77777777" w:rsidR="00920B68" w:rsidRPr="00364545" w:rsidRDefault="00920B68" w:rsidP="00C50CEB">
      <w:pPr>
        <w:pStyle w:val="ListParagraph"/>
        <w:ind w:left="0"/>
      </w:pPr>
      <w:r w:rsidRPr="00364545">
        <w:t>Between April 2017 and March 2018 France conducted a large-scale scenario-building exercise for the 2050 time period. The previous exercise was carried out up to 2035. A scenario "with additional measures" or AMS 2018 was then created. It represents a way for France to reach its long-term objectives, notably carbon neutrality on its national territory in 2050.</w:t>
      </w:r>
      <w:r>
        <w:t xml:space="preserve"> This scenario had already been reported in France’s BR4 in a preliminary version. The same scenario is being reported in the BR5 in a finalized version, which has been used to establish France’s domestic carbon budgets. There are few differences between the two versions, and most of them are being technical updates related to GHG inventory methodology. </w:t>
      </w:r>
    </w:p>
    <w:p w14:paraId="2A5085B5" w14:textId="77777777" w:rsidR="00920B68" w:rsidRPr="00364545" w:rsidRDefault="00920B68" w:rsidP="00C50CEB">
      <w:pPr>
        <w:pStyle w:val="ListParagraph"/>
        <w:ind w:left="0"/>
      </w:pPr>
    </w:p>
    <w:p w14:paraId="6E263144" w14:textId="77777777" w:rsidR="00920B68" w:rsidRDefault="00920B68" w:rsidP="00C50CEB">
      <w:pPr>
        <w:pStyle w:val="ListParagraph"/>
        <w:ind w:left="0"/>
      </w:pPr>
      <w:r>
        <w:t xml:space="preserve">No “without measure” scenario (WOM) has been produced since considering France’s modelling architecture, it would have been highly resource intensive, and would have delivered only little additional value to France’s domestic policy-making compared to the WEM scenario. </w:t>
      </w:r>
    </w:p>
    <w:p w14:paraId="0DDB01A1" w14:textId="77777777" w:rsidR="00F24A36" w:rsidRPr="005B54EE" w:rsidRDefault="00F24A36" w:rsidP="00F24A36"/>
    <w:p w14:paraId="58938390" w14:textId="77777777" w:rsidR="00920B68" w:rsidRPr="00364545" w:rsidRDefault="00920B68" w:rsidP="00920B68">
      <w:r w:rsidRPr="00364545">
        <w:t xml:space="preserve">Additional measures compared to the AME scenario are included in this scenario. The AMS scenario incorporates the additional measures adopted since 1 July 2017 (some of which are included in the AME 2021 scenario), a reinforcement and extension of existing measures and the taking into account of the guidelines adopted within the framework of the National Low Carbon Strategy and the Multiannual Energy Plan. </w:t>
      </w:r>
      <w:r>
        <w:t>Since the WAM scenario is being updated only every 4/5 years, and the WEM scenarios every 2 years, the AME 2021 scenario happens to include some measures, adopted between 2017 and December 2019, considered as “additional” when the AMS 2018 was elaborated (ex. Tertiary decree, closure of coal-fired power plants, EU regulation on CO2 emissions from cars and vans). However, this overlap is limited, and the AMS 2018 (WAM) scenario includes a clearly larger set of PaMs, with on the one hand PaMs that are being extended until 2050 (ex. Energy saving certificate scheme, Heat Fund, MaPrimeRénov, etc.), and on the other hand, additional measures which have not yet been implemented by December 2019 (ex. Support to modal shift in the transport sector, enhanced construction regulation for new building, etc.). The following sections provide further details on the PaMs included in each scenario.</w:t>
      </w:r>
    </w:p>
    <w:p w14:paraId="3DE8CD2A" w14:textId="77777777" w:rsidR="00F24A36" w:rsidRPr="005B54EE" w:rsidRDefault="00F24A36" w:rsidP="00F24A36"/>
    <w:p w14:paraId="2713885F" w14:textId="77777777" w:rsidR="00F24A36" w:rsidRPr="005B54EE" w:rsidRDefault="00F24A36" w:rsidP="00F24A36">
      <w:r w:rsidRPr="005B54EE">
        <w:t>This scenario was defined as part of the consultation process for the 2nd National Low Carbon Strategy. The hypotheses were developed within the framework of technical discussion groups with stakeholders and presented to the SNBC's Information and Steering Committee. The AMS Scenario is the reference scenario of the French energy and climate strategy. The two national planning or strategy documents, the Multiannual Energy Plan (MEP) and the National Low Carbon Strategy (SNBC) are based on this scenario, as is the National Integrated Energy and Climate Plan (PNIEC) that France submitted to the European Union in 2019. A summary of this scenario has been written in French and can be found on the website of the Ministry of Ecology Transition</w:t>
      </w:r>
      <w:r w:rsidRPr="005B54EE">
        <w:rPr>
          <w:rStyle w:val="FootnoteReference"/>
          <w:rFonts w:ascii="Times New Roman" w:eastAsiaTheme="majorEastAsia" w:hAnsi="Times New Roman"/>
          <w:color w:val="000000"/>
          <w:szCs w:val="22"/>
        </w:rPr>
        <w:footnoteReference w:id="17"/>
      </w:r>
      <w:r w:rsidRPr="005B54EE">
        <w:t>.</w:t>
      </w:r>
    </w:p>
    <w:p w14:paraId="33635C42" w14:textId="77777777" w:rsidR="00F24A36" w:rsidRPr="005B54EE" w:rsidRDefault="00F24A36" w:rsidP="00F24A36"/>
    <w:p w14:paraId="05D72F37" w14:textId="438EB833" w:rsidR="00F24A36" w:rsidRPr="005B54EE" w:rsidRDefault="00F24A36" w:rsidP="00F24A36">
      <w:r w:rsidRPr="005B54EE">
        <w:t>All the policies and measures presented in chapter 4 and marked with an asterisk (*) have therefore been included.</w:t>
      </w:r>
    </w:p>
    <w:p w14:paraId="553D6427" w14:textId="62F0D18E" w:rsidR="005066D8" w:rsidRPr="005B54EE" w:rsidRDefault="005066D8" w:rsidP="00F24A36"/>
    <w:p w14:paraId="0C2A06FD" w14:textId="3B6F987D" w:rsidR="005066D8" w:rsidRPr="00C50CEB" w:rsidRDefault="00990158" w:rsidP="00C50CEB">
      <w:pPr>
        <w:pStyle w:val="Titre2Niveau2"/>
        <w:numPr>
          <w:ilvl w:val="0"/>
          <w:numId w:val="57"/>
        </w:numPr>
        <w:rPr>
          <w:bCs w:val="0"/>
        </w:rPr>
      </w:pPr>
      <w:bookmarkStart w:id="92" w:name="_Toc138344689"/>
      <w:r w:rsidRPr="005B54EE">
        <w:t>Key policies and measures included in the scenarios</w:t>
      </w:r>
      <w:bookmarkStart w:id="93" w:name="_Toc138344690"/>
      <w:bookmarkStart w:id="94" w:name="_Toc138344691"/>
      <w:bookmarkStart w:id="95" w:name="_Toc138344692"/>
      <w:bookmarkEnd w:id="92"/>
      <w:bookmarkEnd w:id="93"/>
      <w:bookmarkEnd w:id="94"/>
      <w:bookmarkEnd w:id="95"/>
    </w:p>
    <w:p w14:paraId="680B3320" w14:textId="77777777" w:rsidR="0078543B" w:rsidRPr="0078543B" w:rsidRDefault="0078543B" w:rsidP="0078543B">
      <w:pPr>
        <w:pStyle w:val="ListParagraph"/>
        <w:keepNext/>
        <w:keepLines/>
        <w:numPr>
          <w:ilvl w:val="0"/>
          <w:numId w:val="46"/>
        </w:numPr>
        <w:spacing w:before="240" w:after="60" w:line="260" w:lineRule="atLeast"/>
        <w:contextualSpacing w:val="0"/>
        <w:outlineLvl w:val="3"/>
        <w:rPr>
          <w:rFonts w:asciiTheme="majorHAnsi" w:eastAsiaTheme="majorEastAsia" w:hAnsiTheme="majorHAnsi" w:cstheme="majorBidi"/>
          <w:b/>
          <w:bCs/>
          <w:iCs/>
          <w:vanish/>
          <w:sz w:val="21"/>
          <w:szCs w:val="18"/>
        </w:rPr>
      </w:pPr>
    </w:p>
    <w:p w14:paraId="12D65321" w14:textId="77777777" w:rsidR="0078543B" w:rsidRPr="0078543B" w:rsidRDefault="0078543B" w:rsidP="0078543B">
      <w:pPr>
        <w:pStyle w:val="ListParagraph"/>
        <w:keepNext/>
        <w:keepLines/>
        <w:numPr>
          <w:ilvl w:val="0"/>
          <w:numId w:val="46"/>
        </w:numPr>
        <w:spacing w:before="240" w:after="60" w:line="260" w:lineRule="atLeast"/>
        <w:contextualSpacing w:val="0"/>
        <w:outlineLvl w:val="3"/>
        <w:rPr>
          <w:rFonts w:asciiTheme="majorHAnsi" w:eastAsiaTheme="majorEastAsia" w:hAnsiTheme="majorHAnsi" w:cstheme="majorBidi"/>
          <w:b/>
          <w:bCs/>
          <w:iCs/>
          <w:vanish/>
          <w:sz w:val="21"/>
          <w:szCs w:val="18"/>
        </w:rPr>
      </w:pPr>
    </w:p>
    <w:p w14:paraId="00E74AAB" w14:textId="77777777" w:rsidR="0078543B" w:rsidRPr="0078543B" w:rsidRDefault="0078543B" w:rsidP="0078543B">
      <w:pPr>
        <w:pStyle w:val="ListParagraph"/>
        <w:keepNext/>
        <w:keepLines/>
        <w:numPr>
          <w:ilvl w:val="1"/>
          <w:numId w:val="46"/>
        </w:numPr>
        <w:spacing w:before="240" w:after="60" w:line="260" w:lineRule="atLeast"/>
        <w:contextualSpacing w:val="0"/>
        <w:outlineLvl w:val="3"/>
        <w:rPr>
          <w:rFonts w:asciiTheme="majorHAnsi" w:eastAsiaTheme="majorEastAsia" w:hAnsiTheme="majorHAnsi" w:cstheme="majorBidi"/>
          <w:b/>
          <w:bCs/>
          <w:iCs/>
          <w:vanish/>
          <w:sz w:val="21"/>
          <w:szCs w:val="18"/>
        </w:rPr>
      </w:pPr>
    </w:p>
    <w:p w14:paraId="2B3AFF4A" w14:textId="433FC7F8" w:rsidR="00F24A36" w:rsidRPr="005B54EE" w:rsidRDefault="00F24A36">
      <w:pPr>
        <w:pStyle w:val="Titre4niveau4"/>
        <w:numPr>
          <w:ilvl w:val="2"/>
          <w:numId w:val="46"/>
        </w:numPr>
        <w:spacing w:before="240"/>
      </w:pPr>
      <w:r w:rsidRPr="005B54EE">
        <w:t>Carbon taxation (cross-sectoral)</w:t>
      </w:r>
    </w:p>
    <w:p w14:paraId="1160771A" w14:textId="77777777" w:rsidR="00F24A36" w:rsidRPr="005B54EE" w:rsidRDefault="00F24A36" w:rsidP="002F4FA6">
      <w:pPr>
        <w:pStyle w:val="titreencadre"/>
        <w:numPr>
          <w:ilvl w:val="3"/>
          <w:numId w:val="47"/>
        </w:numPr>
        <w:spacing w:before="120" w:after="60" w:line="240" w:lineRule="auto"/>
      </w:pPr>
      <w:r w:rsidRPr="005B54EE">
        <w:t>AME 2021</w:t>
      </w:r>
    </w:p>
    <w:p w14:paraId="3CC5E348" w14:textId="5C2C2F7F" w:rsidR="00F24A36" w:rsidRPr="005B54EE" w:rsidRDefault="00F24A36" w:rsidP="00F24A36">
      <w:r w:rsidRPr="005B54EE">
        <w:t>The hypotheses on carbon taxation have been modified. For the non-ETS sectors in particular, the latest AME scenario included the same carbon component on domestic energy consumption taxes with a value of €14.50/tCO</w:t>
      </w:r>
      <w:r w:rsidRPr="005B54EE">
        <w:rPr>
          <w:vertAlign w:val="subscript"/>
        </w:rPr>
        <w:t>2</w:t>
      </w:r>
      <w:r w:rsidRPr="005B54EE">
        <w:t xml:space="preserve"> in 2015, €22/tCO</w:t>
      </w:r>
      <w:r w:rsidRPr="005B54EE">
        <w:rPr>
          <w:vertAlign w:val="subscript"/>
        </w:rPr>
        <w:t>2</w:t>
      </w:r>
      <w:r w:rsidRPr="005B54EE">
        <w:t xml:space="preserve"> in 2016, €30.50/tCO</w:t>
      </w:r>
      <w:r w:rsidRPr="005B54EE">
        <w:rPr>
          <w:vertAlign w:val="subscript"/>
        </w:rPr>
        <w:t>2</w:t>
      </w:r>
      <w:r w:rsidRPr="005B54EE">
        <w:t xml:space="preserve"> in 2017, €39/tCO</w:t>
      </w:r>
      <w:r w:rsidRPr="005B54EE">
        <w:rPr>
          <w:vertAlign w:val="subscript"/>
        </w:rPr>
        <w:t>2</w:t>
      </w:r>
      <w:r w:rsidRPr="005B54EE">
        <w:t xml:space="preserve"> in 2018, €47.50/tCO</w:t>
      </w:r>
      <w:r w:rsidRPr="005B54EE">
        <w:rPr>
          <w:vertAlign w:val="subscript"/>
        </w:rPr>
        <w:t>2</w:t>
      </w:r>
      <w:r w:rsidRPr="005B54EE">
        <w:t xml:space="preserve"> in 2019, €56/tCO</w:t>
      </w:r>
      <w:r w:rsidRPr="005B54EE">
        <w:rPr>
          <w:vertAlign w:val="subscript"/>
        </w:rPr>
        <w:t>2</w:t>
      </w:r>
      <w:r w:rsidRPr="005B54EE">
        <w:t xml:space="preserve"> in 2020 then a linear growth to €100/tCO</w:t>
      </w:r>
      <w:r w:rsidRPr="005B54EE">
        <w:rPr>
          <w:vertAlign w:val="subscript"/>
        </w:rPr>
        <w:t>2</w:t>
      </w:r>
      <w:r w:rsidRPr="005B54EE">
        <w:t>. The AME 2021 scenario incorporates the freezing of the TICPE decided at the end of 2018 and assumes that it will remain at its current level, i.e. €44.60/tCO</w:t>
      </w:r>
      <w:r w:rsidRPr="005B54EE">
        <w:rPr>
          <w:vertAlign w:val="subscript"/>
        </w:rPr>
        <w:t>2</w:t>
      </w:r>
      <w:r w:rsidRPr="005B54EE">
        <w:t>, until 2050.</w:t>
      </w:r>
    </w:p>
    <w:p w14:paraId="0EAD1BE6" w14:textId="77777777" w:rsidR="00F24A36" w:rsidRPr="005B54EE" w:rsidRDefault="00F24A36" w:rsidP="002F4FA6">
      <w:pPr>
        <w:pStyle w:val="titreencadre"/>
        <w:numPr>
          <w:ilvl w:val="3"/>
          <w:numId w:val="47"/>
        </w:numPr>
        <w:spacing w:before="120" w:after="60" w:line="240" w:lineRule="auto"/>
      </w:pPr>
      <w:r w:rsidRPr="005B54EE">
        <w:t>AMS 2018</w:t>
      </w:r>
    </w:p>
    <w:p w14:paraId="37B7199F" w14:textId="760DF669" w:rsidR="005066D8" w:rsidRPr="00C50CEB" w:rsidRDefault="00F24A36" w:rsidP="00C50CEB">
      <w:pPr>
        <w:spacing w:before="240" w:after="240"/>
        <w:rPr>
          <w:rFonts w:eastAsiaTheme="majorEastAsia"/>
        </w:rPr>
      </w:pPr>
      <w:r w:rsidRPr="005B54EE">
        <w:t>The AMS 2018 scenario takes into account the decision to freeze the carbon component increase at the end of 2018. The carbon component is therefore modelled with a stable trajectory from 2018 onwards at €44.60/tCO</w:t>
      </w:r>
      <w:r w:rsidRPr="005B54EE">
        <w:rPr>
          <w:vertAlign w:val="subscript"/>
        </w:rPr>
        <w:t>2</w:t>
      </w:r>
      <w:r w:rsidRPr="005B54EE">
        <w:t>.</w:t>
      </w:r>
    </w:p>
    <w:p w14:paraId="04C8958B" w14:textId="77777777" w:rsidR="0078543B" w:rsidRPr="0078543B" w:rsidRDefault="0078543B" w:rsidP="0078543B">
      <w:pPr>
        <w:pStyle w:val="ListParagraph"/>
        <w:keepNext/>
        <w:keepLines/>
        <w:numPr>
          <w:ilvl w:val="0"/>
          <w:numId w:val="47"/>
        </w:numPr>
        <w:spacing w:before="240" w:after="60" w:line="260" w:lineRule="atLeast"/>
        <w:contextualSpacing w:val="0"/>
        <w:outlineLvl w:val="3"/>
        <w:rPr>
          <w:rFonts w:asciiTheme="majorHAnsi" w:eastAsiaTheme="majorEastAsia" w:hAnsiTheme="majorHAnsi" w:cstheme="majorBidi"/>
          <w:b/>
          <w:bCs/>
          <w:iCs/>
          <w:vanish/>
          <w:sz w:val="21"/>
          <w:szCs w:val="18"/>
        </w:rPr>
      </w:pPr>
    </w:p>
    <w:p w14:paraId="756C18A7" w14:textId="77777777" w:rsidR="0078543B" w:rsidRPr="0078543B" w:rsidRDefault="0078543B" w:rsidP="0078543B">
      <w:pPr>
        <w:pStyle w:val="ListParagraph"/>
        <w:keepNext/>
        <w:keepLines/>
        <w:numPr>
          <w:ilvl w:val="1"/>
          <w:numId w:val="47"/>
        </w:numPr>
        <w:spacing w:before="240" w:after="60" w:line="260" w:lineRule="atLeast"/>
        <w:contextualSpacing w:val="0"/>
        <w:outlineLvl w:val="3"/>
        <w:rPr>
          <w:rFonts w:asciiTheme="majorHAnsi" w:eastAsiaTheme="majorEastAsia" w:hAnsiTheme="majorHAnsi" w:cstheme="majorBidi"/>
          <w:b/>
          <w:bCs/>
          <w:iCs/>
          <w:vanish/>
          <w:sz w:val="21"/>
          <w:szCs w:val="18"/>
        </w:rPr>
      </w:pPr>
    </w:p>
    <w:p w14:paraId="0518CB9F" w14:textId="77777777" w:rsidR="0078543B" w:rsidRPr="0078543B" w:rsidRDefault="0078543B" w:rsidP="0078543B">
      <w:pPr>
        <w:pStyle w:val="ListParagraph"/>
        <w:keepNext/>
        <w:keepLines/>
        <w:numPr>
          <w:ilvl w:val="2"/>
          <w:numId w:val="47"/>
        </w:numPr>
        <w:spacing w:before="240" w:after="60" w:line="260" w:lineRule="atLeast"/>
        <w:contextualSpacing w:val="0"/>
        <w:outlineLvl w:val="3"/>
        <w:rPr>
          <w:rFonts w:asciiTheme="majorHAnsi" w:eastAsiaTheme="majorEastAsia" w:hAnsiTheme="majorHAnsi" w:cstheme="majorBidi"/>
          <w:b/>
          <w:bCs/>
          <w:iCs/>
          <w:vanish/>
          <w:sz w:val="21"/>
          <w:szCs w:val="18"/>
        </w:rPr>
      </w:pPr>
    </w:p>
    <w:p w14:paraId="733AF8C6" w14:textId="4EFAC307" w:rsidR="00F24A36" w:rsidRPr="005B54EE" w:rsidRDefault="00F24A36">
      <w:pPr>
        <w:pStyle w:val="Titre4niveau4"/>
        <w:numPr>
          <w:ilvl w:val="2"/>
          <w:numId w:val="47"/>
        </w:numPr>
        <w:spacing w:before="240"/>
      </w:pPr>
      <w:r w:rsidRPr="005B54EE">
        <w:t xml:space="preserve">Energy saving certificates (cross-sectoral) </w:t>
      </w:r>
    </w:p>
    <w:p w14:paraId="3866BD04" w14:textId="77777777" w:rsidR="00F24A36" w:rsidRPr="005B54EE" w:rsidRDefault="00F24A36" w:rsidP="002F4FA6">
      <w:pPr>
        <w:pStyle w:val="titreencadre"/>
        <w:numPr>
          <w:ilvl w:val="3"/>
          <w:numId w:val="47"/>
        </w:numPr>
        <w:spacing w:before="120" w:after="60" w:line="240" w:lineRule="auto"/>
      </w:pPr>
      <w:r w:rsidRPr="005B54EE">
        <w:t>AME 2021</w:t>
      </w:r>
    </w:p>
    <w:p w14:paraId="586E0A4F" w14:textId="77777777" w:rsidR="00F24A36" w:rsidRPr="005B54EE" w:rsidRDefault="00F24A36" w:rsidP="00F24A36">
      <w:pPr>
        <w:spacing w:before="240" w:after="240"/>
      </w:pPr>
      <w:r w:rsidRPr="005B54EE">
        <w:t xml:space="preserve">The AME 2021 scenario includes the extension of the 4th period of the energy saving certificate scheme until 31/12/2021 with an indicated target of 2,133 TWh cumulative updated over the 2018-2021 period. The value of the energy saving certificate is set at €6/MWh cumulative updated (compared to €3/MWh in the previous AME) for this period reflecting the price increase observed since 2018. </w:t>
      </w:r>
    </w:p>
    <w:p w14:paraId="108E59F6" w14:textId="77777777" w:rsidR="00F24A36" w:rsidRPr="005B54EE" w:rsidRDefault="00F24A36" w:rsidP="002F4FA6">
      <w:pPr>
        <w:pStyle w:val="titreencadre"/>
        <w:numPr>
          <w:ilvl w:val="3"/>
          <w:numId w:val="47"/>
        </w:numPr>
        <w:spacing w:before="120" w:after="60" w:line="240" w:lineRule="auto"/>
      </w:pPr>
      <w:r w:rsidRPr="005B54EE">
        <w:t>AMS 2018</w:t>
      </w:r>
    </w:p>
    <w:p w14:paraId="401DDD00" w14:textId="77777777" w:rsidR="00F24A36" w:rsidRPr="005B54EE" w:rsidRDefault="00F24A36" w:rsidP="00F24A36">
      <w:pPr>
        <w:spacing w:before="240" w:after="240"/>
      </w:pPr>
      <w:r w:rsidRPr="005B54EE">
        <w:t>The energy saving certificate scheme is extended until 2050. The value of the energy saving certificate progressively increases from €3/MWh cumulative updated at the beginning of the period up to €20/MWh cumulative updated in 2050.</w:t>
      </w:r>
    </w:p>
    <w:p w14:paraId="54B43066" w14:textId="77777777" w:rsidR="00F24A36" w:rsidRPr="005B54EE" w:rsidRDefault="00F24A36" w:rsidP="002F4FA6">
      <w:pPr>
        <w:pStyle w:val="Titre4niveau4"/>
        <w:numPr>
          <w:ilvl w:val="2"/>
          <w:numId w:val="47"/>
        </w:numPr>
        <w:spacing w:before="240"/>
      </w:pPr>
      <w:r w:rsidRPr="005B54EE">
        <w:t xml:space="preserve">Renewable energy </w:t>
      </w:r>
    </w:p>
    <w:p w14:paraId="1FB1AC5F" w14:textId="77777777" w:rsidR="00F24A36" w:rsidRPr="005B54EE" w:rsidRDefault="00F24A36" w:rsidP="002F4FA6">
      <w:pPr>
        <w:pStyle w:val="titreencadre"/>
        <w:numPr>
          <w:ilvl w:val="3"/>
          <w:numId w:val="47"/>
        </w:numPr>
        <w:spacing w:before="120" w:after="60" w:line="240" w:lineRule="auto"/>
      </w:pPr>
      <w:r w:rsidRPr="005B54EE">
        <w:t>AME 2021</w:t>
      </w:r>
    </w:p>
    <w:p w14:paraId="7E2E80E4" w14:textId="77777777" w:rsidR="00F24A36" w:rsidRPr="005B54EE" w:rsidRDefault="00F24A36" w:rsidP="00F24A36">
      <w:pPr>
        <w:spacing w:before="240" w:after="240"/>
      </w:pPr>
      <w:r w:rsidRPr="005B54EE">
        <w:t xml:space="preserve">The heat fund was extended until 2021 and stopped thereafter. Biofuels were included at 7.9% for petrol and 7.3% for diesel in 2015 and remain stable over the period. Renewable electrical energy is expected to grow at the current rate.  </w:t>
      </w:r>
    </w:p>
    <w:p w14:paraId="59139680" w14:textId="77777777" w:rsidR="00F24A36" w:rsidRPr="005B54EE" w:rsidRDefault="00F24A36" w:rsidP="002F4FA6">
      <w:pPr>
        <w:pStyle w:val="titreencadre"/>
        <w:numPr>
          <w:ilvl w:val="3"/>
          <w:numId w:val="47"/>
        </w:numPr>
        <w:spacing w:before="120" w:after="60" w:line="240" w:lineRule="auto"/>
      </w:pPr>
      <w:r w:rsidRPr="005B54EE">
        <w:t>AMS 2018</w:t>
      </w:r>
    </w:p>
    <w:p w14:paraId="5F818716" w14:textId="77777777" w:rsidR="00F24A36" w:rsidRPr="005B54EE" w:rsidRDefault="00F24A36" w:rsidP="00F24A36">
      <w:pPr>
        <w:spacing w:before="240" w:after="240"/>
      </w:pPr>
      <w:r w:rsidRPr="005B54EE">
        <w:t>The heat fund is extended until 2050. Biofuels were included at 7.5% for petrol and diesel in 2015, rising to 10.6% in 2030 and 100% in 2050. Renewable electrical energy is expected to grow quicker than in the AME scenario.</w:t>
      </w:r>
    </w:p>
    <w:p w14:paraId="072847FD" w14:textId="77777777" w:rsidR="00F24A36" w:rsidRPr="005B54EE" w:rsidRDefault="00F24A36" w:rsidP="002F4FA6">
      <w:pPr>
        <w:pStyle w:val="Titre4niveau4"/>
        <w:numPr>
          <w:ilvl w:val="2"/>
          <w:numId w:val="47"/>
        </w:numPr>
        <w:spacing w:before="240"/>
      </w:pPr>
      <w:r w:rsidRPr="005B54EE">
        <w:t>Transport</w:t>
      </w:r>
    </w:p>
    <w:p w14:paraId="2F5E6517" w14:textId="77777777" w:rsidR="00F24A36" w:rsidRPr="005B54EE" w:rsidRDefault="00F24A36" w:rsidP="002F4FA6">
      <w:pPr>
        <w:pStyle w:val="titreencadre"/>
        <w:numPr>
          <w:ilvl w:val="3"/>
          <w:numId w:val="47"/>
        </w:numPr>
        <w:spacing w:before="120" w:after="60" w:line="240" w:lineRule="auto"/>
      </w:pPr>
      <w:r w:rsidRPr="005B54EE">
        <w:t>AME 2021</w:t>
      </w:r>
    </w:p>
    <w:p w14:paraId="5358F553" w14:textId="77777777" w:rsidR="00F24A36" w:rsidRPr="005B54EE" w:rsidRDefault="00F24A36" w:rsidP="00F24A36">
      <w:r w:rsidRPr="005B54EE">
        <w:t xml:space="preserve">For this sector, the AME 2021 incorporates in particular: the 2019 European regulations on vehicles, the measures of the Mobility Orientation Law on Transport (LOM) and the fiscal measures taken before the end of 2019. </w:t>
      </w:r>
    </w:p>
    <w:p w14:paraId="16C8666B" w14:textId="77777777" w:rsidR="00F24A36" w:rsidRPr="005B54EE" w:rsidRDefault="00F24A36" w:rsidP="00F24A36"/>
    <w:p w14:paraId="210DD49D" w14:textId="77777777" w:rsidR="00F24A36" w:rsidRPr="005B54EE" w:rsidRDefault="00F24A36" w:rsidP="00F24A36">
      <w:r w:rsidRPr="005B54EE">
        <w:t>For vehicle fleets, the scenario includes the 2019 European regulations setting emission reduction targets for new vehicles sold by 2030 compared to 2021 for passenger cars (-37.5%), light commercial vehicles (-31%) and heavy goods vehicles (-30%). The scenario also incorporates national measures relating to vehicles, in particular all the fiscal measures decided on before 2020 (bonus-malus, conversion premium, tax on company vehicles, tax incentive scheme for heavy vehicles); the reinforcement under the Mobility Orientation Law on Transport of the objectives of integrating low emission vehicles and the extension of the measure to company fleets of more than 100 vehicles, including fleet leasing companies; incentives for the installation of public and private charging stations; low emission zones. In modelling, measures relating to obligations to integrate low emission vehicles into fleet renewal, fiscal incentives, the development of low emission zones and measures to develop charging stations are considered as measures that support the achievement of European targets but have no additional effect.</w:t>
      </w:r>
    </w:p>
    <w:p w14:paraId="2AA2584A" w14:textId="77777777" w:rsidR="00F24A36" w:rsidRPr="005B54EE" w:rsidRDefault="00F24A36" w:rsidP="00F24A36"/>
    <w:p w14:paraId="3121CCC6" w14:textId="77777777" w:rsidR="00F24A36" w:rsidRPr="005B54EE" w:rsidRDefault="00F24A36" w:rsidP="00F24A36">
      <w:r w:rsidRPr="005B54EE">
        <w:t>For traffic, modelling takes into account all the measures in favour of cycling that have been adopted as part of the Mobility Orientation Law on Transport and the cycling plan, measures to strengthen public transport and low emission zones. For aviation, the scenario includes the ETS and CORSIA schemes. A saturation effect is taken into account in modelling for international traffic from 2025 until 2050, through a reduction in the flexibility of traffic compared to GDP of around 25% by 2050.</w:t>
      </w:r>
    </w:p>
    <w:p w14:paraId="78B9A31D" w14:textId="77777777" w:rsidR="00F24A36" w:rsidRPr="005B54EE" w:rsidRDefault="00F24A36" w:rsidP="00F24A36"/>
    <w:p w14:paraId="04B391EA" w14:textId="77777777" w:rsidR="00F24A36" w:rsidRPr="005B54EE" w:rsidRDefault="00F24A36" w:rsidP="00F24A36">
      <w:r w:rsidRPr="005B54EE">
        <w:t>Traffic was modelled at key points of 2030 and 2050. The 2025 point was interpolated from 2018 to 2030. The impact of Covid-19 is taken into account, on the one hand, through the Commission's GDP chronicle, which includes a Covid-19 effect, which is reflected in traffic, including in the medium term, through the impact of GDP in the models; and, on the other hand, the 2020 point, which is evaluated on the basis of the provisional traffic data known at the time the chronicles were drawn up.</w:t>
      </w:r>
    </w:p>
    <w:p w14:paraId="77F17394" w14:textId="77777777" w:rsidR="00F24A36" w:rsidRPr="005B54EE" w:rsidRDefault="00F24A36" w:rsidP="002F4FA6">
      <w:pPr>
        <w:pStyle w:val="titreencadre"/>
        <w:numPr>
          <w:ilvl w:val="3"/>
          <w:numId w:val="47"/>
        </w:numPr>
        <w:spacing w:before="120" w:after="60" w:line="240" w:lineRule="auto"/>
      </w:pPr>
      <w:r w:rsidRPr="005B54EE">
        <w:t>AMS 2018</w:t>
      </w:r>
    </w:p>
    <w:p w14:paraId="04EBF01A" w14:textId="77777777" w:rsidR="00F24A36" w:rsidRPr="005B54EE" w:rsidRDefault="00F24A36" w:rsidP="00F24A36">
      <w:pPr>
        <w:spacing w:before="240" w:after="240"/>
        <w:rPr>
          <w:sz w:val="21"/>
        </w:rPr>
      </w:pPr>
      <w:r w:rsidRPr="005B54EE">
        <w:rPr>
          <w:sz w:val="21"/>
        </w:rPr>
        <w:t>The AMS scenario carried out prior to the adoption of the 2019 regulations anticipated the adoption of these regulations and projected a development of low emission vehicles close to the AME 21 scenario. In addition, the scenario includes a target of ending the sale of new cars and light commercial vehicles emitting greenhouse gases in 2040. The scenario therefore foresees the eventual complete electrification of the passenger car fleet, a strong development of electrification for light commercial vehicles as well as a more diversified energy mix for heavy goods vehicles including the development of NGVs (Natural Gas Vehicles) with the development of bio-NGV, electrification including hydrogen fuel cells. The scenario also includes strong energy efficiency increases with an actual consumption of 4l/100km for new cars in 2030. The inclusion rate of biofuels in liquid and gaseous fuels is developing until reaching 100% inclusion for land transport in 2050.</w:t>
      </w:r>
    </w:p>
    <w:p w14:paraId="6A66C852" w14:textId="77777777" w:rsidR="00F24A36" w:rsidRPr="005B54EE" w:rsidRDefault="00F24A36" w:rsidP="00F24A36">
      <w:pPr>
        <w:spacing w:before="240" w:after="240"/>
      </w:pPr>
      <w:r w:rsidRPr="005B54EE">
        <w:rPr>
          <w:sz w:val="21"/>
        </w:rPr>
        <w:t xml:space="preserve">The scenario includes reinforced measures on demand. The modal share of cycling is multiplied by 4 by 2030. The scenario includes a modal shift towards public transportation of 3 points by 2030 and 7 points by 2050. </w:t>
      </w:r>
      <w:r w:rsidRPr="005B54EE">
        <w:t>The scenario also includes an assumption of control of mobility demand with a lower growth than in the AME scenario (remote working, limiting urban sprawl) as well as an increase in vehicle occupancy rates.</w:t>
      </w:r>
    </w:p>
    <w:p w14:paraId="041FD872" w14:textId="77777777" w:rsidR="00F24A36" w:rsidRPr="005B54EE" w:rsidRDefault="00F24A36" w:rsidP="002F4FA6">
      <w:pPr>
        <w:pStyle w:val="Titre4niveau4"/>
        <w:numPr>
          <w:ilvl w:val="2"/>
          <w:numId w:val="47"/>
        </w:numPr>
        <w:spacing w:before="240"/>
      </w:pPr>
      <w:r w:rsidRPr="005B54EE">
        <w:t xml:space="preserve">Construction </w:t>
      </w:r>
    </w:p>
    <w:p w14:paraId="54BF3B0B" w14:textId="77777777" w:rsidR="00F24A36" w:rsidRPr="005B54EE" w:rsidRDefault="00F24A36" w:rsidP="002F4FA6">
      <w:pPr>
        <w:pStyle w:val="titreencadre"/>
        <w:numPr>
          <w:ilvl w:val="3"/>
          <w:numId w:val="47"/>
        </w:numPr>
        <w:spacing w:before="120" w:after="60" w:line="240" w:lineRule="auto"/>
      </w:pPr>
      <w:r w:rsidRPr="005B54EE">
        <w:t>AME 2021</w:t>
      </w:r>
    </w:p>
    <w:p w14:paraId="47490696" w14:textId="77777777" w:rsidR="00F24A36" w:rsidRPr="005B54EE" w:rsidRDefault="00F24A36" w:rsidP="00F24A36">
      <w:pPr>
        <w:spacing w:before="240" w:after="240"/>
      </w:pPr>
      <w:r w:rsidRPr="005B54EE">
        <w:t>Concerning the construction of new buildings, the AME 2021 scenario takes into account the latest regulation in force, namely RT2012. Unlike the 2018 scenario, the E+/C- testing wasn’t included in the modelling because it only affected a limited number of dwellings.</w:t>
      </w:r>
    </w:p>
    <w:p w14:paraId="578E906B" w14:textId="77777777" w:rsidR="00F24A36" w:rsidRPr="005B54EE" w:rsidRDefault="00F24A36" w:rsidP="00F24A36">
      <w:pPr>
        <w:spacing w:before="240" w:after="240"/>
      </w:pPr>
      <w:r w:rsidRPr="005B54EE">
        <w:t xml:space="preserve">Concerning the thermal renovation of housing, the tax credit (now called MaPrimeRénov'), the subsidies for the thermal renovation of housing for precarious households, the eco-PTZ (subsidised loan for individuals) and eco-PLS (subsidised loan for the renovation of social housing) were extended until the end of 2021. </w:t>
      </w:r>
    </w:p>
    <w:p w14:paraId="1347303E" w14:textId="77777777" w:rsidR="00F24A36" w:rsidRPr="005B54EE" w:rsidRDefault="00F24A36" w:rsidP="00F24A36">
      <w:pPr>
        <w:spacing w:before="240" w:after="240"/>
      </w:pPr>
      <w:r w:rsidRPr="005B54EE">
        <w:t xml:space="preserve">The objective of renovating energy-consuming homes by 2028, although adopted via the 2019 Energy and Climate Law, has not been included in the central scenario due to the small number of effective measures to achieve it. </w:t>
      </w:r>
    </w:p>
    <w:p w14:paraId="2D12660F" w14:textId="77777777" w:rsidR="00F24A36" w:rsidRPr="005B54EE" w:rsidRDefault="00F24A36" w:rsidP="00F24A36">
      <w:pPr>
        <w:spacing w:before="240" w:after="240"/>
      </w:pPr>
      <w:r w:rsidRPr="005B54EE">
        <w:t>The measures concerning mandatory energy renovations during major works in the residential and tertiary sector, the obligation to carry out an energy audit in joint ownership properties, the reinforcement of the element-by-element thermal regulation and the individualisation of heating costs (already included in the previous AME) have been taken into account.</w:t>
      </w:r>
    </w:p>
    <w:p w14:paraId="35E21562" w14:textId="77777777" w:rsidR="00F24A36" w:rsidRPr="005B54EE" w:rsidRDefault="00F24A36" w:rsidP="002F4FA6">
      <w:pPr>
        <w:pStyle w:val="titreencadre"/>
        <w:numPr>
          <w:ilvl w:val="3"/>
          <w:numId w:val="47"/>
        </w:numPr>
        <w:spacing w:before="120" w:after="60" w:line="240" w:lineRule="auto"/>
      </w:pPr>
      <w:r w:rsidRPr="005B54EE">
        <w:t>AMS 2018</w:t>
      </w:r>
    </w:p>
    <w:p w14:paraId="3D5B1277" w14:textId="77777777" w:rsidR="00F24A36" w:rsidRPr="005B54EE" w:rsidRDefault="00F24A36" w:rsidP="00F24A36">
      <w:pPr>
        <w:spacing w:before="240" w:after="240"/>
      </w:pPr>
      <w:r w:rsidRPr="005B54EE">
        <w:t>Concerning the construction of new buildings, the AMS scenario takes into account the latest regulation in force, i.e. RT2012 and then makes hypotheses for increasingly ambitious regulations on energy consumption, decarbonisation of the energy mix and the use of materials that emit less greenhouse gases, in particular biosourced materials.</w:t>
      </w:r>
    </w:p>
    <w:p w14:paraId="69E02C1B" w14:textId="77777777" w:rsidR="00F24A36" w:rsidRPr="005B54EE" w:rsidRDefault="00F24A36" w:rsidP="00F24A36">
      <w:pPr>
        <w:spacing w:before="240" w:after="240"/>
      </w:pPr>
      <w:r w:rsidRPr="005B54EE">
        <w:t>Concerning the thermal renovation of housing, the tax credit, subsidies for the thermal renovation of housing for precarious households, the eco-PTZ (subsidised loan for individuals) and eco-PLS (subsidised loan for the renovation of social housing) are extended until 2050. The scenario also includes measures for mandatory energy renovations during major works (already integrated in the AME scenario) as well as a target for the disappearance of the most energy-consuming homes from 2030, which is included in the 2019 Energy and Climate Law.</w:t>
      </w:r>
    </w:p>
    <w:p w14:paraId="5808EF95" w14:textId="77777777" w:rsidR="00F24A36" w:rsidRPr="005B54EE" w:rsidRDefault="00F24A36" w:rsidP="002F4FA6">
      <w:pPr>
        <w:pStyle w:val="Titre4niveau4"/>
        <w:numPr>
          <w:ilvl w:val="2"/>
          <w:numId w:val="47"/>
        </w:numPr>
        <w:spacing w:before="240"/>
      </w:pPr>
      <w:r w:rsidRPr="005B54EE">
        <w:t>Industry</w:t>
      </w:r>
    </w:p>
    <w:p w14:paraId="69DC16EB" w14:textId="77777777" w:rsidR="00F24A36" w:rsidRPr="005B54EE" w:rsidRDefault="00F24A36" w:rsidP="002F4FA6">
      <w:pPr>
        <w:pStyle w:val="titreencadre"/>
        <w:numPr>
          <w:ilvl w:val="3"/>
          <w:numId w:val="47"/>
        </w:numPr>
        <w:spacing w:before="120" w:after="60" w:line="240" w:lineRule="auto"/>
      </w:pPr>
      <w:r w:rsidRPr="005B54EE">
        <w:t>AME 2021</w:t>
      </w:r>
    </w:p>
    <w:p w14:paraId="3B6835E0" w14:textId="77777777" w:rsidR="00F24A36" w:rsidRPr="005B54EE" w:rsidRDefault="00F24A36" w:rsidP="00F24A36">
      <w:pPr>
        <w:spacing w:before="240" w:after="240"/>
      </w:pPr>
      <w:r w:rsidRPr="005B54EE">
        <w:t>Industrial production grows in line with the macroeconomic framework (average annual growth rate of industrial value added). A trend improvement in the energy efficiency of processes supported by energy audit obligations and energy saving certificates is nevertheless represented, which counterbalances the first effect and leads to an almost stable energy consumption of the industrial sector between 2015 and 2030.</w:t>
      </w:r>
    </w:p>
    <w:p w14:paraId="27E7998F" w14:textId="77777777" w:rsidR="00F24A36" w:rsidRPr="005B54EE" w:rsidRDefault="00F24A36" w:rsidP="002F4FA6">
      <w:pPr>
        <w:pStyle w:val="titreencadre"/>
        <w:numPr>
          <w:ilvl w:val="3"/>
          <w:numId w:val="47"/>
        </w:numPr>
        <w:spacing w:before="120" w:after="60" w:line="240" w:lineRule="auto"/>
      </w:pPr>
      <w:r w:rsidRPr="005B54EE">
        <w:t>AMS 2018</w:t>
      </w:r>
    </w:p>
    <w:p w14:paraId="7AFACBDA" w14:textId="5B2657BA" w:rsidR="00F24A36" w:rsidRPr="005B54EE" w:rsidRDefault="00F24A36" w:rsidP="00F24A36">
      <w:pPr>
        <w:spacing w:before="240" w:after="240"/>
      </w:pPr>
      <w:r w:rsidRPr="005B54EE">
        <w:t>The objective of carbon neutrality requires the mobilisation of all available emission reduction levers. The industrial sector is affected by the 4 main families of levers: reduction of energy consumption, decarbonisation of energy, reduction of non-energy emissions and increase of the carbon sink. A 5th lever can also be applied to the industrial sector: reducing the material intensity of the economy (through eco-design, recycling, etc.). The AMS (with additional measures) scenario therefore foresees significant gains in energy efficiency (between -15% and -40% for unit consumption compared to 2015 depending on the sector, which has different potentials, and a recovery of 15 TWh of waste heat) associated with a decarbonisation of the energy mix, with an electrification of the sector up to 74%, the rest of the consumption being mainly based on biogas (12%) and biomass (12%). In this scenario, progress is also made on the sector's non-energy emissions through improved industrial processes (e.g. low-carbon cement) and a strong reduction in fluorinated gas emissions through substitution with low warming potential fluids. In the longer term, the carbon sink is strengthened through CO2 capture and storage technologies (see section dedicated to this subject).</w:t>
      </w:r>
    </w:p>
    <w:p w14:paraId="026B6049" w14:textId="77777777" w:rsidR="00F24A36" w:rsidRPr="005B54EE" w:rsidRDefault="00F24A36" w:rsidP="00F24A36">
      <w:pPr>
        <w:spacing w:before="240" w:after="240"/>
      </w:pPr>
      <w:r w:rsidRPr="005B54EE">
        <w:t>These transformations are taking place mainly through reinforcing the EU ETS, gradually raising the price of quotas on the market, but also via the maintenance of the carbon component in domestic consumption tax, the heat fund, energy saving certificates, energy audit obligations, innovation subsidies under the Investment Programme for the Future (PIA) and loans from the BPI are also helping to accelerate the transition in the industry. Other support measures (e.g. the EU ETS Innovation Fund) will facilitate the initiation of the necessary investments.</w:t>
      </w:r>
    </w:p>
    <w:p w14:paraId="6C598E2F" w14:textId="77777777" w:rsidR="00F24A36" w:rsidRPr="005B54EE" w:rsidRDefault="00F24A36" w:rsidP="002F4FA6">
      <w:pPr>
        <w:pStyle w:val="Titre4niveau4"/>
        <w:numPr>
          <w:ilvl w:val="2"/>
          <w:numId w:val="47"/>
        </w:numPr>
        <w:spacing w:before="240"/>
      </w:pPr>
      <w:r w:rsidRPr="005B54EE">
        <w:t>Fluorinated gases</w:t>
      </w:r>
    </w:p>
    <w:p w14:paraId="42B08DB9" w14:textId="77777777" w:rsidR="00F24A36" w:rsidRPr="005B54EE" w:rsidRDefault="00F24A36" w:rsidP="002F4FA6">
      <w:pPr>
        <w:pStyle w:val="titreencadre"/>
        <w:numPr>
          <w:ilvl w:val="3"/>
          <w:numId w:val="47"/>
        </w:numPr>
        <w:spacing w:before="120" w:after="60" w:line="240" w:lineRule="auto"/>
      </w:pPr>
      <w:r w:rsidRPr="005B54EE">
        <w:t>AMS 2018 and AME 2021</w:t>
      </w:r>
    </w:p>
    <w:p w14:paraId="0A39CB4D" w14:textId="77777777" w:rsidR="00F24A36" w:rsidRPr="005B54EE" w:rsidRDefault="00F24A36" w:rsidP="00F24A36">
      <w:pPr>
        <w:spacing w:before="240" w:after="240"/>
      </w:pPr>
      <w:r w:rsidRPr="005B54EE">
        <w:t xml:space="preserve">Regulation 842/2006 (F-Gas) on fluorinated greenhouse gases and Directive 2006/40/EC (automotive air conditioning) and the resulting French regulations (art. R 543-75 et seq., R 543-99 French Environment Code) are taken into account. </w:t>
      </w:r>
    </w:p>
    <w:p w14:paraId="6638FB53" w14:textId="77777777" w:rsidR="00F24A36" w:rsidRPr="005B54EE" w:rsidRDefault="00F24A36" w:rsidP="002F4FA6">
      <w:pPr>
        <w:pStyle w:val="Titre4niveau4"/>
        <w:numPr>
          <w:ilvl w:val="2"/>
          <w:numId w:val="47"/>
        </w:numPr>
        <w:spacing w:before="240"/>
      </w:pPr>
      <w:r w:rsidRPr="005B54EE">
        <w:t>Agriculture and forestry</w:t>
      </w:r>
    </w:p>
    <w:p w14:paraId="330E7B64" w14:textId="77777777" w:rsidR="00F24A36" w:rsidRPr="005B54EE" w:rsidRDefault="00F24A36" w:rsidP="002F4FA6">
      <w:pPr>
        <w:pStyle w:val="titreencadre"/>
        <w:numPr>
          <w:ilvl w:val="3"/>
          <w:numId w:val="47"/>
        </w:numPr>
        <w:spacing w:before="120" w:after="60" w:line="240" w:lineRule="auto"/>
      </w:pPr>
      <w:r w:rsidRPr="005B54EE">
        <w:t>AME 2021</w:t>
      </w:r>
    </w:p>
    <w:p w14:paraId="4DA075CE" w14:textId="77777777" w:rsidR="00F24A36" w:rsidRPr="005B54EE" w:rsidRDefault="00F24A36" w:rsidP="00F24A36">
      <w:pPr>
        <w:spacing w:before="240" w:after="240"/>
      </w:pPr>
      <w:r w:rsidRPr="005B54EE">
        <w:t>Few new measures have been adopted in this area since the previous AME. The changes mainly concern an adjustment of trends in the light of recently-observed trajectories. The share of arable crop land under organic farming will increase between 2015 and 2030 from 5.5% in 2019 to 10.6% in 2030 and 16.9% in 2050. Mineral fertiliser consumption will fall by 5.2% between 2019 and 2030 and by 12.7% between 2019 and 2050.</w:t>
      </w:r>
    </w:p>
    <w:p w14:paraId="1FD44ECF" w14:textId="77777777" w:rsidR="00F24A36" w:rsidRPr="005B54EE" w:rsidRDefault="00F24A36" w:rsidP="002F4FA6">
      <w:pPr>
        <w:pStyle w:val="titreencadre"/>
        <w:numPr>
          <w:ilvl w:val="3"/>
          <w:numId w:val="47"/>
        </w:numPr>
        <w:spacing w:before="120" w:after="60" w:line="240" w:lineRule="auto"/>
      </w:pPr>
      <w:r w:rsidRPr="005B54EE">
        <w:t>AMS 2018</w:t>
      </w:r>
    </w:p>
    <w:p w14:paraId="2EE00F0D" w14:textId="77777777" w:rsidR="00F24A36" w:rsidRPr="005B54EE" w:rsidRDefault="00F24A36" w:rsidP="00F24A36">
      <w:pPr>
        <w:spacing w:before="240" w:after="240"/>
      </w:pPr>
      <w:r w:rsidRPr="005B54EE">
        <w:t>The share of arable crop land under organic farming will increase between 2015 and 2030 from 2.3% in 2015 to 28% in 2030 and 44% in 2050. Mineral fertiliser consumption will fall by 21% between 2015 and 2030 and by 45% between 2015 and 2050.</w:t>
      </w:r>
    </w:p>
    <w:p w14:paraId="64AE33DF" w14:textId="77777777" w:rsidR="00F24A36" w:rsidRPr="005B54EE" w:rsidRDefault="00F24A36" w:rsidP="00F24A36">
      <w:pPr>
        <w:spacing w:before="240" w:after="240"/>
      </w:pPr>
      <w:r w:rsidRPr="005B54EE">
        <w:t>The change in the national diet towards a less meat-focused and better quality diet is leading to a change in the structure of agricultural production. In particular, farmers’ incomes are increasing due to increased quality but also due to diversification of income sources (increase in the production of biomass from agriculture through the use of waste, crop residues or dedicated crops, in particular intermediate crops; use of ecosystem services, in particular carbon storage, etc.). This change in production structure will be accompanied by a drop in the cattle population of 11% between 2015 and 2030 and then of 30% between 2015 and 2050.</w:t>
      </w:r>
    </w:p>
    <w:p w14:paraId="0A08DD2A" w14:textId="77777777" w:rsidR="00F24A36" w:rsidRPr="005B54EE" w:rsidRDefault="00F24A36" w:rsidP="002F4FA6">
      <w:pPr>
        <w:pStyle w:val="Titre4niveau4"/>
        <w:numPr>
          <w:ilvl w:val="2"/>
          <w:numId w:val="47"/>
        </w:numPr>
        <w:spacing w:before="240"/>
      </w:pPr>
      <w:r w:rsidRPr="005B54EE">
        <w:t>Waste management and processing</w:t>
      </w:r>
    </w:p>
    <w:p w14:paraId="11193DFF" w14:textId="77777777" w:rsidR="00F24A36" w:rsidRPr="005B54EE" w:rsidRDefault="00F24A36" w:rsidP="002F4FA6">
      <w:pPr>
        <w:pStyle w:val="titreencadre"/>
        <w:numPr>
          <w:ilvl w:val="3"/>
          <w:numId w:val="47"/>
        </w:numPr>
        <w:spacing w:before="120" w:after="60" w:line="240" w:lineRule="auto"/>
      </w:pPr>
      <w:r w:rsidRPr="005B54EE">
        <w:t>AME 2021</w:t>
      </w:r>
    </w:p>
    <w:p w14:paraId="106C19C9" w14:textId="77777777" w:rsidR="00F24A36" w:rsidRPr="005B54EE" w:rsidRDefault="00F24A36" w:rsidP="00F24A36">
      <w:pPr>
        <w:spacing w:before="240" w:after="240"/>
      </w:pPr>
      <w:r w:rsidRPr="005B54EE">
        <w:t>The scenario includes the same measures as the previous AME scenario, the law on the circular economy and combating waste (known as the AGEC law) was adopted in early 2020 and therefore was not included in the exercise. In addition, the biomethane capture rate will remain stable between 2015 and 2030 at 50%. The share of captured biomethane recovered will reach 85% over the period 2030-2050.</w:t>
      </w:r>
    </w:p>
    <w:p w14:paraId="1E25E5B3" w14:textId="77777777" w:rsidR="00F24A36" w:rsidRPr="005B54EE" w:rsidRDefault="00F24A36" w:rsidP="002F4FA6">
      <w:pPr>
        <w:pStyle w:val="titreencadre"/>
        <w:numPr>
          <w:ilvl w:val="3"/>
          <w:numId w:val="47"/>
        </w:numPr>
        <w:spacing w:before="120" w:after="60" w:line="240" w:lineRule="auto"/>
      </w:pPr>
      <w:r w:rsidRPr="005B54EE">
        <w:t>AMS 2018</w:t>
      </w:r>
    </w:p>
    <w:p w14:paraId="2EE9C7EA" w14:textId="67AB92BE" w:rsidR="00F24A36" w:rsidRDefault="00F24A36" w:rsidP="00F24A36">
      <w:pPr>
        <w:spacing w:before="240" w:after="240"/>
      </w:pPr>
      <w:r w:rsidRPr="005B54EE">
        <w:t>The scenario incorporates a greater circular economy and a massive shift of waste to reuse, recycling, material recovery or energy recovery. The amount of waste going to landfill will decrease by 86% between 2015 and 2050. Furthermore, the biomethane capture rate will increase between 2015 and 2030 from 50% to 60% and then to 85% in 2050. The share of captured biomethane recovered will remain stable from 2030 at 75%.</w:t>
      </w:r>
    </w:p>
    <w:p w14:paraId="403A0730" w14:textId="77777777" w:rsidR="00926E75" w:rsidRDefault="00926E75" w:rsidP="00926E75">
      <w:pPr>
        <w:spacing w:before="240" w:after="240"/>
      </w:pPr>
    </w:p>
    <w:p w14:paraId="0D32A364" w14:textId="77777777" w:rsidR="00926E75" w:rsidRDefault="00926E75" w:rsidP="00926E75">
      <w:pPr>
        <w:pStyle w:val="Titre4niveau4"/>
        <w:numPr>
          <w:ilvl w:val="2"/>
          <w:numId w:val="108"/>
        </w:numPr>
        <w:spacing w:before="240"/>
      </w:pPr>
      <w:r>
        <w:t xml:space="preserve">Summary </w:t>
      </w:r>
    </w:p>
    <w:tbl>
      <w:tblPr>
        <w:tblStyle w:val="TableGrid"/>
        <w:tblW w:w="0" w:type="auto"/>
        <w:tblLook w:val="04A0" w:firstRow="1" w:lastRow="0" w:firstColumn="1" w:lastColumn="0" w:noHBand="0" w:noVBand="1"/>
      </w:tblPr>
      <w:tblGrid>
        <w:gridCol w:w="1696"/>
        <w:gridCol w:w="3274"/>
        <w:gridCol w:w="2485"/>
        <w:gridCol w:w="2485"/>
      </w:tblGrid>
      <w:tr w:rsidR="00926E75" w14:paraId="64B9D53B" w14:textId="77777777" w:rsidTr="00AF217C">
        <w:tc>
          <w:tcPr>
            <w:tcW w:w="1696" w:type="dxa"/>
          </w:tcPr>
          <w:p w14:paraId="6AB2FCD5" w14:textId="77777777" w:rsidR="00926E75" w:rsidRDefault="00926E75" w:rsidP="00AF217C">
            <w:pPr>
              <w:spacing w:before="240" w:after="240"/>
            </w:pPr>
          </w:p>
        </w:tc>
        <w:tc>
          <w:tcPr>
            <w:tcW w:w="3274" w:type="dxa"/>
          </w:tcPr>
          <w:p w14:paraId="6F9A587C" w14:textId="77777777" w:rsidR="00926E75" w:rsidRDefault="00926E75" w:rsidP="00AF217C">
            <w:pPr>
              <w:spacing w:before="240" w:after="240"/>
            </w:pPr>
          </w:p>
        </w:tc>
        <w:tc>
          <w:tcPr>
            <w:tcW w:w="2485" w:type="dxa"/>
          </w:tcPr>
          <w:p w14:paraId="0F417679" w14:textId="77777777" w:rsidR="00926E75" w:rsidRDefault="00926E75" w:rsidP="00AF217C">
            <w:pPr>
              <w:spacing w:before="240" w:after="240"/>
              <w:jc w:val="center"/>
            </w:pPr>
            <w:r>
              <w:t>AME</w:t>
            </w:r>
          </w:p>
        </w:tc>
        <w:tc>
          <w:tcPr>
            <w:tcW w:w="2485" w:type="dxa"/>
          </w:tcPr>
          <w:p w14:paraId="5D6AC94F" w14:textId="77777777" w:rsidR="00926E75" w:rsidRDefault="00926E75" w:rsidP="00AF217C">
            <w:pPr>
              <w:spacing w:before="240" w:after="240"/>
              <w:jc w:val="center"/>
            </w:pPr>
            <w:r>
              <w:t>AMS</w:t>
            </w:r>
          </w:p>
        </w:tc>
      </w:tr>
      <w:tr w:rsidR="00926E75" w14:paraId="0D5EEB57" w14:textId="77777777" w:rsidTr="00AF217C">
        <w:tc>
          <w:tcPr>
            <w:tcW w:w="1696" w:type="dxa"/>
            <w:vMerge w:val="restart"/>
            <w:vAlign w:val="center"/>
          </w:tcPr>
          <w:p w14:paraId="48362A1A" w14:textId="77777777" w:rsidR="00926E75" w:rsidRDefault="00926E75" w:rsidP="00AF217C">
            <w:pPr>
              <w:spacing w:before="240" w:after="240"/>
              <w:jc w:val="center"/>
            </w:pPr>
            <w:r>
              <w:t>Cross-cutting</w:t>
            </w:r>
          </w:p>
        </w:tc>
        <w:tc>
          <w:tcPr>
            <w:tcW w:w="3274" w:type="dxa"/>
          </w:tcPr>
          <w:p w14:paraId="60F9EFF9" w14:textId="77777777" w:rsidR="00926E75" w:rsidRDefault="00926E75" w:rsidP="00AF217C">
            <w:pPr>
              <w:spacing w:before="240" w:after="240"/>
            </w:pPr>
            <w:r>
              <w:t xml:space="preserve">Carbon taxation </w:t>
            </w:r>
          </w:p>
        </w:tc>
        <w:tc>
          <w:tcPr>
            <w:tcW w:w="2485" w:type="dxa"/>
            <w:vAlign w:val="center"/>
          </w:tcPr>
          <w:p w14:paraId="6F781D10" w14:textId="77777777" w:rsidR="00926E75" w:rsidRDefault="00926E75" w:rsidP="00AF217C">
            <w:pPr>
              <w:spacing w:before="240" w:after="240"/>
              <w:jc w:val="center"/>
            </w:pPr>
            <w:r>
              <w:t>X</w:t>
            </w:r>
          </w:p>
        </w:tc>
        <w:tc>
          <w:tcPr>
            <w:tcW w:w="2485" w:type="dxa"/>
            <w:vAlign w:val="center"/>
          </w:tcPr>
          <w:p w14:paraId="6DFFE772" w14:textId="77777777" w:rsidR="00926E75" w:rsidRDefault="00926E75" w:rsidP="00AF217C">
            <w:pPr>
              <w:spacing w:before="240" w:after="240"/>
              <w:jc w:val="center"/>
            </w:pPr>
            <w:r>
              <w:t>X</w:t>
            </w:r>
          </w:p>
        </w:tc>
      </w:tr>
      <w:tr w:rsidR="00926E75" w14:paraId="41562D38" w14:textId="77777777" w:rsidTr="00AF217C">
        <w:tc>
          <w:tcPr>
            <w:tcW w:w="1696" w:type="dxa"/>
            <w:vMerge/>
            <w:vAlign w:val="center"/>
          </w:tcPr>
          <w:p w14:paraId="0D7723E1" w14:textId="77777777" w:rsidR="00926E75" w:rsidRDefault="00926E75" w:rsidP="00AF217C">
            <w:pPr>
              <w:spacing w:before="240" w:after="240"/>
              <w:jc w:val="center"/>
            </w:pPr>
          </w:p>
        </w:tc>
        <w:tc>
          <w:tcPr>
            <w:tcW w:w="3274" w:type="dxa"/>
          </w:tcPr>
          <w:p w14:paraId="2EA815DA" w14:textId="77777777" w:rsidR="00926E75" w:rsidRDefault="00926E75" w:rsidP="00AF217C">
            <w:pPr>
              <w:spacing w:before="240" w:after="240"/>
            </w:pPr>
            <w:r>
              <w:t xml:space="preserve">Energy saving certificates  </w:t>
            </w:r>
          </w:p>
        </w:tc>
        <w:tc>
          <w:tcPr>
            <w:tcW w:w="2485" w:type="dxa"/>
            <w:vAlign w:val="center"/>
          </w:tcPr>
          <w:p w14:paraId="015B1EFF" w14:textId="77777777" w:rsidR="00926E75" w:rsidRDefault="00926E75" w:rsidP="00AF217C">
            <w:pPr>
              <w:spacing w:before="240" w:after="240"/>
              <w:jc w:val="center"/>
            </w:pPr>
            <w:r>
              <w:t>X</w:t>
            </w:r>
          </w:p>
        </w:tc>
        <w:tc>
          <w:tcPr>
            <w:tcW w:w="2485" w:type="dxa"/>
            <w:vAlign w:val="center"/>
          </w:tcPr>
          <w:p w14:paraId="1FC0C51A" w14:textId="77777777" w:rsidR="00926E75" w:rsidRDefault="00926E75" w:rsidP="00AF217C">
            <w:pPr>
              <w:spacing w:before="240" w:after="240"/>
              <w:jc w:val="center"/>
            </w:pPr>
            <w:r>
              <w:t>X (until 2050)</w:t>
            </w:r>
          </w:p>
        </w:tc>
      </w:tr>
      <w:tr w:rsidR="00926E75" w14:paraId="34B08F6A" w14:textId="77777777" w:rsidTr="00AF217C">
        <w:tc>
          <w:tcPr>
            <w:tcW w:w="1696" w:type="dxa"/>
            <w:vAlign w:val="center"/>
          </w:tcPr>
          <w:p w14:paraId="22119A38" w14:textId="77777777" w:rsidR="00926E75" w:rsidRDefault="00926E75" w:rsidP="00AF217C">
            <w:pPr>
              <w:spacing w:before="240" w:after="240"/>
              <w:jc w:val="center"/>
            </w:pPr>
            <w:r>
              <w:t>Renewable energy</w:t>
            </w:r>
          </w:p>
        </w:tc>
        <w:tc>
          <w:tcPr>
            <w:tcW w:w="3274" w:type="dxa"/>
          </w:tcPr>
          <w:p w14:paraId="18562279" w14:textId="77777777" w:rsidR="00926E75" w:rsidRDefault="00926E75" w:rsidP="00AF217C">
            <w:pPr>
              <w:spacing w:before="240" w:after="240"/>
            </w:pPr>
            <w:r>
              <w:t xml:space="preserve">Heat fund </w:t>
            </w:r>
          </w:p>
        </w:tc>
        <w:tc>
          <w:tcPr>
            <w:tcW w:w="2485" w:type="dxa"/>
            <w:vAlign w:val="center"/>
          </w:tcPr>
          <w:p w14:paraId="3B75446A" w14:textId="77777777" w:rsidR="00926E75" w:rsidRDefault="00926E75" w:rsidP="00AF217C">
            <w:pPr>
              <w:spacing w:before="240" w:after="240"/>
              <w:jc w:val="center"/>
            </w:pPr>
            <w:r>
              <w:t>X</w:t>
            </w:r>
          </w:p>
        </w:tc>
        <w:tc>
          <w:tcPr>
            <w:tcW w:w="2485" w:type="dxa"/>
            <w:vAlign w:val="center"/>
          </w:tcPr>
          <w:p w14:paraId="1CCE62CA" w14:textId="77777777" w:rsidR="00926E75" w:rsidRDefault="00926E75" w:rsidP="00AF217C">
            <w:pPr>
              <w:spacing w:before="240" w:after="240"/>
              <w:jc w:val="center"/>
            </w:pPr>
            <w:r>
              <w:t>X (until 2050)</w:t>
            </w:r>
          </w:p>
        </w:tc>
      </w:tr>
      <w:tr w:rsidR="00926E75" w14:paraId="6A1BDEDE" w14:textId="77777777" w:rsidTr="00AF217C">
        <w:tc>
          <w:tcPr>
            <w:tcW w:w="1696" w:type="dxa"/>
            <w:vMerge w:val="restart"/>
            <w:vAlign w:val="center"/>
          </w:tcPr>
          <w:p w14:paraId="747A998A" w14:textId="77777777" w:rsidR="00926E75" w:rsidRDefault="00926E75" w:rsidP="00AF217C">
            <w:pPr>
              <w:spacing w:before="240" w:after="240"/>
              <w:jc w:val="center"/>
            </w:pPr>
            <w:r>
              <w:t>Transport</w:t>
            </w:r>
          </w:p>
        </w:tc>
        <w:tc>
          <w:tcPr>
            <w:tcW w:w="3274" w:type="dxa"/>
          </w:tcPr>
          <w:p w14:paraId="1E6140A4" w14:textId="77777777" w:rsidR="00926E75" w:rsidRDefault="00926E75" w:rsidP="00AF217C">
            <w:pPr>
              <w:spacing w:before="240" w:after="240"/>
            </w:pPr>
            <w:r>
              <w:t xml:space="preserve">2019 European regulations on vehicles </w:t>
            </w:r>
          </w:p>
        </w:tc>
        <w:tc>
          <w:tcPr>
            <w:tcW w:w="2485" w:type="dxa"/>
            <w:vAlign w:val="center"/>
          </w:tcPr>
          <w:p w14:paraId="13F990A6" w14:textId="77777777" w:rsidR="00926E75" w:rsidRDefault="00926E75" w:rsidP="00AF217C">
            <w:pPr>
              <w:spacing w:before="240" w:after="240"/>
              <w:jc w:val="center"/>
            </w:pPr>
            <w:r>
              <w:t>X</w:t>
            </w:r>
          </w:p>
        </w:tc>
        <w:tc>
          <w:tcPr>
            <w:tcW w:w="2485" w:type="dxa"/>
            <w:vAlign w:val="center"/>
          </w:tcPr>
          <w:p w14:paraId="682EE534" w14:textId="77777777" w:rsidR="00926E75" w:rsidRDefault="00926E75" w:rsidP="00AF217C">
            <w:pPr>
              <w:spacing w:before="240" w:after="240"/>
              <w:jc w:val="center"/>
            </w:pPr>
            <w:r>
              <w:t>X</w:t>
            </w:r>
          </w:p>
        </w:tc>
      </w:tr>
      <w:tr w:rsidR="00926E75" w14:paraId="4AEC09B6" w14:textId="77777777" w:rsidTr="00AF217C">
        <w:tc>
          <w:tcPr>
            <w:tcW w:w="1696" w:type="dxa"/>
            <w:vMerge/>
            <w:vAlign w:val="center"/>
          </w:tcPr>
          <w:p w14:paraId="4A41E8D4" w14:textId="77777777" w:rsidR="00926E75" w:rsidRDefault="00926E75" w:rsidP="00AF217C">
            <w:pPr>
              <w:spacing w:before="240" w:after="240"/>
              <w:jc w:val="center"/>
            </w:pPr>
          </w:p>
        </w:tc>
        <w:tc>
          <w:tcPr>
            <w:tcW w:w="3274" w:type="dxa"/>
          </w:tcPr>
          <w:p w14:paraId="5D8DE25C" w14:textId="77777777" w:rsidR="00926E75" w:rsidRDefault="00926E75" w:rsidP="00AF217C">
            <w:pPr>
              <w:spacing w:before="240" w:after="240"/>
            </w:pPr>
            <w:r>
              <w:t>Mobility orientation law</w:t>
            </w:r>
          </w:p>
        </w:tc>
        <w:tc>
          <w:tcPr>
            <w:tcW w:w="2485" w:type="dxa"/>
            <w:vAlign w:val="center"/>
          </w:tcPr>
          <w:p w14:paraId="2731B8FE" w14:textId="77777777" w:rsidR="00926E75" w:rsidRDefault="00926E75" w:rsidP="00AF217C">
            <w:pPr>
              <w:spacing w:before="240" w:after="240"/>
              <w:jc w:val="center"/>
            </w:pPr>
            <w:r>
              <w:t>X</w:t>
            </w:r>
          </w:p>
        </w:tc>
        <w:tc>
          <w:tcPr>
            <w:tcW w:w="2485" w:type="dxa"/>
            <w:vAlign w:val="center"/>
          </w:tcPr>
          <w:p w14:paraId="3992AC62" w14:textId="77777777" w:rsidR="00926E75" w:rsidRDefault="00926E75" w:rsidP="00AF217C">
            <w:pPr>
              <w:spacing w:before="240" w:after="240"/>
              <w:jc w:val="center"/>
            </w:pPr>
            <w:r>
              <w:t>X</w:t>
            </w:r>
          </w:p>
        </w:tc>
      </w:tr>
      <w:tr w:rsidR="00926E75" w14:paraId="106EE04A" w14:textId="77777777" w:rsidTr="00AF217C">
        <w:tc>
          <w:tcPr>
            <w:tcW w:w="1696" w:type="dxa"/>
            <w:vMerge/>
            <w:vAlign w:val="center"/>
          </w:tcPr>
          <w:p w14:paraId="5C3D6A5A" w14:textId="77777777" w:rsidR="00926E75" w:rsidRDefault="00926E75" w:rsidP="00AF217C">
            <w:pPr>
              <w:spacing w:before="240" w:after="240"/>
              <w:jc w:val="center"/>
            </w:pPr>
          </w:p>
        </w:tc>
        <w:tc>
          <w:tcPr>
            <w:tcW w:w="3274" w:type="dxa"/>
          </w:tcPr>
          <w:p w14:paraId="3B25D35D" w14:textId="77777777" w:rsidR="00926E75" w:rsidRDefault="00926E75" w:rsidP="00AF217C">
            <w:pPr>
              <w:spacing w:before="240" w:after="240"/>
            </w:pPr>
            <w:r>
              <w:t xml:space="preserve">Fiscal measures before the end of 2019 </w:t>
            </w:r>
          </w:p>
        </w:tc>
        <w:tc>
          <w:tcPr>
            <w:tcW w:w="2485" w:type="dxa"/>
            <w:vAlign w:val="center"/>
          </w:tcPr>
          <w:p w14:paraId="352A7A5E" w14:textId="77777777" w:rsidR="00926E75" w:rsidRDefault="00926E75" w:rsidP="00AF217C">
            <w:pPr>
              <w:spacing w:before="240" w:after="240"/>
              <w:jc w:val="center"/>
            </w:pPr>
            <w:r>
              <w:t>X</w:t>
            </w:r>
          </w:p>
        </w:tc>
        <w:tc>
          <w:tcPr>
            <w:tcW w:w="2485" w:type="dxa"/>
            <w:vAlign w:val="center"/>
          </w:tcPr>
          <w:p w14:paraId="39A52AFC" w14:textId="77777777" w:rsidR="00926E75" w:rsidRDefault="00926E75" w:rsidP="00AF217C">
            <w:pPr>
              <w:spacing w:before="240" w:after="240"/>
              <w:jc w:val="center"/>
            </w:pPr>
            <w:r>
              <w:t>X</w:t>
            </w:r>
          </w:p>
        </w:tc>
      </w:tr>
      <w:tr w:rsidR="00926E75" w14:paraId="5D229A88" w14:textId="77777777" w:rsidTr="00AF217C">
        <w:tc>
          <w:tcPr>
            <w:tcW w:w="1696" w:type="dxa"/>
            <w:vMerge/>
            <w:vAlign w:val="center"/>
          </w:tcPr>
          <w:p w14:paraId="089F2917" w14:textId="77777777" w:rsidR="00926E75" w:rsidRDefault="00926E75" w:rsidP="00AF217C">
            <w:pPr>
              <w:spacing w:before="240" w:after="240"/>
              <w:jc w:val="center"/>
            </w:pPr>
          </w:p>
        </w:tc>
        <w:tc>
          <w:tcPr>
            <w:tcW w:w="3274" w:type="dxa"/>
          </w:tcPr>
          <w:p w14:paraId="5CF7FF4A" w14:textId="77777777" w:rsidR="00926E75" w:rsidRDefault="00926E75" w:rsidP="00AF217C">
            <w:pPr>
              <w:spacing w:before="240" w:after="240"/>
            </w:pPr>
            <w:r>
              <w:t xml:space="preserve">Ending the sale of new cars emitting GHG in 2040 </w:t>
            </w:r>
          </w:p>
        </w:tc>
        <w:tc>
          <w:tcPr>
            <w:tcW w:w="2485" w:type="dxa"/>
            <w:vAlign w:val="center"/>
          </w:tcPr>
          <w:p w14:paraId="3109B2F8" w14:textId="77777777" w:rsidR="00926E75" w:rsidRDefault="00926E75" w:rsidP="00AF217C">
            <w:pPr>
              <w:spacing w:before="240" w:after="240"/>
              <w:jc w:val="center"/>
            </w:pPr>
          </w:p>
        </w:tc>
        <w:tc>
          <w:tcPr>
            <w:tcW w:w="2485" w:type="dxa"/>
            <w:vAlign w:val="center"/>
          </w:tcPr>
          <w:p w14:paraId="5C239BF3" w14:textId="77777777" w:rsidR="00926E75" w:rsidRDefault="00926E75" w:rsidP="00AF217C">
            <w:pPr>
              <w:spacing w:before="240" w:after="240"/>
              <w:jc w:val="center"/>
            </w:pPr>
            <w:r>
              <w:t>X</w:t>
            </w:r>
          </w:p>
        </w:tc>
      </w:tr>
      <w:tr w:rsidR="00926E75" w14:paraId="165AEF64" w14:textId="77777777" w:rsidTr="00AF217C">
        <w:tc>
          <w:tcPr>
            <w:tcW w:w="1696" w:type="dxa"/>
            <w:vMerge/>
            <w:vAlign w:val="center"/>
          </w:tcPr>
          <w:p w14:paraId="138F4AC5" w14:textId="77777777" w:rsidR="00926E75" w:rsidRDefault="00926E75" w:rsidP="00AF217C">
            <w:pPr>
              <w:spacing w:before="240" w:after="240"/>
              <w:jc w:val="center"/>
            </w:pPr>
          </w:p>
        </w:tc>
        <w:tc>
          <w:tcPr>
            <w:tcW w:w="3274" w:type="dxa"/>
          </w:tcPr>
          <w:p w14:paraId="7B34289A" w14:textId="77777777" w:rsidR="00926E75" w:rsidRDefault="00926E75" w:rsidP="00AF217C">
            <w:pPr>
              <w:spacing w:before="240" w:after="240"/>
            </w:pPr>
            <w:r>
              <w:t xml:space="preserve">Electrification </w:t>
            </w:r>
          </w:p>
        </w:tc>
        <w:tc>
          <w:tcPr>
            <w:tcW w:w="2485" w:type="dxa"/>
            <w:vAlign w:val="center"/>
          </w:tcPr>
          <w:p w14:paraId="1B068F43" w14:textId="77777777" w:rsidR="00926E75" w:rsidRDefault="00926E75" w:rsidP="00AF217C">
            <w:pPr>
              <w:spacing w:before="240" w:after="240"/>
              <w:jc w:val="center"/>
            </w:pPr>
          </w:p>
        </w:tc>
        <w:tc>
          <w:tcPr>
            <w:tcW w:w="2485" w:type="dxa"/>
            <w:vAlign w:val="center"/>
          </w:tcPr>
          <w:p w14:paraId="65B2C5CB" w14:textId="77777777" w:rsidR="00926E75" w:rsidRDefault="00926E75" w:rsidP="00AF217C">
            <w:pPr>
              <w:spacing w:before="240" w:after="240"/>
              <w:jc w:val="center"/>
            </w:pPr>
            <w:r>
              <w:t>X</w:t>
            </w:r>
          </w:p>
        </w:tc>
      </w:tr>
      <w:tr w:rsidR="00926E75" w14:paraId="513747E7" w14:textId="77777777" w:rsidTr="00AF217C">
        <w:tc>
          <w:tcPr>
            <w:tcW w:w="1696" w:type="dxa"/>
            <w:vMerge/>
            <w:vAlign w:val="center"/>
          </w:tcPr>
          <w:p w14:paraId="399E7F5C" w14:textId="77777777" w:rsidR="00926E75" w:rsidRDefault="00926E75" w:rsidP="00AF217C">
            <w:pPr>
              <w:spacing w:before="240" w:after="240"/>
              <w:jc w:val="center"/>
            </w:pPr>
          </w:p>
        </w:tc>
        <w:tc>
          <w:tcPr>
            <w:tcW w:w="3274" w:type="dxa"/>
          </w:tcPr>
          <w:p w14:paraId="1088B076" w14:textId="77777777" w:rsidR="00926E75" w:rsidRDefault="00926E75" w:rsidP="00AF217C">
            <w:pPr>
              <w:spacing w:before="240" w:after="240"/>
            </w:pPr>
            <w:r>
              <w:t xml:space="preserve">Rising of the cycling modal share </w:t>
            </w:r>
          </w:p>
        </w:tc>
        <w:tc>
          <w:tcPr>
            <w:tcW w:w="2485" w:type="dxa"/>
            <w:vAlign w:val="center"/>
          </w:tcPr>
          <w:p w14:paraId="66E64FA5" w14:textId="77777777" w:rsidR="00926E75" w:rsidRDefault="00926E75" w:rsidP="00AF217C">
            <w:pPr>
              <w:spacing w:before="240" w:after="240"/>
              <w:jc w:val="center"/>
            </w:pPr>
            <w:r>
              <w:t>X</w:t>
            </w:r>
          </w:p>
        </w:tc>
        <w:tc>
          <w:tcPr>
            <w:tcW w:w="2485" w:type="dxa"/>
            <w:vAlign w:val="center"/>
          </w:tcPr>
          <w:p w14:paraId="2C8A504C" w14:textId="77777777" w:rsidR="00926E75" w:rsidRDefault="00926E75" w:rsidP="00AF217C">
            <w:pPr>
              <w:spacing w:before="240" w:after="240"/>
              <w:jc w:val="center"/>
            </w:pPr>
            <w:r>
              <w:t>X (2030 and 2050)</w:t>
            </w:r>
          </w:p>
        </w:tc>
      </w:tr>
      <w:tr w:rsidR="00926E75" w14:paraId="1409C565" w14:textId="77777777" w:rsidTr="00AF217C">
        <w:tc>
          <w:tcPr>
            <w:tcW w:w="1696" w:type="dxa"/>
            <w:vMerge w:val="restart"/>
            <w:vAlign w:val="center"/>
          </w:tcPr>
          <w:p w14:paraId="50CE5005" w14:textId="77777777" w:rsidR="00926E75" w:rsidRDefault="00926E75" w:rsidP="00AF217C">
            <w:pPr>
              <w:spacing w:before="240" w:after="240"/>
              <w:jc w:val="center"/>
            </w:pPr>
            <w:r>
              <w:t>Construction</w:t>
            </w:r>
          </w:p>
        </w:tc>
        <w:tc>
          <w:tcPr>
            <w:tcW w:w="3274" w:type="dxa"/>
          </w:tcPr>
          <w:p w14:paraId="15E0A743" w14:textId="77777777" w:rsidR="00926E75" w:rsidRDefault="00926E75" w:rsidP="00AF217C">
            <w:pPr>
              <w:spacing w:before="240" w:after="240"/>
            </w:pPr>
            <w:r>
              <w:t>RT 2012</w:t>
            </w:r>
          </w:p>
        </w:tc>
        <w:tc>
          <w:tcPr>
            <w:tcW w:w="2485" w:type="dxa"/>
            <w:vAlign w:val="center"/>
          </w:tcPr>
          <w:p w14:paraId="667D67D7" w14:textId="77777777" w:rsidR="00926E75" w:rsidRDefault="00926E75" w:rsidP="00AF217C">
            <w:pPr>
              <w:spacing w:before="240" w:after="240"/>
              <w:jc w:val="center"/>
            </w:pPr>
            <w:r>
              <w:t>X</w:t>
            </w:r>
          </w:p>
        </w:tc>
        <w:tc>
          <w:tcPr>
            <w:tcW w:w="2485" w:type="dxa"/>
            <w:vAlign w:val="center"/>
          </w:tcPr>
          <w:p w14:paraId="74058D47" w14:textId="77777777" w:rsidR="00926E75" w:rsidRDefault="00926E75" w:rsidP="00AF217C">
            <w:pPr>
              <w:spacing w:before="240" w:after="240"/>
              <w:jc w:val="center"/>
            </w:pPr>
            <w:r>
              <w:t>X</w:t>
            </w:r>
          </w:p>
        </w:tc>
      </w:tr>
      <w:tr w:rsidR="00926E75" w14:paraId="07467D8E" w14:textId="77777777" w:rsidTr="00AF217C">
        <w:tc>
          <w:tcPr>
            <w:tcW w:w="1696" w:type="dxa"/>
            <w:vMerge/>
            <w:vAlign w:val="center"/>
          </w:tcPr>
          <w:p w14:paraId="55E67D0C" w14:textId="77777777" w:rsidR="00926E75" w:rsidRDefault="00926E75" w:rsidP="00AF217C">
            <w:pPr>
              <w:spacing w:before="240" w:after="240"/>
              <w:jc w:val="center"/>
            </w:pPr>
          </w:p>
        </w:tc>
        <w:tc>
          <w:tcPr>
            <w:tcW w:w="3274" w:type="dxa"/>
          </w:tcPr>
          <w:p w14:paraId="06580889" w14:textId="77777777" w:rsidR="00926E75" w:rsidRDefault="00926E75" w:rsidP="00AF217C">
            <w:pPr>
              <w:spacing w:before="240" w:after="240"/>
            </w:pPr>
            <w:r>
              <w:t>MaPrimeRénov’</w:t>
            </w:r>
          </w:p>
        </w:tc>
        <w:tc>
          <w:tcPr>
            <w:tcW w:w="2485" w:type="dxa"/>
            <w:vAlign w:val="center"/>
          </w:tcPr>
          <w:p w14:paraId="7A4C14B5" w14:textId="77777777" w:rsidR="00926E75" w:rsidRDefault="00926E75" w:rsidP="00AF217C">
            <w:pPr>
              <w:spacing w:before="240" w:after="240"/>
              <w:jc w:val="center"/>
            </w:pPr>
            <w:r>
              <w:t>X</w:t>
            </w:r>
          </w:p>
        </w:tc>
        <w:tc>
          <w:tcPr>
            <w:tcW w:w="2485" w:type="dxa"/>
            <w:vAlign w:val="center"/>
          </w:tcPr>
          <w:p w14:paraId="53C352A6" w14:textId="77777777" w:rsidR="00926E75" w:rsidRDefault="00926E75" w:rsidP="00AF217C">
            <w:pPr>
              <w:spacing w:before="240" w:after="240"/>
              <w:jc w:val="center"/>
            </w:pPr>
            <w:r>
              <w:t>X</w:t>
            </w:r>
          </w:p>
        </w:tc>
      </w:tr>
      <w:tr w:rsidR="00926E75" w14:paraId="35AE777E" w14:textId="77777777" w:rsidTr="00AF217C">
        <w:tc>
          <w:tcPr>
            <w:tcW w:w="1696" w:type="dxa"/>
            <w:vMerge/>
            <w:vAlign w:val="center"/>
          </w:tcPr>
          <w:p w14:paraId="364B5C7F" w14:textId="77777777" w:rsidR="00926E75" w:rsidRDefault="00926E75" w:rsidP="00AF217C">
            <w:pPr>
              <w:spacing w:before="240" w:after="240"/>
              <w:jc w:val="center"/>
            </w:pPr>
          </w:p>
        </w:tc>
        <w:tc>
          <w:tcPr>
            <w:tcW w:w="3274" w:type="dxa"/>
          </w:tcPr>
          <w:p w14:paraId="0428388D" w14:textId="77777777" w:rsidR="00926E75" w:rsidRDefault="00926E75" w:rsidP="00AF217C">
            <w:pPr>
              <w:spacing w:before="240" w:after="240"/>
            </w:pPr>
            <w:r>
              <w:t>Eco-PTZ</w:t>
            </w:r>
          </w:p>
        </w:tc>
        <w:tc>
          <w:tcPr>
            <w:tcW w:w="2485" w:type="dxa"/>
            <w:vAlign w:val="center"/>
          </w:tcPr>
          <w:p w14:paraId="160E267B" w14:textId="77777777" w:rsidR="00926E75" w:rsidRDefault="00926E75" w:rsidP="00AF217C">
            <w:pPr>
              <w:spacing w:before="240" w:after="240"/>
              <w:jc w:val="center"/>
            </w:pPr>
            <w:r>
              <w:t>X</w:t>
            </w:r>
          </w:p>
        </w:tc>
        <w:tc>
          <w:tcPr>
            <w:tcW w:w="2485" w:type="dxa"/>
            <w:vAlign w:val="center"/>
          </w:tcPr>
          <w:p w14:paraId="37E70B6F" w14:textId="77777777" w:rsidR="00926E75" w:rsidRDefault="00926E75" w:rsidP="00AF217C">
            <w:pPr>
              <w:spacing w:before="240" w:after="240"/>
              <w:jc w:val="center"/>
            </w:pPr>
            <w:r>
              <w:t>X (until 2050)</w:t>
            </w:r>
          </w:p>
        </w:tc>
      </w:tr>
      <w:tr w:rsidR="00926E75" w14:paraId="3907D0B0" w14:textId="77777777" w:rsidTr="00AF217C">
        <w:tc>
          <w:tcPr>
            <w:tcW w:w="1696" w:type="dxa"/>
            <w:vMerge/>
            <w:vAlign w:val="center"/>
          </w:tcPr>
          <w:p w14:paraId="012AF245" w14:textId="77777777" w:rsidR="00926E75" w:rsidRDefault="00926E75" w:rsidP="00AF217C">
            <w:pPr>
              <w:spacing w:before="240" w:after="240"/>
              <w:jc w:val="center"/>
            </w:pPr>
          </w:p>
        </w:tc>
        <w:tc>
          <w:tcPr>
            <w:tcW w:w="3274" w:type="dxa"/>
          </w:tcPr>
          <w:p w14:paraId="679CFE35" w14:textId="77777777" w:rsidR="00926E75" w:rsidRDefault="00926E75" w:rsidP="00AF217C">
            <w:pPr>
              <w:spacing w:before="240" w:after="240"/>
            </w:pPr>
            <w:r>
              <w:t xml:space="preserve">Disappearance of the most energy consuming homes from 2030 </w:t>
            </w:r>
          </w:p>
        </w:tc>
        <w:tc>
          <w:tcPr>
            <w:tcW w:w="2485" w:type="dxa"/>
            <w:vAlign w:val="center"/>
          </w:tcPr>
          <w:p w14:paraId="0CD1197D" w14:textId="77777777" w:rsidR="00926E75" w:rsidRDefault="00926E75" w:rsidP="00AF217C">
            <w:pPr>
              <w:spacing w:before="240" w:after="240"/>
              <w:jc w:val="center"/>
            </w:pPr>
          </w:p>
        </w:tc>
        <w:tc>
          <w:tcPr>
            <w:tcW w:w="2485" w:type="dxa"/>
            <w:vAlign w:val="center"/>
          </w:tcPr>
          <w:p w14:paraId="4CCB945F" w14:textId="77777777" w:rsidR="00926E75" w:rsidRDefault="00926E75" w:rsidP="00AF217C">
            <w:pPr>
              <w:spacing w:before="240" w:after="240"/>
              <w:jc w:val="center"/>
            </w:pPr>
            <w:r>
              <w:t>X</w:t>
            </w:r>
          </w:p>
        </w:tc>
      </w:tr>
      <w:tr w:rsidR="00926E75" w14:paraId="359F9266" w14:textId="77777777" w:rsidTr="00AF217C">
        <w:tc>
          <w:tcPr>
            <w:tcW w:w="1696" w:type="dxa"/>
            <w:vMerge w:val="restart"/>
            <w:vAlign w:val="center"/>
          </w:tcPr>
          <w:p w14:paraId="7BDDB10C" w14:textId="77777777" w:rsidR="00926E75" w:rsidRDefault="00926E75" w:rsidP="00AF217C">
            <w:pPr>
              <w:spacing w:before="240" w:after="240"/>
              <w:jc w:val="center"/>
            </w:pPr>
            <w:r>
              <w:t>Industry</w:t>
            </w:r>
          </w:p>
        </w:tc>
        <w:tc>
          <w:tcPr>
            <w:tcW w:w="3274" w:type="dxa"/>
          </w:tcPr>
          <w:p w14:paraId="02DE13A5" w14:textId="77777777" w:rsidR="00926E75" w:rsidRDefault="00926E75" w:rsidP="00AF217C">
            <w:pPr>
              <w:spacing w:before="240" w:after="240"/>
            </w:pPr>
            <w:r>
              <w:t xml:space="preserve">Energy audits and energy saving certificates </w:t>
            </w:r>
          </w:p>
        </w:tc>
        <w:tc>
          <w:tcPr>
            <w:tcW w:w="2485" w:type="dxa"/>
            <w:vAlign w:val="center"/>
          </w:tcPr>
          <w:p w14:paraId="1CA46534" w14:textId="77777777" w:rsidR="00926E75" w:rsidRDefault="00926E75" w:rsidP="00AF217C">
            <w:pPr>
              <w:spacing w:before="240" w:after="240"/>
              <w:jc w:val="center"/>
            </w:pPr>
            <w:r>
              <w:t>X</w:t>
            </w:r>
          </w:p>
        </w:tc>
        <w:tc>
          <w:tcPr>
            <w:tcW w:w="2485" w:type="dxa"/>
            <w:vAlign w:val="center"/>
          </w:tcPr>
          <w:p w14:paraId="69CB4193" w14:textId="77777777" w:rsidR="00926E75" w:rsidRDefault="00926E75" w:rsidP="00AF217C">
            <w:pPr>
              <w:spacing w:before="240" w:after="240"/>
              <w:jc w:val="center"/>
            </w:pPr>
            <w:r>
              <w:t>X</w:t>
            </w:r>
          </w:p>
        </w:tc>
      </w:tr>
      <w:tr w:rsidR="00926E75" w14:paraId="42548A1B" w14:textId="77777777" w:rsidTr="00AF217C">
        <w:tc>
          <w:tcPr>
            <w:tcW w:w="1696" w:type="dxa"/>
            <w:vMerge/>
            <w:vAlign w:val="center"/>
          </w:tcPr>
          <w:p w14:paraId="45C01F68" w14:textId="77777777" w:rsidR="00926E75" w:rsidRDefault="00926E75" w:rsidP="00AF217C">
            <w:pPr>
              <w:spacing w:before="240" w:after="240"/>
              <w:jc w:val="center"/>
            </w:pPr>
          </w:p>
        </w:tc>
        <w:tc>
          <w:tcPr>
            <w:tcW w:w="3274" w:type="dxa"/>
          </w:tcPr>
          <w:p w14:paraId="7681B624" w14:textId="77777777" w:rsidR="00926E75" w:rsidRDefault="00926E75" w:rsidP="00AF217C">
            <w:pPr>
              <w:spacing w:before="240" w:after="240"/>
            </w:pPr>
            <w:r>
              <w:t xml:space="preserve">Electrification of the sector </w:t>
            </w:r>
          </w:p>
        </w:tc>
        <w:tc>
          <w:tcPr>
            <w:tcW w:w="2485" w:type="dxa"/>
            <w:vAlign w:val="center"/>
          </w:tcPr>
          <w:p w14:paraId="6935695A" w14:textId="77777777" w:rsidR="00926E75" w:rsidRDefault="00926E75" w:rsidP="00AF217C">
            <w:pPr>
              <w:spacing w:before="240" w:after="240"/>
              <w:jc w:val="center"/>
            </w:pPr>
          </w:p>
        </w:tc>
        <w:tc>
          <w:tcPr>
            <w:tcW w:w="2485" w:type="dxa"/>
            <w:vAlign w:val="center"/>
          </w:tcPr>
          <w:p w14:paraId="41179FA6" w14:textId="77777777" w:rsidR="00926E75" w:rsidRDefault="00926E75" w:rsidP="00AF217C">
            <w:pPr>
              <w:spacing w:before="240" w:after="240"/>
              <w:jc w:val="center"/>
            </w:pPr>
            <w:r>
              <w:t>X</w:t>
            </w:r>
          </w:p>
        </w:tc>
      </w:tr>
      <w:tr w:rsidR="00926E75" w14:paraId="32BC3313" w14:textId="77777777" w:rsidTr="00AF217C">
        <w:tc>
          <w:tcPr>
            <w:tcW w:w="1696" w:type="dxa"/>
            <w:vMerge/>
            <w:vAlign w:val="center"/>
          </w:tcPr>
          <w:p w14:paraId="40430FBD" w14:textId="77777777" w:rsidR="00926E75" w:rsidRDefault="00926E75" w:rsidP="00AF217C">
            <w:pPr>
              <w:spacing w:before="240" w:after="240"/>
              <w:jc w:val="center"/>
            </w:pPr>
          </w:p>
        </w:tc>
        <w:tc>
          <w:tcPr>
            <w:tcW w:w="3274" w:type="dxa"/>
          </w:tcPr>
          <w:p w14:paraId="67BFAF02" w14:textId="77777777" w:rsidR="00926E75" w:rsidRDefault="00926E75" w:rsidP="00AF217C">
            <w:pPr>
              <w:spacing w:before="240" w:after="240"/>
            </w:pPr>
            <w:r>
              <w:t>Improved industrial processes</w:t>
            </w:r>
          </w:p>
        </w:tc>
        <w:tc>
          <w:tcPr>
            <w:tcW w:w="2485" w:type="dxa"/>
            <w:vAlign w:val="center"/>
          </w:tcPr>
          <w:p w14:paraId="3FA9C867" w14:textId="77777777" w:rsidR="00926E75" w:rsidRDefault="00926E75" w:rsidP="00AF217C">
            <w:pPr>
              <w:spacing w:before="240" w:after="240"/>
              <w:jc w:val="center"/>
            </w:pPr>
          </w:p>
        </w:tc>
        <w:tc>
          <w:tcPr>
            <w:tcW w:w="2485" w:type="dxa"/>
            <w:vAlign w:val="center"/>
          </w:tcPr>
          <w:p w14:paraId="6F79E7BD" w14:textId="77777777" w:rsidR="00926E75" w:rsidRDefault="00926E75" w:rsidP="00AF217C">
            <w:pPr>
              <w:spacing w:before="240" w:after="240"/>
              <w:jc w:val="center"/>
            </w:pPr>
            <w:r>
              <w:t>X</w:t>
            </w:r>
          </w:p>
        </w:tc>
      </w:tr>
      <w:tr w:rsidR="00926E75" w14:paraId="65ED8F39" w14:textId="77777777" w:rsidTr="00AF217C">
        <w:tc>
          <w:tcPr>
            <w:tcW w:w="1696" w:type="dxa"/>
            <w:vMerge/>
            <w:vAlign w:val="center"/>
          </w:tcPr>
          <w:p w14:paraId="79002BA7" w14:textId="77777777" w:rsidR="00926E75" w:rsidRDefault="00926E75" w:rsidP="00AF217C">
            <w:pPr>
              <w:spacing w:before="240" w:after="240"/>
              <w:jc w:val="center"/>
            </w:pPr>
          </w:p>
        </w:tc>
        <w:tc>
          <w:tcPr>
            <w:tcW w:w="3274" w:type="dxa"/>
          </w:tcPr>
          <w:p w14:paraId="16979803" w14:textId="77777777" w:rsidR="00926E75" w:rsidRDefault="00926E75" w:rsidP="00AF217C">
            <w:pPr>
              <w:spacing w:before="240" w:after="240"/>
            </w:pPr>
            <w:r>
              <w:t xml:space="preserve">EU ETS </w:t>
            </w:r>
          </w:p>
        </w:tc>
        <w:tc>
          <w:tcPr>
            <w:tcW w:w="2485" w:type="dxa"/>
            <w:vAlign w:val="center"/>
          </w:tcPr>
          <w:p w14:paraId="50AF65C2" w14:textId="77777777" w:rsidR="00926E75" w:rsidRDefault="00926E75" w:rsidP="00AF217C">
            <w:pPr>
              <w:spacing w:before="240" w:after="240"/>
              <w:jc w:val="center"/>
            </w:pPr>
          </w:p>
        </w:tc>
        <w:tc>
          <w:tcPr>
            <w:tcW w:w="2485" w:type="dxa"/>
            <w:vAlign w:val="center"/>
          </w:tcPr>
          <w:p w14:paraId="73DFA5EE" w14:textId="77777777" w:rsidR="00926E75" w:rsidRDefault="00926E75" w:rsidP="00AF217C">
            <w:pPr>
              <w:spacing w:before="240" w:after="240"/>
              <w:jc w:val="center"/>
            </w:pPr>
            <w:r>
              <w:t>X</w:t>
            </w:r>
          </w:p>
        </w:tc>
      </w:tr>
      <w:tr w:rsidR="00926E75" w14:paraId="44835E4A" w14:textId="77777777" w:rsidTr="00AF217C">
        <w:tc>
          <w:tcPr>
            <w:tcW w:w="1696" w:type="dxa"/>
            <w:vAlign w:val="center"/>
          </w:tcPr>
          <w:p w14:paraId="659C6FF9" w14:textId="77777777" w:rsidR="00926E75" w:rsidRDefault="00926E75" w:rsidP="00AF217C">
            <w:pPr>
              <w:spacing w:before="240" w:after="240"/>
              <w:jc w:val="center"/>
            </w:pPr>
            <w:r>
              <w:t>Fluorinated gases</w:t>
            </w:r>
          </w:p>
        </w:tc>
        <w:tc>
          <w:tcPr>
            <w:tcW w:w="3274" w:type="dxa"/>
          </w:tcPr>
          <w:p w14:paraId="3D807D5F" w14:textId="77777777" w:rsidR="00926E75" w:rsidRDefault="00926E75" w:rsidP="00AF217C">
            <w:pPr>
              <w:spacing w:before="240" w:after="240"/>
            </w:pPr>
            <w:r>
              <w:t xml:space="preserve">French regulation </w:t>
            </w:r>
          </w:p>
        </w:tc>
        <w:tc>
          <w:tcPr>
            <w:tcW w:w="2485" w:type="dxa"/>
            <w:vAlign w:val="center"/>
          </w:tcPr>
          <w:p w14:paraId="05567E28" w14:textId="77777777" w:rsidR="00926E75" w:rsidRDefault="00926E75" w:rsidP="00AF217C">
            <w:pPr>
              <w:spacing w:before="240" w:after="240"/>
              <w:jc w:val="center"/>
            </w:pPr>
            <w:r>
              <w:t>X</w:t>
            </w:r>
          </w:p>
        </w:tc>
        <w:tc>
          <w:tcPr>
            <w:tcW w:w="2485" w:type="dxa"/>
            <w:vAlign w:val="center"/>
          </w:tcPr>
          <w:p w14:paraId="6232736F" w14:textId="77777777" w:rsidR="00926E75" w:rsidRDefault="00926E75" w:rsidP="00AF217C">
            <w:pPr>
              <w:spacing w:before="240" w:after="240"/>
              <w:jc w:val="center"/>
            </w:pPr>
            <w:r>
              <w:t>X</w:t>
            </w:r>
          </w:p>
        </w:tc>
      </w:tr>
      <w:tr w:rsidR="00926E75" w14:paraId="4FA100E9" w14:textId="77777777" w:rsidTr="00AF217C">
        <w:tc>
          <w:tcPr>
            <w:tcW w:w="1696" w:type="dxa"/>
            <w:vMerge w:val="restart"/>
            <w:vAlign w:val="center"/>
          </w:tcPr>
          <w:p w14:paraId="7EC5051C" w14:textId="77777777" w:rsidR="00926E75" w:rsidRDefault="00926E75" w:rsidP="00AF217C">
            <w:pPr>
              <w:spacing w:before="240" w:after="240"/>
              <w:jc w:val="center"/>
            </w:pPr>
            <w:r>
              <w:t>Agriculture and forestry</w:t>
            </w:r>
          </w:p>
        </w:tc>
        <w:tc>
          <w:tcPr>
            <w:tcW w:w="3274" w:type="dxa"/>
          </w:tcPr>
          <w:p w14:paraId="67620745" w14:textId="77777777" w:rsidR="00926E75" w:rsidRDefault="00926E75" w:rsidP="00AF217C">
            <w:pPr>
              <w:spacing w:before="240" w:after="240"/>
            </w:pPr>
            <w:r>
              <w:t xml:space="preserve">Share of fieldcrop land under organic farming </w:t>
            </w:r>
          </w:p>
        </w:tc>
        <w:tc>
          <w:tcPr>
            <w:tcW w:w="2485" w:type="dxa"/>
            <w:vAlign w:val="center"/>
          </w:tcPr>
          <w:p w14:paraId="36BDC4E6" w14:textId="77777777" w:rsidR="00926E75" w:rsidRDefault="00926E75" w:rsidP="00AF217C">
            <w:pPr>
              <w:spacing w:before="240" w:after="240"/>
              <w:jc w:val="center"/>
            </w:pPr>
            <w:r>
              <w:t>X</w:t>
            </w:r>
          </w:p>
        </w:tc>
        <w:tc>
          <w:tcPr>
            <w:tcW w:w="2485" w:type="dxa"/>
            <w:vAlign w:val="center"/>
          </w:tcPr>
          <w:p w14:paraId="29377570" w14:textId="77777777" w:rsidR="00926E75" w:rsidRDefault="00926E75" w:rsidP="00AF217C">
            <w:pPr>
              <w:spacing w:before="240" w:after="240"/>
              <w:jc w:val="center"/>
            </w:pPr>
            <w:r>
              <w:t>X</w:t>
            </w:r>
          </w:p>
        </w:tc>
      </w:tr>
      <w:tr w:rsidR="00926E75" w14:paraId="1E1F880C" w14:textId="77777777" w:rsidTr="00AF217C">
        <w:tc>
          <w:tcPr>
            <w:tcW w:w="1696" w:type="dxa"/>
            <w:vMerge/>
            <w:vAlign w:val="center"/>
          </w:tcPr>
          <w:p w14:paraId="6EACBF76" w14:textId="77777777" w:rsidR="00926E75" w:rsidRDefault="00926E75" w:rsidP="00AF217C">
            <w:pPr>
              <w:spacing w:before="240" w:after="240"/>
              <w:jc w:val="center"/>
            </w:pPr>
          </w:p>
        </w:tc>
        <w:tc>
          <w:tcPr>
            <w:tcW w:w="3274" w:type="dxa"/>
          </w:tcPr>
          <w:p w14:paraId="743A0361" w14:textId="77777777" w:rsidR="00926E75" w:rsidRDefault="00926E75" w:rsidP="00AF217C">
            <w:pPr>
              <w:spacing w:before="240" w:after="240"/>
            </w:pPr>
            <w:r>
              <w:t xml:space="preserve">Less-meat focused diet </w:t>
            </w:r>
          </w:p>
        </w:tc>
        <w:tc>
          <w:tcPr>
            <w:tcW w:w="2485" w:type="dxa"/>
            <w:vAlign w:val="center"/>
          </w:tcPr>
          <w:p w14:paraId="70A0A7A2" w14:textId="77777777" w:rsidR="00926E75" w:rsidRDefault="00926E75" w:rsidP="00AF217C">
            <w:pPr>
              <w:spacing w:before="240" w:after="240"/>
              <w:jc w:val="center"/>
            </w:pPr>
          </w:p>
        </w:tc>
        <w:tc>
          <w:tcPr>
            <w:tcW w:w="2485" w:type="dxa"/>
            <w:vAlign w:val="center"/>
          </w:tcPr>
          <w:p w14:paraId="5E4BD461" w14:textId="77777777" w:rsidR="00926E75" w:rsidRDefault="00926E75" w:rsidP="00AF217C">
            <w:pPr>
              <w:spacing w:before="240" w:after="240"/>
              <w:jc w:val="center"/>
            </w:pPr>
            <w:r>
              <w:t>X</w:t>
            </w:r>
          </w:p>
        </w:tc>
      </w:tr>
      <w:tr w:rsidR="00926E75" w14:paraId="637C1CD9" w14:textId="77777777" w:rsidTr="00AF217C">
        <w:tc>
          <w:tcPr>
            <w:tcW w:w="1696" w:type="dxa"/>
            <w:vMerge w:val="restart"/>
            <w:vAlign w:val="center"/>
          </w:tcPr>
          <w:p w14:paraId="3AB30309" w14:textId="77777777" w:rsidR="00926E75" w:rsidRDefault="00926E75" w:rsidP="00AF217C">
            <w:pPr>
              <w:spacing w:before="240" w:after="240"/>
              <w:jc w:val="center"/>
            </w:pPr>
            <w:r>
              <w:t>Waste management and processing</w:t>
            </w:r>
          </w:p>
        </w:tc>
        <w:tc>
          <w:tcPr>
            <w:tcW w:w="3274" w:type="dxa"/>
          </w:tcPr>
          <w:p w14:paraId="00883F79" w14:textId="77777777" w:rsidR="00926E75" w:rsidRDefault="00926E75" w:rsidP="00AF217C">
            <w:pPr>
              <w:spacing w:before="240" w:after="240"/>
            </w:pPr>
            <w:r>
              <w:t>Biomethane capture rate increase</w:t>
            </w:r>
          </w:p>
        </w:tc>
        <w:tc>
          <w:tcPr>
            <w:tcW w:w="2485" w:type="dxa"/>
            <w:vAlign w:val="center"/>
          </w:tcPr>
          <w:p w14:paraId="05F7B836" w14:textId="77777777" w:rsidR="00926E75" w:rsidRDefault="00926E75" w:rsidP="00AF217C">
            <w:pPr>
              <w:spacing w:before="240" w:after="240"/>
              <w:jc w:val="center"/>
            </w:pPr>
            <w:r>
              <w:t>X</w:t>
            </w:r>
          </w:p>
        </w:tc>
        <w:tc>
          <w:tcPr>
            <w:tcW w:w="2485" w:type="dxa"/>
            <w:vAlign w:val="center"/>
          </w:tcPr>
          <w:p w14:paraId="0B62AC64" w14:textId="77777777" w:rsidR="00926E75" w:rsidRDefault="00926E75" w:rsidP="00AF217C">
            <w:pPr>
              <w:spacing w:before="240" w:after="240"/>
              <w:jc w:val="center"/>
            </w:pPr>
            <w:r>
              <w:t>X</w:t>
            </w:r>
          </w:p>
        </w:tc>
      </w:tr>
      <w:tr w:rsidR="00926E75" w14:paraId="4C856436" w14:textId="77777777" w:rsidTr="00AF217C">
        <w:tc>
          <w:tcPr>
            <w:tcW w:w="1696" w:type="dxa"/>
            <w:vMerge/>
          </w:tcPr>
          <w:p w14:paraId="2B6BAB53" w14:textId="77777777" w:rsidR="00926E75" w:rsidRDefault="00926E75" w:rsidP="00AF217C">
            <w:pPr>
              <w:spacing w:before="240" w:after="240"/>
            </w:pPr>
          </w:p>
        </w:tc>
        <w:tc>
          <w:tcPr>
            <w:tcW w:w="3274" w:type="dxa"/>
          </w:tcPr>
          <w:p w14:paraId="5C9849D2" w14:textId="77777777" w:rsidR="00926E75" w:rsidRDefault="00926E75" w:rsidP="00AF217C">
            <w:pPr>
              <w:spacing w:before="240" w:after="240"/>
            </w:pPr>
            <w:r>
              <w:t>Geater circular economy</w:t>
            </w:r>
          </w:p>
        </w:tc>
        <w:tc>
          <w:tcPr>
            <w:tcW w:w="2485" w:type="dxa"/>
            <w:vAlign w:val="center"/>
          </w:tcPr>
          <w:p w14:paraId="5954DFBE" w14:textId="77777777" w:rsidR="00926E75" w:rsidRDefault="00926E75" w:rsidP="00AF217C">
            <w:pPr>
              <w:spacing w:before="240" w:after="240"/>
              <w:jc w:val="center"/>
            </w:pPr>
          </w:p>
        </w:tc>
        <w:tc>
          <w:tcPr>
            <w:tcW w:w="2485" w:type="dxa"/>
            <w:vAlign w:val="center"/>
          </w:tcPr>
          <w:p w14:paraId="28186FCA" w14:textId="77777777" w:rsidR="00926E75" w:rsidRDefault="00926E75" w:rsidP="00AF217C">
            <w:pPr>
              <w:spacing w:before="240" w:after="240"/>
              <w:jc w:val="center"/>
            </w:pPr>
            <w:r>
              <w:t>X</w:t>
            </w:r>
          </w:p>
        </w:tc>
      </w:tr>
    </w:tbl>
    <w:p w14:paraId="3C2967A8" w14:textId="77777777" w:rsidR="00926E75" w:rsidRPr="005B54EE" w:rsidRDefault="00926E75" w:rsidP="00F24A36">
      <w:pPr>
        <w:spacing w:before="240" w:after="240"/>
      </w:pPr>
    </w:p>
    <w:p w14:paraId="59A72536" w14:textId="77777777" w:rsidR="00F24A36" w:rsidRPr="005B54EE" w:rsidRDefault="00F24A36" w:rsidP="00B04A7C">
      <w:pPr>
        <w:pStyle w:val="Titre3Niveau3"/>
        <w:numPr>
          <w:ilvl w:val="1"/>
          <w:numId w:val="47"/>
        </w:numPr>
      </w:pPr>
      <w:bookmarkStart w:id="96" w:name="_Toc122694256"/>
      <w:bookmarkStart w:id="97" w:name="_Toc138344693"/>
      <w:bookmarkStart w:id="98" w:name="_Toc121215528"/>
      <w:r w:rsidRPr="005B54EE">
        <w:t>Sensitivity analysis</w:t>
      </w:r>
      <w:bookmarkEnd w:id="96"/>
      <w:bookmarkEnd w:id="97"/>
      <w:r w:rsidRPr="005B54EE">
        <w:t xml:space="preserve"> </w:t>
      </w:r>
      <w:bookmarkEnd w:id="98"/>
    </w:p>
    <w:p w14:paraId="344EE9BB" w14:textId="77777777" w:rsidR="00920B68" w:rsidRPr="00364545" w:rsidRDefault="00920B68" w:rsidP="00C50CEB">
      <w:pPr>
        <w:pStyle w:val="ListParagraph"/>
        <w:ind w:left="0"/>
      </w:pPr>
      <w:bookmarkStart w:id="99" w:name="_Toc121151062"/>
      <w:bookmarkStart w:id="100" w:name="_Toc121151063"/>
      <w:bookmarkStart w:id="101" w:name="_Toc121151064"/>
      <w:bookmarkStart w:id="102" w:name="_Toc121151065"/>
      <w:bookmarkStart w:id="103" w:name="_Toc121151066"/>
      <w:bookmarkStart w:id="104" w:name="_Toc121151067"/>
      <w:bookmarkStart w:id="105" w:name="_Toc121151068"/>
      <w:bookmarkStart w:id="106" w:name="_Toc121151069"/>
      <w:bookmarkStart w:id="107" w:name="_Toc121151070"/>
      <w:bookmarkStart w:id="108" w:name="_Toc121151071"/>
      <w:bookmarkStart w:id="109" w:name="_Toc121151072"/>
      <w:bookmarkStart w:id="110" w:name="_Toc121151073"/>
      <w:bookmarkStart w:id="111" w:name="_Toc121151109"/>
      <w:bookmarkEnd w:id="99"/>
      <w:bookmarkEnd w:id="100"/>
      <w:bookmarkEnd w:id="101"/>
      <w:bookmarkEnd w:id="102"/>
      <w:bookmarkEnd w:id="103"/>
      <w:bookmarkEnd w:id="104"/>
      <w:bookmarkEnd w:id="105"/>
      <w:bookmarkEnd w:id="106"/>
      <w:bookmarkEnd w:id="107"/>
      <w:bookmarkEnd w:id="108"/>
      <w:bookmarkEnd w:id="109"/>
      <w:bookmarkEnd w:id="110"/>
      <w:bookmarkEnd w:id="111"/>
      <w:r w:rsidRPr="00364545">
        <w:t>No sensitivity analysis was conducted for AME 2021.</w:t>
      </w:r>
      <w:r>
        <w:t xml:space="preserve"> Considering the modelling architecture used, that would have represented significant costs. Yet, considering that the modelling approach is very similar to the one used for the scenarios produced in 2018, for which such an analysis had been done (cf. BR4), one can consider that the sensitivity to the main parameters (GDP, energy prices, etc.) remain in the same margin. </w:t>
      </w:r>
    </w:p>
    <w:p w14:paraId="1A6B888F" w14:textId="258055DA" w:rsidR="005066D8" w:rsidRPr="005B54EE" w:rsidRDefault="005066D8" w:rsidP="00F24A36"/>
    <w:p w14:paraId="476A4A76" w14:textId="55AACFE7" w:rsidR="005066D8" w:rsidRPr="005B54EE" w:rsidRDefault="005066D8" w:rsidP="00F24A36">
      <w:pPr>
        <w:pStyle w:val="Titre2Niveau2"/>
        <w:numPr>
          <w:ilvl w:val="0"/>
          <w:numId w:val="25"/>
        </w:numPr>
      </w:pPr>
      <w:bookmarkStart w:id="112" w:name="_Toc138344694"/>
      <w:r w:rsidRPr="005B54EE">
        <w:t>Presentation of the overall results</w:t>
      </w:r>
      <w:bookmarkEnd w:id="112"/>
    </w:p>
    <w:p w14:paraId="0CE7536D" w14:textId="35C85821" w:rsidR="00920B68" w:rsidRDefault="00920B68" w:rsidP="00F24A36">
      <w:pPr>
        <w:spacing w:before="240" w:after="240"/>
      </w:pPr>
      <w:r w:rsidRPr="00920B68">
        <w:t xml:space="preserve">The AMS 2018 scenario presented here takes 2015 as the base year, as the history up to this date is consistent with the latest inventory submitted in April 2018. The AMS 2021 scenario takes 2019 as the base year, and is based on the inventory submitted in April 2021. Considering the delay between the production of both scenarios, the base years are different, and do not align with the most recent national </w:t>
      </w:r>
      <w:r w:rsidR="0078543B">
        <w:t>GHG inventory submission of 2022</w:t>
      </w:r>
      <w:r w:rsidRPr="00920B68">
        <w:t>. Still, the observed data have been replaced with the observed data from the last annual inventory submission from 2022 (also available in CTF table 6(a) in BR5), which can explain some slope breaks in 2020.</w:t>
      </w:r>
    </w:p>
    <w:p w14:paraId="58A9AFE3" w14:textId="77777777" w:rsidR="00F24A36" w:rsidRPr="005B54EE" w:rsidRDefault="00F24A36" w:rsidP="00F24A36">
      <w:pPr>
        <w:spacing w:before="240" w:after="240"/>
      </w:pPr>
      <w:r w:rsidRPr="005B54EE">
        <w:t>In the projection for AMS 2018, the emissions include corrective elements relating to certain cyclical elements such as the severity of the winter. Indeed, as 2015 was warmer than the average of previous years, actual emissions were lower than if the winter had been average in previous years. An upward correction of emissions has therefore been introduced for the short-term period. A global warming scenario of 2°C in 2050 has also been considered in the scenario. In this chapter, the detailed results are presented for the Kyoto scope. Projections within the scope of the convention could not be carried out in the context of this exercise.</w:t>
      </w:r>
    </w:p>
    <w:p w14:paraId="00CD6F6F" w14:textId="4DA486F4" w:rsidR="00F24A36" w:rsidRPr="005B54EE" w:rsidRDefault="00F24A36" w:rsidP="00F24A36">
      <w:pPr>
        <w:spacing w:before="240" w:after="240"/>
      </w:pPr>
      <w:r w:rsidRPr="005B54EE">
        <w:t>For the Kyoto scope, the emissions used in the scenarios (excluding the LULUCF sector) were 457 MtCO</w:t>
      </w:r>
      <w:r w:rsidRPr="005B54EE">
        <w:rPr>
          <w:vertAlign w:val="subscript"/>
        </w:rPr>
        <w:t>2</w:t>
      </w:r>
      <w:r w:rsidRPr="005B54EE">
        <w:rPr>
          <w:sz w:val="18"/>
          <w:vertAlign w:val="subscript"/>
        </w:rPr>
        <w:t>eq</w:t>
      </w:r>
      <w:r w:rsidRPr="005B54EE">
        <w:t xml:space="preserve"> in 2015, i.e. a 15.9% reduction compared to 1990.</w:t>
      </w:r>
    </w:p>
    <w:p w14:paraId="6438B23D" w14:textId="77777777" w:rsidR="00F24A36" w:rsidRPr="005B54EE" w:rsidRDefault="00F24A36" w:rsidP="002F4FA6">
      <w:pPr>
        <w:pStyle w:val="titreencadre"/>
        <w:numPr>
          <w:ilvl w:val="3"/>
          <w:numId w:val="47"/>
        </w:numPr>
        <w:spacing w:before="120" w:after="60" w:line="240" w:lineRule="auto"/>
      </w:pPr>
      <w:r w:rsidRPr="005B54EE">
        <w:t>AME 2021</w:t>
      </w:r>
    </w:p>
    <w:p w14:paraId="6E1AC1D9" w14:textId="77777777" w:rsidR="00F24A36" w:rsidRPr="005B54EE" w:rsidRDefault="00F24A36" w:rsidP="00F24A36">
      <w:pPr>
        <w:spacing w:before="240" w:after="240"/>
      </w:pPr>
      <w:r w:rsidRPr="005B54EE">
        <w:t>The emissions excluding LULUCF in the Kyoto scope decrease in the AME 2021 scenario to:</w:t>
      </w:r>
    </w:p>
    <w:p w14:paraId="138B9885" w14:textId="38B63AAF" w:rsidR="00F24A36" w:rsidRPr="005B54EE" w:rsidRDefault="00F24A36" w:rsidP="002F4FA6">
      <w:pPr>
        <w:pStyle w:val="ListParagraph"/>
        <w:numPr>
          <w:ilvl w:val="0"/>
          <w:numId w:val="45"/>
        </w:numPr>
        <w:spacing w:before="240" w:after="240"/>
      </w:pPr>
      <w:r w:rsidRPr="005B54EE">
        <w:t>367 MtCO</w:t>
      </w:r>
      <w:r w:rsidRPr="005B54EE">
        <w:rPr>
          <w:vertAlign w:val="subscript"/>
        </w:rPr>
        <w:t>2</w:t>
      </w:r>
      <w:r w:rsidRPr="005B54EE">
        <w:rPr>
          <w:sz w:val="18"/>
          <w:vertAlign w:val="subscript"/>
        </w:rPr>
        <w:t>eq</w:t>
      </w:r>
      <w:r w:rsidRPr="005B54EE">
        <w:t xml:space="preserve"> in 2030, i.e. 33% reduction compared to 1990</w:t>
      </w:r>
    </w:p>
    <w:p w14:paraId="6D66F55D" w14:textId="40DDFFAA" w:rsidR="00F24A36" w:rsidRDefault="00F24A36" w:rsidP="002F4FA6">
      <w:pPr>
        <w:pStyle w:val="ListParagraph"/>
        <w:numPr>
          <w:ilvl w:val="0"/>
          <w:numId w:val="45"/>
        </w:numPr>
        <w:spacing w:before="240" w:after="240"/>
      </w:pPr>
      <w:r w:rsidRPr="005B54EE">
        <w:t>330 MtCO</w:t>
      </w:r>
      <w:r w:rsidRPr="005B54EE">
        <w:rPr>
          <w:vertAlign w:val="subscript"/>
        </w:rPr>
        <w:t>2</w:t>
      </w:r>
      <w:r w:rsidRPr="005B54EE">
        <w:rPr>
          <w:sz w:val="18"/>
          <w:vertAlign w:val="subscript"/>
        </w:rPr>
        <w:t>eq</w:t>
      </w:r>
      <w:r w:rsidRPr="005B54EE">
        <w:t xml:space="preserve"> in 2050, i.e. 39% reduction compared to 1990</w:t>
      </w:r>
    </w:p>
    <w:p w14:paraId="3DE460F6" w14:textId="77777777" w:rsidR="00920B68" w:rsidRPr="00364545" w:rsidRDefault="00920B68" w:rsidP="00C50CEB">
      <w:pPr>
        <w:pStyle w:val="ListParagraph"/>
        <w:spacing w:before="240" w:after="240"/>
      </w:pPr>
    </w:p>
    <w:tbl>
      <w:tblPr>
        <w:tblStyle w:val="TableGrid1"/>
        <w:tblW w:w="9941" w:type="dxa"/>
        <w:tblInd w:w="3" w:type="dxa"/>
        <w:tblCellMar>
          <w:top w:w="135" w:type="dxa"/>
          <w:left w:w="28" w:type="dxa"/>
          <w:right w:w="20" w:type="dxa"/>
        </w:tblCellMar>
        <w:tblLook w:val="04A0" w:firstRow="1" w:lastRow="0" w:firstColumn="1" w:lastColumn="0" w:noHBand="0" w:noVBand="1"/>
      </w:tblPr>
      <w:tblGrid>
        <w:gridCol w:w="953"/>
        <w:gridCol w:w="752"/>
        <w:gridCol w:w="751"/>
        <w:gridCol w:w="751"/>
        <w:gridCol w:w="751"/>
        <w:gridCol w:w="751"/>
        <w:gridCol w:w="751"/>
        <w:gridCol w:w="751"/>
        <w:gridCol w:w="746"/>
        <w:gridCol w:w="746"/>
        <w:gridCol w:w="746"/>
        <w:gridCol w:w="746"/>
        <w:gridCol w:w="746"/>
      </w:tblGrid>
      <w:tr w:rsidR="00920B68" w:rsidRPr="00364545" w14:paraId="7A9D1A82" w14:textId="77777777" w:rsidTr="00920B68">
        <w:trPr>
          <w:trHeight w:val="402"/>
        </w:trPr>
        <w:tc>
          <w:tcPr>
            <w:tcW w:w="884" w:type="dxa"/>
            <w:tcBorders>
              <w:top w:val="single" w:sz="2" w:space="0" w:color="FFFFFF"/>
              <w:left w:val="single" w:sz="2" w:space="0" w:color="FFFFFF"/>
              <w:bottom w:val="single" w:sz="2" w:space="0" w:color="FFFFFF"/>
              <w:right w:val="single" w:sz="2" w:space="0" w:color="FFFFFF"/>
            </w:tcBorders>
            <w:shd w:val="clear" w:color="auto" w:fill="6D2A78"/>
          </w:tcPr>
          <w:p w14:paraId="7D688CF0" w14:textId="77777777" w:rsidR="00920B68" w:rsidRPr="00364545" w:rsidRDefault="00920B68" w:rsidP="00920B68">
            <w:pPr>
              <w:spacing w:line="259" w:lineRule="auto"/>
            </w:pPr>
            <w:r w:rsidRPr="00364545">
              <w:rPr>
                <w:color w:val="FFFFFF" w:themeColor="background1"/>
              </w:rPr>
              <w:t>AME 2021</w:t>
            </w:r>
          </w:p>
        </w:tc>
        <w:tc>
          <w:tcPr>
            <w:tcW w:w="756"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2EF3CFA5" w14:textId="77777777" w:rsidR="00920B68" w:rsidRPr="00364545" w:rsidRDefault="00920B68" w:rsidP="00920B68">
            <w:pPr>
              <w:spacing w:line="259" w:lineRule="auto"/>
              <w:ind w:right="4"/>
              <w:jc w:val="center"/>
            </w:pPr>
            <w:r w:rsidRPr="00364545">
              <w:rPr>
                <w:b/>
                <w:color w:val="FFFFFF"/>
                <w:sz w:val="18"/>
              </w:rPr>
              <w:t>1990</w:t>
            </w:r>
          </w:p>
        </w:tc>
        <w:tc>
          <w:tcPr>
            <w:tcW w:w="756"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5A71BB8A" w14:textId="77777777" w:rsidR="00920B68" w:rsidRPr="00364545" w:rsidRDefault="00920B68" w:rsidP="00920B68">
            <w:pPr>
              <w:spacing w:line="259" w:lineRule="auto"/>
              <w:ind w:right="6"/>
              <w:jc w:val="center"/>
              <w:rPr>
                <w:b/>
                <w:color w:val="FFFFFF"/>
                <w:sz w:val="18"/>
              </w:rPr>
            </w:pPr>
            <w:r w:rsidRPr="00364545">
              <w:rPr>
                <w:b/>
                <w:color w:val="FFFFFF"/>
                <w:sz w:val="18"/>
              </w:rPr>
              <w:t>1995</w:t>
            </w:r>
          </w:p>
        </w:tc>
        <w:tc>
          <w:tcPr>
            <w:tcW w:w="756"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58348BBA" w14:textId="77777777" w:rsidR="00920B68" w:rsidRPr="00364545" w:rsidRDefault="00920B68" w:rsidP="00920B68">
            <w:pPr>
              <w:spacing w:line="259" w:lineRule="auto"/>
              <w:ind w:right="6"/>
              <w:jc w:val="center"/>
            </w:pPr>
            <w:r w:rsidRPr="00364545">
              <w:rPr>
                <w:b/>
                <w:color w:val="FFFFFF"/>
                <w:sz w:val="18"/>
              </w:rPr>
              <w:t>2000</w:t>
            </w:r>
          </w:p>
        </w:tc>
        <w:tc>
          <w:tcPr>
            <w:tcW w:w="756"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72E13C4E" w14:textId="77777777" w:rsidR="00920B68" w:rsidRPr="00364545" w:rsidRDefault="00920B68" w:rsidP="00920B68">
            <w:pPr>
              <w:spacing w:line="259" w:lineRule="auto"/>
              <w:ind w:right="4"/>
              <w:jc w:val="center"/>
            </w:pPr>
            <w:r w:rsidRPr="00364545">
              <w:rPr>
                <w:b/>
                <w:color w:val="FFFFFF"/>
                <w:sz w:val="18"/>
              </w:rPr>
              <w:t>2005</w:t>
            </w:r>
          </w:p>
        </w:tc>
        <w:tc>
          <w:tcPr>
            <w:tcW w:w="756"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45D35F17" w14:textId="77777777" w:rsidR="00920B68" w:rsidRPr="00364545" w:rsidRDefault="00920B68" w:rsidP="00920B68">
            <w:pPr>
              <w:spacing w:line="259" w:lineRule="auto"/>
              <w:ind w:right="7"/>
              <w:jc w:val="center"/>
            </w:pPr>
            <w:r w:rsidRPr="00364545">
              <w:rPr>
                <w:b/>
                <w:color w:val="FFFFFF"/>
                <w:sz w:val="18"/>
              </w:rPr>
              <w:t>2010</w:t>
            </w:r>
          </w:p>
        </w:tc>
        <w:tc>
          <w:tcPr>
            <w:tcW w:w="756"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58F3DEC7" w14:textId="77777777" w:rsidR="00920B68" w:rsidRPr="00364545" w:rsidRDefault="00920B68" w:rsidP="00920B68">
            <w:pPr>
              <w:spacing w:line="259" w:lineRule="auto"/>
              <w:ind w:right="5"/>
              <w:jc w:val="center"/>
            </w:pPr>
            <w:r w:rsidRPr="00364545">
              <w:rPr>
                <w:b/>
                <w:color w:val="FFFFFF"/>
                <w:sz w:val="18"/>
              </w:rPr>
              <w:t>2015</w:t>
            </w:r>
          </w:p>
        </w:tc>
        <w:tc>
          <w:tcPr>
            <w:tcW w:w="756"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1EB667F0" w14:textId="77777777" w:rsidR="00920B68" w:rsidRPr="00364545" w:rsidRDefault="00920B68" w:rsidP="00920B68">
            <w:pPr>
              <w:spacing w:line="259" w:lineRule="auto"/>
              <w:ind w:right="7"/>
              <w:jc w:val="center"/>
              <w:rPr>
                <w:b/>
                <w:color w:val="FFFFFF"/>
                <w:sz w:val="18"/>
              </w:rPr>
            </w:pPr>
            <w:r w:rsidRPr="00364545">
              <w:rPr>
                <w:b/>
                <w:color w:val="FFFFFF"/>
                <w:sz w:val="18"/>
              </w:rPr>
              <w:t>2019</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56BE2E63" w14:textId="77777777" w:rsidR="00920B68" w:rsidRPr="00364545" w:rsidRDefault="00920B68" w:rsidP="00920B68">
            <w:pPr>
              <w:spacing w:line="259" w:lineRule="auto"/>
              <w:ind w:right="7"/>
              <w:jc w:val="center"/>
            </w:pPr>
            <w:r w:rsidRPr="00364545">
              <w:rPr>
                <w:b/>
                <w:color w:val="FFFFFF"/>
                <w:sz w:val="18"/>
              </w:rPr>
              <w:t>2020</w:t>
            </w:r>
          </w:p>
        </w:tc>
        <w:tc>
          <w:tcPr>
            <w:tcW w:w="753" w:type="dxa"/>
            <w:tcBorders>
              <w:top w:val="single" w:sz="2" w:space="0" w:color="FFFFFF"/>
              <w:left w:val="single" w:sz="2" w:space="0" w:color="FFFFFF"/>
              <w:bottom w:val="single" w:sz="2" w:space="0" w:color="FFFFFF"/>
              <w:right w:val="nil"/>
            </w:tcBorders>
            <w:shd w:val="clear" w:color="auto" w:fill="6D2A78"/>
            <w:vAlign w:val="center"/>
          </w:tcPr>
          <w:p w14:paraId="590681C0" w14:textId="77777777" w:rsidR="00920B68" w:rsidRPr="00364545" w:rsidRDefault="00920B68" w:rsidP="00920B68">
            <w:pPr>
              <w:spacing w:line="259" w:lineRule="auto"/>
              <w:ind w:right="7"/>
              <w:jc w:val="center"/>
              <w:rPr>
                <w:b/>
                <w:color w:val="FFFFFF"/>
                <w:sz w:val="18"/>
              </w:rPr>
            </w:pPr>
            <w:r w:rsidRPr="00364545">
              <w:rPr>
                <w:b/>
                <w:color w:val="FFFFFF"/>
                <w:sz w:val="18"/>
              </w:rPr>
              <w:t>2025</w:t>
            </w:r>
          </w:p>
        </w:tc>
        <w:tc>
          <w:tcPr>
            <w:tcW w:w="753" w:type="dxa"/>
            <w:tcBorders>
              <w:top w:val="single" w:sz="2" w:space="0" w:color="FFFFFF"/>
              <w:left w:val="nil"/>
              <w:bottom w:val="single" w:sz="2" w:space="0" w:color="FFFFFF"/>
              <w:right w:val="single" w:sz="2" w:space="0" w:color="FFFFFF"/>
            </w:tcBorders>
            <w:shd w:val="clear" w:color="auto" w:fill="6D2A78"/>
            <w:vAlign w:val="center"/>
          </w:tcPr>
          <w:p w14:paraId="69AC9144" w14:textId="77777777" w:rsidR="00920B68" w:rsidRPr="00364545" w:rsidRDefault="00920B68" w:rsidP="00920B68">
            <w:pPr>
              <w:spacing w:line="259" w:lineRule="auto"/>
              <w:ind w:right="7"/>
              <w:jc w:val="center"/>
              <w:rPr>
                <w:b/>
                <w:color w:val="FFFFFF"/>
                <w:sz w:val="18"/>
              </w:rPr>
            </w:pPr>
            <w:r w:rsidRPr="00364545">
              <w:rPr>
                <w:b/>
                <w:color w:val="FFFFFF"/>
                <w:sz w:val="18"/>
              </w:rPr>
              <w:t>2030</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1C4DDAD6" w14:textId="77777777" w:rsidR="00920B68" w:rsidRPr="00364545" w:rsidRDefault="00920B68" w:rsidP="00920B68">
            <w:pPr>
              <w:spacing w:line="259" w:lineRule="auto"/>
              <w:jc w:val="center"/>
            </w:pPr>
            <w:r w:rsidRPr="00364545">
              <w:rPr>
                <w:b/>
                <w:color w:val="FFFFFF"/>
                <w:sz w:val="18"/>
              </w:rPr>
              <w:t>2035</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71D10441" w14:textId="77777777" w:rsidR="00920B68" w:rsidRPr="00364545" w:rsidRDefault="00920B68" w:rsidP="00920B68">
            <w:pPr>
              <w:spacing w:line="259" w:lineRule="auto"/>
              <w:jc w:val="center"/>
              <w:rPr>
                <w:b/>
                <w:color w:val="FFFFFF"/>
                <w:sz w:val="18"/>
              </w:rPr>
            </w:pPr>
            <w:r w:rsidRPr="00364545">
              <w:rPr>
                <w:b/>
                <w:color w:val="FFFFFF"/>
                <w:sz w:val="18"/>
              </w:rPr>
              <w:t>2050</w:t>
            </w:r>
          </w:p>
        </w:tc>
      </w:tr>
      <w:tr w:rsidR="00920B68" w:rsidRPr="00364545" w14:paraId="4577C110" w14:textId="77777777" w:rsidTr="00920B68">
        <w:trPr>
          <w:trHeight w:val="460"/>
        </w:trPr>
        <w:tc>
          <w:tcPr>
            <w:tcW w:w="884" w:type="dxa"/>
            <w:tcBorders>
              <w:top w:val="single" w:sz="2" w:space="0" w:color="FFFFFF"/>
              <w:left w:val="single" w:sz="2" w:space="0" w:color="6D2A78"/>
              <w:bottom w:val="single" w:sz="2" w:space="0" w:color="6D2A78"/>
              <w:right w:val="single" w:sz="2" w:space="0" w:color="6D2A78"/>
            </w:tcBorders>
            <w:vAlign w:val="center"/>
          </w:tcPr>
          <w:p w14:paraId="780EF8D1" w14:textId="77777777" w:rsidR="00920B68" w:rsidRPr="00364545" w:rsidRDefault="00920B68" w:rsidP="00920B68">
            <w:pPr>
              <w:spacing w:line="259" w:lineRule="auto"/>
              <w:ind w:left="39"/>
            </w:pPr>
            <w:r w:rsidRPr="00364545">
              <w:rPr>
                <w:sz w:val="18"/>
              </w:rPr>
              <w:t>(in kt</w:t>
            </w:r>
            <w:r w:rsidRPr="00364545">
              <w:t>CO</w:t>
            </w:r>
            <w:r w:rsidRPr="00364545">
              <w:rPr>
                <w:vertAlign w:val="subscript"/>
              </w:rPr>
              <w:t>2</w:t>
            </w:r>
            <w:r w:rsidRPr="00364545">
              <w:rPr>
                <w:sz w:val="18"/>
                <w:vertAlign w:val="subscript"/>
              </w:rPr>
              <w:t>e</w:t>
            </w:r>
            <w:r w:rsidRPr="00364545">
              <w:rPr>
                <w:sz w:val="18"/>
              </w:rPr>
              <w:t xml:space="preserve">) </w:t>
            </w:r>
          </w:p>
        </w:tc>
        <w:tc>
          <w:tcPr>
            <w:tcW w:w="756" w:type="dxa"/>
            <w:tcBorders>
              <w:top w:val="single" w:sz="2" w:space="0" w:color="FFFFFF"/>
              <w:left w:val="single" w:sz="2" w:space="0" w:color="6D2A78"/>
              <w:bottom w:val="single" w:sz="2" w:space="0" w:color="6D2A78"/>
              <w:right w:val="single" w:sz="2" w:space="0" w:color="6D2A78"/>
            </w:tcBorders>
            <w:vAlign w:val="center"/>
          </w:tcPr>
          <w:p w14:paraId="716C530C" w14:textId="77777777" w:rsidR="00920B68" w:rsidRPr="00364545" w:rsidRDefault="00920B68" w:rsidP="00920B68">
            <w:pPr>
              <w:spacing w:line="259" w:lineRule="auto"/>
              <w:jc w:val="center"/>
            </w:pPr>
            <w:r w:rsidRPr="00364545">
              <w:rPr>
                <w:sz w:val="18"/>
              </w:rPr>
              <w:t>Observed</w:t>
            </w:r>
          </w:p>
        </w:tc>
        <w:tc>
          <w:tcPr>
            <w:tcW w:w="756" w:type="dxa"/>
            <w:tcBorders>
              <w:top w:val="single" w:sz="2" w:space="0" w:color="FFFFFF"/>
              <w:left w:val="single" w:sz="2" w:space="0" w:color="6D2A78"/>
              <w:bottom w:val="single" w:sz="2" w:space="0" w:color="6D2A78"/>
              <w:right w:val="single" w:sz="2" w:space="0" w:color="6D2A78"/>
            </w:tcBorders>
            <w:vAlign w:val="center"/>
          </w:tcPr>
          <w:p w14:paraId="63BAED91" w14:textId="77777777" w:rsidR="00920B68" w:rsidRPr="00364545" w:rsidRDefault="00920B68" w:rsidP="00920B68">
            <w:pPr>
              <w:spacing w:line="259" w:lineRule="auto"/>
              <w:jc w:val="center"/>
              <w:rPr>
                <w:sz w:val="18"/>
              </w:rPr>
            </w:pPr>
            <w:r w:rsidRPr="00364545">
              <w:rPr>
                <w:sz w:val="18"/>
              </w:rPr>
              <w:t>Observed</w:t>
            </w:r>
          </w:p>
        </w:tc>
        <w:tc>
          <w:tcPr>
            <w:tcW w:w="756" w:type="dxa"/>
            <w:tcBorders>
              <w:top w:val="single" w:sz="2" w:space="0" w:color="FFFFFF"/>
              <w:left w:val="single" w:sz="2" w:space="0" w:color="6D2A78"/>
              <w:bottom w:val="single" w:sz="2" w:space="0" w:color="6D2A78"/>
              <w:right w:val="single" w:sz="2" w:space="0" w:color="6D2A78"/>
            </w:tcBorders>
            <w:vAlign w:val="center"/>
          </w:tcPr>
          <w:p w14:paraId="1538B769" w14:textId="77777777" w:rsidR="00920B68" w:rsidRPr="00364545" w:rsidRDefault="00920B68" w:rsidP="00920B68">
            <w:pPr>
              <w:spacing w:line="259" w:lineRule="auto"/>
              <w:jc w:val="center"/>
            </w:pPr>
            <w:r w:rsidRPr="00364545">
              <w:rPr>
                <w:sz w:val="18"/>
              </w:rPr>
              <w:t>Observed</w:t>
            </w:r>
          </w:p>
        </w:tc>
        <w:tc>
          <w:tcPr>
            <w:tcW w:w="756" w:type="dxa"/>
            <w:tcBorders>
              <w:top w:val="single" w:sz="2" w:space="0" w:color="FFFFFF"/>
              <w:left w:val="single" w:sz="2" w:space="0" w:color="6D2A78"/>
              <w:bottom w:val="single" w:sz="2" w:space="0" w:color="6D2A78"/>
              <w:right w:val="single" w:sz="2" w:space="0" w:color="6D2A78"/>
            </w:tcBorders>
            <w:vAlign w:val="center"/>
          </w:tcPr>
          <w:p w14:paraId="3BE0E18E" w14:textId="77777777" w:rsidR="00920B68" w:rsidRPr="00364545" w:rsidRDefault="00920B68" w:rsidP="00920B68">
            <w:pPr>
              <w:spacing w:line="259" w:lineRule="auto"/>
              <w:jc w:val="center"/>
            </w:pPr>
            <w:r w:rsidRPr="00364545">
              <w:rPr>
                <w:sz w:val="18"/>
              </w:rPr>
              <w:t>Observed</w:t>
            </w:r>
          </w:p>
        </w:tc>
        <w:tc>
          <w:tcPr>
            <w:tcW w:w="756" w:type="dxa"/>
            <w:tcBorders>
              <w:top w:val="single" w:sz="2" w:space="0" w:color="FFFFFF"/>
              <w:left w:val="single" w:sz="2" w:space="0" w:color="6D2A78"/>
              <w:bottom w:val="single" w:sz="2" w:space="0" w:color="6D2A78"/>
              <w:right w:val="single" w:sz="2" w:space="0" w:color="6D2A78"/>
            </w:tcBorders>
            <w:vAlign w:val="center"/>
          </w:tcPr>
          <w:p w14:paraId="3D39D715" w14:textId="77777777" w:rsidR="00920B68" w:rsidRPr="00364545" w:rsidRDefault="00920B68" w:rsidP="00920B68">
            <w:pPr>
              <w:spacing w:line="259" w:lineRule="auto"/>
              <w:jc w:val="center"/>
            </w:pPr>
            <w:r w:rsidRPr="00364545">
              <w:rPr>
                <w:sz w:val="18"/>
              </w:rPr>
              <w:t>Observed</w:t>
            </w:r>
          </w:p>
        </w:tc>
        <w:tc>
          <w:tcPr>
            <w:tcW w:w="756" w:type="dxa"/>
            <w:tcBorders>
              <w:top w:val="single" w:sz="2" w:space="0" w:color="FFFFFF"/>
              <w:left w:val="single" w:sz="2" w:space="0" w:color="6D2A78"/>
              <w:bottom w:val="single" w:sz="2" w:space="0" w:color="6D2A78"/>
              <w:right w:val="single" w:sz="2" w:space="0" w:color="6D2A78"/>
            </w:tcBorders>
            <w:vAlign w:val="center"/>
          </w:tcPr>
          <w:p w14:paraId="6EFD19F1" w14:textId="77777777" w:rsidR="00920B68" w:rsidRPr="00364545" w:rsidRDefault="00920B68" w:rsidP="00920B68">
            <w:pPr>
              <w:spacing w:line="259" w:lineRule="auto"/>
              <w:jc w:val="center"/>
            </w:pPr>
            <w:r w:rsidRPr="00364545">
              <w:rPr>
                <w:sz w:val="18"/>
              </w:rPr>
              <w:t>Observed</w:t>
            </w:r>
          </w:p>
        </w:tc>
        <w:tc>
          <w:tcPr>
            <w:tcW w:w="756" w:type="dxa"/>
            <w:tcBorders>
              <w:top w:val="single" w:sz="2" w:space="0" w:color="FFFFFF"/>
              <w:left w:val="single" w:sz="2" w:space="0" w:color="6D2A78"/>
              <w:bottom w:val="single" w:sz="2" w:space="0" w:color="6D2A78"/>
              <w:right w:val="single" w:sz="2" w:space="0" w:color="6D2A78"/>
            </w:tcBorders>
            <w:vAlign w:val="center"/>
          </w:tcPr>
          <w:p w14:paraId="7ED9202B" w14:textId="77777777" w:rsidR="00920B68" w:rsidRPr="00364545" w:rsidRDefault="00920B68" w:rsidP="00920B68">
            <w:pPr>
              <w:spacing w:line="259" w:lineRule="auto"/>
              <w:jc w:val="center"/>
              <w:rPr>
                <w:sz w:val="18"/>
              </w:rPr>
            </w:pPr>
            <w:r w:rsidRPr="00364545">
              <w:rPr>
                <w:sz w:val="18"/>
              </w:rPr>
              <w:t>Observed</w:t>
            </w:r>
          </w:p>
        </w:tc>
        <w:tc>
          <w:tcPr>
            <w:tcW w:w="753" w:type="dxa"/>
            <w:tcBorders>
              <w:top w:val="single" w:sz="2" w:space="0" w:color="FFFFFF"/>
              <w:left w:val="single" w:sz="2" w:space="0" w:color="6D2A78"/>
              <w:bottom w:val="single" w:sz="2" w:space="0" w:color="6D2A78"/>
              <w:right w:val="single" w:sz="2" w:space="0" w:color="6D2A78"/>
            </w:tcBorders>
            <w:vAlign w:val="center"/>
          </w:tcPr>
          <w:p w14:paraId="6AB407EE" w14:textId="77777777" w:rsidR="00920B68" w:rsidRPr="00364545" w:rsidRDefault="00920B68" w:rsidP="00920B68">
            <w:pPr>
              <w:spacing w:line="259" w:lineRule="auto"/>
              <w:jc w:val="center"/>
            </w:pPr>
            <w:r w:rsidRPr="00364545">
              <w:rPr>
                <w:sz w:val="18"/>
              </w:rPr>
              <w:t>Projected</w:t>
            </w:r>
          </w:p>
        </w:tc>
        <w:tc>
          <w:tcPr>
            <w:tcW w:w="753" w:type="dxa"/>
            <w:tcBorders>
              <w:top w:val="single" w:sz="2" w:space="0" w:color="FFFFFF"/>
              <w:left w:val="single" w:sz="2" w:space="0" w:color="6D2A78"/>
              <w:bottom w:val="single" w:sz="2" w:space="0" w:color="6D2A78"/>
              <w:right w:val="single" w:sz="2" w:space="0" w:color="6D2A78"/>
            </w:tcBorders>
            <w:vAlign w:val="center"/>
          </w:tcPr>
          <w:p w14:paraId="17A12E79" w14:textId="77777777" w:rsidR="00920B68" w:rsidRPr="00364545" w:rsidRDefault="00920B68" w:rsidP="00920B68">
            <w:pPr>
              <w:spacing w:line="259" w:lineRule="auto"/>
              <w:jc w:val="center"/>
            </w:pPr>
            <w:r w:rsidRPr="00364545">
              <w:rPr>
                <w:sz w:val="18"/>
              </w:rPr>
              <w:t>Projected</w:t>
            </w:r>
          </w:p>
        </w:tc>
        <w:tc>
          <w:tcPr>
            <w:tcW w:w="753" w:type="dxa"/>
            <w:tcBorders>
              <w:top w:val="single" w:sz="2" w:space="0" w:color="FFFFFF"/>
              <w:left w:val="single" w:sz="2" w:space="0" w:color="6D2A78"/>
              <w:bottom w:val="single" w:sz="2" w:space="0" w:color="6D2A78"/>
              <w:right w:val="single" w:sz="2" w:space="0" w:color="6D2A78"/>
            </w:tcBorders>
            <w:vAlign w:val="center"/>
          </w:tcPr>
          <w:p w14:paraId="1D8098D9" w14:textId="77777777" w:rsidR="00920B68" w:rsidRPr="00364545" w:rsidRDefault="00920B68" w:rsidP="00920B68">
            <w:pPr>
              <w:spacing w:line="259" w:lineRule="auto"/>
              <w:jc w:val="center"/>
            </w:pPr>
            <w:r w:rsidRPr="00364545">
              <w:rPr>
                <w:sz w:val="18"/>
              </w:rPr>
              <w:t>Projected</w:t>
            </w:r>
          </w:p>
        </w:tc>
        <w:tc>
          <w:tcPr>
            <w:tcW w:w="753" w:type="dxa"/>
            <w:tcBorders>
              <w:top w:val="single" w:sz="2" w:space="0" w:color="FFFFFF"/>
              <w:left w:val="single" w:sz="2" w:space="0" w:color="6D2A78"/>
              <w:bottom w:val="single" w:sz="2" w:space="0" w:color="6D2A78"/>
              <w:right w:val="single" w:sz="2" w:space="0" w:color="6D2A78"/>
            </w:tcBorders>
            <w:vAlign w:val="center"/>
          </w:tcPr>
          <w:p w14:paraId="69747BD8" w14:textId="77777777" w:rsidR="00920B68" w:rsidRPr="00364545" w:rsidRDefault="00920B68" w:rsidP="00920B68">
            <w:pPr>
              <w:spacing w:line="259" w:lineRule="auto"/>
              <w:jc w:val="center"/>
            </w:pPr>
            <w:r w:rsidRPr="00364545">
              <w:rPr>
                <w:sz w:val="18"/>
              </w:rPr>
              <w:t>Projected</w:t>
            </w:r>
          </w:p>
        </w:tc>
        <w:tc>
          <w:tcPr>
            <w:tcW w:w="753" w:type="dxa"/>
            <w:tcBorders>
              <w:top w:val="single" w:sz="2" w:space="0" w:color="FFFFFF"/>
              <w:left w:val="single" w:sz="2" w:space="0" w:color="6D2A78"/>
              <w:bottom w:val="single" w:sz="2" w:space="0" w:color="6D2A78"/>
              <w:right w:val="single" w:sz="2" w:space="0" w:color="6D2A78"/>
            </w:tcBorders>
            <w:vAlign w:val="center"/>
          </w:tcPr>
          <w:p w14:paraId="34C00475" w14:textId="77777777" w:rsidR="00920B68" w:rsidRPr="00364545" w:rsidRDefault="00920B68" w:rsidP="00920B68">
            <w:pPr>
              <w:spacing w:line="259" w:lineRule="auto"/>
              <w:jc w:val="center"/>
              <w:rPr>
                <w:sz w:val="18"/>
              </w:rPr>
            </w:pPr>
            <w:r w:rsidRPr="00364545">
              <w:rPr>
                <w:sz w:val="18"/>
              </w:rPr>
              <w:t>Projected</w:t>
            </w:r>
          </w:p>
        </w:tc>
      </w:tr>
      <w:tr w:rsidR="00920B68" w:rsidRPr="00364545" w14:paraId="0D063971" w14:textId="77777777" w:rsidTr="00920B68">
        <w:trPr>
          <w:trHeight w:val="457"/>
        </w:trPr>
        <w:tc>
          <w:tcPr>
            <w:tcW w:w="884"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1E36645F" w14:textId="77777777" w:rsidR="00920B68" w:rsidRPr="00364545" w:rsidRDefault="00920B68" w:rsidP="00920B68">
            <w:pPr>
              <w:spacing w:line="259" w:lineRule="auto"/>
              <w:ind w:right="9"/>
              <w:jc w:val="center"/>
            </w:pPr>
            <w:r w:rsidRPr="00364545">
              <w:rPr>
                <w:sz w:val="18"/>
              </w:rPr>
              <w:t>All (</w:t>
            </w:r>
            <w:r>
              <w:rPr>
                <w:sz w:val="18"/>
              </w:rPr>
              <w:t>excluding</w:t>
            </w:r>
            <w:r w:rsidRPr="00364545">
              <w:rPr>
                <w:sz w:val="18"/>
              </w:rPr>
              <w:t xml:space="preserve"> LULUCF) </w:t>
            </w:r>
          </w:p>
        </w:tc>
        <w:tc>
          <w:tcPr>
            <w:tcW w:w="756"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27B55705" w14:textId="77777777" w:rsidR="00920B68" w:rsidRPr="00634E4C" w:rsidRDefault="00920B68" w:rsidP="00920B68">
            <w:pPr>
              <w:spacing w:line="259" w:lineRule="auto"/>
              <w:ind w:left="59"/>
              <w:jc w:val="center"/>
              <w:rPr>
                <w:sz w:val="18"/>
              </w:rPr>
            </w:pPr>
            <w:r w:rsidRPr="006E265A">
              <w:rPr>
                <w:sz w:val="18"/>
              </w:rPr>
              <w:t>544086</w:t>
            </w:r>
          </w:p>
        </w:tc>
        <w:tc>
          <w:tcPr>
            <w:tcW w:w="756"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72D831BB" w14:textId="77777777" w:rsidR="00920B68" w:rsidRPr="006E265A" w:rsidRDefault="00920B68" w:rsidP="00920B68">
            <w:pPr>
              <w:spacing w:line="259" w:lineRule="auto"/>
              <w:ind w:left="58"/>
              <w:jc w:val="center"/>
              <w:rPr>
                <w:sz w:val="18"/>
              </w:rPr>
            </w:pPr>
            <w:r w:rsidRPr="006E265A">
              <w:rPr>
                <w:sz w:val="18"/>
              </w:rPr>
              <w:t>536475</w:t>
            </w:r>
          </w:p>
        </w:tc>
        <w:tc>
          <w:tcPr>
            <w:tcW w:w="756"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6AF8C7BF" w14:textId="77777777" w:rsidR="00920B68" w:rsidRPr="00634E4C" w:rsidRDefault="00920B68" w:rsidP="00920B68">
            <w:pPr>
              <w:spacing w:line="259" w:lineRule="auto"/>
              <w:ind w:left="58"/>
              <w:jc w:val="center"/>
              <w:rPr>
                <w:sz w:val="18"/>
              </w:rPr>
            </w:pPr>
            <w:r w:rsidRPr="006E265A">
              <w:rPr>
                <w:sz w:val="18"/>
              </w:rPr>
              <w:t>549005</w:t>
            </w:r>
          </w:p>
        </w:tc>
        <w:tc>
          <w:tcPr>
            <w:tcW w:w="756"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6513CB1E" w14:textId="77777777" w:rsidR="00920B68" w:rsidRPr="00634E4C" w:rsidRDefault="00920B68" w:rsidP="00920B68">
            <w:pPr>
              <w:spacing w:line="259" w:lineRule="auto"/>
              <w:ind w:left="59"/>
              <w:jc w:val="center"/>
              <w:rPr>
                <w:sz w:val="18"/>
                <w:highlight w:val="yellow"/>
              </w:rPr>
            </w:pPr>
            <w:r w:rsidRPr="006E265A">
              <w:rPr>
                <w:sz w:val="18"/>
              </w:rPr>
              <w:t>551391</w:t>
            </w:r>
          </w:p>
        </w:tc>
        <w:tc>
          <w:tcPr>
            <w:tcW w:w="756"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43642AEB" w14:textId="77777777" w:rsidR="00920B68" w:rsidRPr="00634E4C" w:rsidRDefault="00920B68" w:rsidP="00920B68">
            <w:pPr>
              <w:spacing w:line="259" w:lineRule="auto"/>
              <w:ind w:left="57"/>
              <w:jc w:val="center"/>
              <w:rPr>
                <w:sz w:val="18"/>
              </w:rPr>
            </w:pPr>
            <w:r w:rsidRPr="006E265A">
              <w:rPr>
                <w:sz w:val="18"/>
              </w:rPr>
              <w:t>507468</w:t>
            </w:r>
          </w:p>
        </w:tc>
        <w:tc>
          <w:tcPr>
            <w:tcW w:w="756"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74CF5E39" w14:textId="77777777" w:rsidR="00920B68" w:rsidRPr="00634E4C" w:rsidRDefault="00920B68" w:rsidP="00920B68">
            <w:pPr>
              <w:spacing w:line="259" w:lineRule="auto"/>
              <w:ind w:left="59"/>
              <w:jc w:val="center"/>
              <w:rPr>
                <w:sz w:val="18"/>
              </w:rPr>
            </w:pPr>
            <w:r w:rsidRPr="006E265A">
              <w:rPr>
                <w:sz w:val="18"/>
              </w:rPr>
              <w:t>457923</w:t>
            </w:r>
          </w:p>
        </w:tc>
        <w:tc>
          <w:tcPr>
            <w:tcW w:w="756"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525E9D47" w14:textId="77777777" w:rsidR="00920B68" w:rsidRPr="006E265A" w:rsidRDefault="00920B68" w:rsidP="00920B68">
            <w:pPr>
              <w:spacing w:line="259" w:lineRule="auto"/>
              <w:ind w:left="58"/>
              <w:jc w:val="center"/>
              <w:rPr>
                <w:sz w:val="18"/>
              </w:rPr>
            </w:pPr>
            <w:r w:rsidRPr="006E265A">
              <w:rPr>
                <w:sz w:val="18"/>
              </w:rPr>
              <w:t>434539</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12C48E47" w14:textId="77777777" w:rsidR="00920B68" w:rsidRPr="00364545" w:rsidRDefault="00920B68" w:rsidP="00920B68">
            <w:pPr>
              <w:spacing w:line="259" w:lineRule="auto"/>
              <w:ind w:left="58"/>
              <w:jc w:val="center"/>
            </w:pPr>
            <w:r w:rsidRPr="00364545">
              <w:rPr>
                <w:sz w:val="18"/>
              </w:rPr>
              <w:t>398676</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1992F956" w14:textId="77777777" w:rsidR="00920B68" w:rsidRPr="00364545" w:rsidRDefault="00920B68" w:rsidP="00920B68">
            <w:pPr>
              <w:spacing w:line="259" w:lineRule="auto"/>
              <w:ind w:left="59"/>
              <w:jc w:val="center"/>
            </w:pPr>
            <w:r w:rsidRPr="00364545">
              <w:rPr>
                <w:sz w:val="18"/>
              </w:rPr>
              <w:t>392095</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36740CEB" w14:textId="77777777" w:rsidR="00920B68" w:rsidRPr="00364545" w:rsidRDefault="00920B68" w:rsidP="00920B68">
            <w:pPr>
              <w:spacing w:line="259" w:lineRule="auto"/>
              <w:ind w:left="58"/>
              <w:jc w:val="center"/>
            </w:pPr>
            <w:r w:rsidRPr="00364545">
              <w:rPr>
                <w:sz w:val="18"/>
              </w:rPr>
              <w:t>367049</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1D206173" w14:textId="77777777" w:rsidR="00920B68" w:rsidRPr="00364545" w:rsidRDefault="00920B68" w:rsidP="00920B68">
            <w:pPr>
              <w:spacing w:line="259" w:lineRule="auto"/>
              <w:ind w:left="59"/>
              <w:jc w:val="center"/>
            </w:pPr>
            <w:r w:rsidRPr="00364545">
              <w:rPr>
                <w:sz w:val="18"/>
              </w:rPr>
              <w:t>354446</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7E473697" w14:textId="77777777" w:rsidR="00920B68" w:rsidRPr="00364545" w:rsidRDefault="00920B68" w:rsidP="00920B68">
            <w:pPr>
              <w:spacing w:line="259" w:lineRule="auto"/>
              <w:ind w:left="59"/>
              <w:jc w:val="center"/>
              <w:rPr>
                <w:sz w:val="18"/>
              </w:rPr>
            </w:pPr>
            <w:r w:rsidRPr="00364545">
              <w:rPr>
                <w:sz w:val="18"/>
              </w:rPr>
              <w:t>329653</w:t>
            </w:r>
          </w:p>
        </w:tc>
      </w:tr>
      <w:tr w:rsidR="00920B68" w:rsidRPr="00364545" w14:paraId="3656CE5C" w14:textId="77777777" w:rsidTr="00920B68">
        <w:trPr>
          <w:trHeight w:val="459"/>
        </w:trPr>
        <w:tc>
          <w:tcPr>
            <w:tcW w:w="884" w:type="dxa"/>
            <w:tcBorders>
              <w:top w:val="single" w:sz="2" w:space="0" w:color="6D2A78"/>
              <w:left w:val="single" w:sz="2" w:space="0" w:color="6D2A78"/>
              <w:bottom w:val="single" w:sz="2" w:space="0" w:color="6D2A78"/>
              <w:right w:val="single" w:sz="2" w:space="0" w:color="6D2A78"/>
            </w:tcBorders>
            <w:vAlign w:val="center"/>
          </w:tcPr>
          <w:p w14:paraId="42D65DD2" w14:textId="77777777" w:rsidR="00920B68" w:rsidRPr="00364545" w:rsidRDefault="00920B68" w:rsidP="00920B68">
            <w:pPr>
              <w:spacing w:line="259" w:lineRule="auto"/>
              <w:ind w:left="144"/>
            </w:pPr>
            <w:r w:rsidRPr="00364545">
              <w:rPr>
                <w:sz w:val="18"/>
              </w:rPr>
              <w:t>All (</w:t>
            </w:r>
            <w:r>
              <w:rPr>
                <w:sz w:val="18"/>
              </w:rPr>
              <w:t>including</w:t>
            </w:r>
            <w:r w:rsidRPr="00364545">
              <w:rPr>
                <w:sz w:val="18"/>
              </w:rPr>
              <w:t xml:space="preserve"> LULUCF) </w:t>
            </w:r>
          </w:p>
        </w:tc>
        <w:tc>
          <w:tcPr>
            <w:tcW w:w="756" w:type="dxa"/>
            <w:tcBorders>
              <w:top w:val="single" w:sz="2" w:space="0" w:color="6D2A78"/>
              <w:left w:val="single" w:sz="2" w:space="0" w:color="6D2A78"/>
              <w:bottom w:val="single" w:sz="2" w:space="0" w:color="6D2A78"/>
              <w:right w:val="single" w:sz="2" w:space="0" w:color="6D2A78"/>
            </w:tcBorders>
            <w:vAlign w:val="center"/>
          </w:tcPr>
          <w:p w14:paraId="34DA1CDA" w14:textId="77777777" w:rsidR="00920B68" w:rsidRPr="00634E4C" w:rsidRDefault="00920B68" w:rsidP="00920B68">
            <w:pPr>
              <w:spacing w:line="259" w:lineRule="auto"/>
              <w:ind w:left="59"/>
              <w:jc w:val="center"/>
              <w:rPr>
                <w:sz w:val="18"/>
              </w:rPr>
            </w:pPr>
            <w:r w:rsidRPr="006E265A">
              <w:rPr>
                <w:sz w:val="18"/>
              </w:rPr>
              <w:t>520100</w:t>
            </w:r>
          </w:p>
        </w:tc>
        <w:tc>
          <w:tcPr>
            <w:tcW w:w="756" w:type="dxa"/>
            <w:tcBorders>
              <w:top w:val="single" w:sz="2" w:space="0" w:color="6D2A78"/>
              <w:left w:val="single" w:sz="2" w:space="0" w:color="6D2A78"/>
              <w:bottom w:val="single" w:sz="2" w:space="0" w:color="6D2A78"/>
              <w:right w:val="single" w:sz="2" w:space="0" w:color="6D2A78"/>
            </w:tcBorders>
            <w:vAlign w:val="center"/>
          </w:tcPr>
          <w:p w14:paraId="2E91AFB0" w14:textId="77777777" w:rsidR="00920B68" w:rsidRPr="006E265A" w:rsidRDefault="00920B68" w:rsidP="00920B68">
            <w:pPr>
              <w:spacing w:line="259" w:lineRule="auto"/>
              <w:ind w:left="58"/>
              <w:jc w:val="center"/>
              <w:rPr>
                <w:sz w:val="18"/>
              </w:rPr>
            </w:pPr>
            <w:r w:rsidRPr="006E265A">
              <w:rPr>
                <w:sz w:val="18"/>
              </w:rPr>
              <w:t>511596</w:t>
            </w:r>
          </w:p>
        </w:tc>
        <w:tc>
          <w:tcPr>
            <w:tcW w:w="756" w:type="dxa"/>
            <w:tcBorders>
              <w:top w:val="single" w:sz="2" w:space="0" w:color="6D2A78"/>
              <w:left w:val="single" w:sz="2" w:space="0" w:color="6D2A78"/>
              <w:bottom w:val="single" w:sz="2" w:space="0" w:color="6D2A78"/>
              <w:right w:val="single" w:sz="2" w:space="0" w:color="6D2A78"/>
            </w:tcBorders>
            <w:vAlign w:val="center"/>
          </w:tcPr>
          <w:p w14:paraId="260DBA45" w14:textId="77777777" w:rsidR="00920B68" w:rsidRPr="00634E4C" w:rsidRDefault="00920B68" w:rsidP="00920B68">
            <w:pPr>
              <w:spacing w:line="259" w:lineRule="auto"/>
              <w:ind w:left="58"/>
              <w:jc w:val="center"/>
              <w:rPr>
                <w:sz w:val="18"/>
              </w:rPr>
            </w:pPr>
            <w:r w:rsidRPr="006E265A">
              <w:rPr>
                <w:sz w:val="18"/>
              </w:rPr>
              <w:t>529295</w:t>
            </w:r>
          </w:p>
        </w:tc>
        <w:tc>
          <w:tcPr>
            <w:tcW w:w="756" w:type="dxa"/>
            <w:tcBorders>
              <w:top w:val="single" w:sz="2" w:space="0" w:color="6D2A78"/>
              <w:left w:val="single" w:sz="2" w:space="0" w:color="6D2A78"/>
              <w:bottom w:val="single" w:sz="2" w:space="0" w:color="6D2A78"/>
              <w:right w:val="single" w:sz="2" w:space="0" w:color="6D2A78"/>
            </w:tcBorders>
            <w:vAlign w:val="center"/>
          </w:tcPr>
          <w:p w14:paraId="77AFBFE8" w14:textId="77777777" w:rsidR="00920B68" w:rsidRPr="00634E4C" w:rsidRDefault="00920B68" w:rsidP="00920B68">
            <w:pPr>
              <w:spacing w:line="259" w:lineRule="auto"/>
              <w:ind w:left="59"/>
              <w:jc w:val="center"/>
              <w:rPr>
                <w:sz w:val="18"/>
                <w:highlight w:val="yellow"/>
              </w:rPr>
            </w:pPr>
            <w:r w:rsidRPr="006E265A">
              <w:rPr>
                <w:sz w:val="18"/>
              </w:rPr>
              <w:t>504079</w:t>
            </w:r>
          </w:p>
        </w:tc>
        <w:tc>
          <w:tcPr>
            <w:tcW w:w="756" w:type="dxa"/>
            <w:tcBorders>
              <w:top w:val="single" w:sz="2" w:space="0" w:color="6D2A78"/>
              <w:left w:val="single" w:sz="2" w:space="0" w:color="6D2A78"/>
              <w:bottom w:val="single" w:sz="2" w:space="0" w:color="6D2A78"/>
              <w:right w:val="single" w:sz="2" w:space="0" w:color="6D2A78"/>
            </w:tcBorders>
            <w:vAlign w:val="center"/>
          </w:tcPr>
          <w:p w14:paraId="2C621521" w14:textId="77777777" w:rsidR="00920B68" w:rsidRPr="00634E4C" w:rsidRDefault="00920B68" w:rsidP="00920B68">
            <w:pPr>
              <w:spacing w:line="259" w:lineRule="auto"/>
              <w:ind w:left="57"/>
              <w:jc w:val="center"/>
              <w:rPr>
                <w:sz w:val="18"/>
              </w:rPr>
            </w:pPr>
            <w:r w:rsidRPr="006E265A">
              <w:rPr>
                <w:sz w:val="18"/>
              </w:rPr>
              <w:t>469112</w:t>
            </w:r>
          </w:p>
        </w:tc>
        <w:tc>
          <w:tcPr>
            <w:tcW w:w="756" w:type="dxa"/>
            <w:tcBorders>
              <w:top w:val="single" w:sz="2" w:space="0" w:color="6D2A78"/>
              <w:left w:val="single" w:sz="2" w:space="0" w:color="6D2A78"/>
              <w:bottom w:val="single" w:sz="2" w:space="0" w:color="6D2A78"/>
              <w:right w:val="single" w:sz="2" w:space="0" w:color="6D2A78"/>
            </w:tcBorders>
            <w:vAlign w:val="center"/>
          </w:tcPr>
          <w:p w14:paraId="49D1518E" w14:textId="77777777" w:rsidR="00920B68" w:rsidRPr="00634E4C" w:rsidRDefault="00920B68" w:rsidP="00920B68">
            <w:pPr>
              <w:spacing w:line="259" w:lineRule="auto"/>
              <w:ind w:left="59"/>
              <w:jc w:val="center"/>
              <w:rPr>
                <w:sz w:val="18"/>
              </w:rPr>
            </w:pPr>
            <w:r w:rsidRPr="006E265A">
              <w:rPr>
                <w:sz w:val="18"/>
              </w:rPr>
              <w:t>423346</w:t>
            </w:r>
          </w:p>
        </w:tc>
        <w:tc>
          <w:tcPr>
            <w:tcW w:w="756" w:type="dxa"/>
            <w:tcBorders>
              <w:top w:val="single" w:sz="2" w:space="0" w:color="6D2A78"/>
              <w:left w:val="single" w:sz="2" w:space="0" w:color="6D2A78"/>
              <w:bottom w:val="single" w:sz="2" w:space="0" w:color="6D2A78"/>
              <w:right w:val="single" w:sz="2" w:space="0" w:color="6D2A78"/>
            </w:tcBorders>
            <w:vAlign w:val="center"/>
          </w:tcPr>
          <w:p w14:paraId="7E3281C2" w14:textId="77777777" w:rsidR="00920B68" w:rsidRPr="006E265A" w:rsidRDefault="00920B68" w:rsidP="00920B68">
            <w:pPr>
              <w:spacing w:line="259" w:lineRule="auto"/>
              <w:ind w:left="57"/>
              <w:jc w:val="center"/>
              <w:rPr>
                <w:sz w:val="18"/>
              </w:rPr>
            </w:pPr>
            <w:r w:rsidRPr="006E265A">
              <w:rPr>
                <w:sz w:val="18"/>
              </w:rPr>
              <w:t>422251</w:t>
            </w:r>
          </w:p>
        </w:tc>
        <w:tc>
          <w:tcPr>
            <w:tcW w:w="753" w:type="dxa"/>
            <w:tcBorders>
              <w:top w:val="single" w:sz="2" w:space="0" w:color="6D2A78"/>
              <w:left w:val="single" w:sz="2" w:space="0" w:color="6D2A78"/>
              <w:bottom w:val="single" w:sz="2" w:space="0" w:color="6D2A78"/>
              <w:right w:val="single" w:sz="2" w:space="0" w:color="6D2A78"/>
            </w:tcBorders>
            <w:vAlign w:val="center"/>
          </w:tcPr>
          <w:p w14:paraId="72A8F31F" w14:textId="77777777" w:rsidR="00920B68" w:rsidRPr="00364545" w:rsidRDefault="00920B68" w:rsidP="00920B68">
            <w:pPr>
              <w:spacing w:line="259" w:lineRule="auto"/>
              <w:ind w:left="57"/>
              <w:jc w:val="center"/>
            </w:pPr>
            <w:r w:rsidRPr="00364545">
              <w:rPr>
                <w:sz w:val="18"/>
              </w:rPr>
              <w:t>365838</w:t>
            </w:r>
          </w:p>
        </w:tc>
        <w:tc>
          <w:tcPr>
            <w:tcW w:w="753" w:type="dxa"/>
            <w:tcBorders>
              <w:top w:val="single" w:sz="2" w:space="0" w:color="6D2A78"/>
              <w:left w:val="single" w:sz="2" w:space="0" w:color="6D2A78"/>
              <w:bottom w:val="single" w:sz="2" w:space="0" w:color="6D2A78"/>
              <w:right w:val="single" w:sz="2" w:space="0" w:color="6D2A78"/>
            </w:tcBorders>
            <w:vAlign w:val="center"/>
          </w:tcPr>
          <w:p w14:paraId="5683F202" w14:textId="77777777" w:rsidR="00920B68" w:rsidRPr="00364545" w:rsidRDefault="00920B68" w:rsidP="00920B68">
            <w:pPr>
              <w:spacing w:line="259" w:lineRule="auto"/>
              <w:ind w:left="58"/>
              <w:jc w:val="center"/>
            </w:pPr>
            <w:r w:rsidRPr="00364545">
              <w:rPr>
                <w:sz w:val="18"/>
              </w:rPr>
              <w:t>363349</w:t>
            </w:r>
          </w:p>
        </w:tc>
        <w:tc>
          <w:tcPr>
            <w:tcW w:w="753" w:type="dxa"/>
            <w:tcBorders>
              <w:top w:val="single" w:sz="2" w:space="0" w:color="6D2A78"/>
              <w:left w:val="single" w:sz="2" w:space="0" w:color="6D2A78"/>
              <w:bottom w:val="single" w:sz="2" w:space="0" w:color="6D2A78"/>
              <w:right w:val="single" w:sz="2" w:space="0" w:color="6D2A78"/>
            </w:tcBorders>
            <w:vAlign w:val="center"/>
          </w:tcPr>
          <w:p w14:paraId="1EE81969" w14:textId="77777777" w:rsidR="00920B68" w:rsidRPr="00364545" w:rsidRDefault="00920B68" w:rsidP="00920B68">
            <w:pPr>
              <w:spacing w:line="259" w:lineRule="auto"/>
              <w:ind w:left="58"/>
              <w:jc w:val="center"/>
            </w:pPr>
            <w:r w:rsidRPr="00364545">
              <w:rPr>
                <w:sz w:val="18"/>
              </w:rPr>
              <w:t>340618</w:t>
            </w:r>
          </w:p>
        </w:tc>
        <w:tc>
          <w:tcPr>
            <w:tcW w:w="753" w:type="dxa"/>
            <w:tcBorders>
              <w:top w:val="single" w:sz="2" w:space="0" w:color="6D2A78"/>
              <w:left w:val="single" w:sz="2" w:space="0" w:color="6D2A78"/>
              <w:bottom w:val="single" w:sz="2" w:space="0" w:color="6D2A78"/>
              <w:right w:val="single" w:sz="2" w:space="0" w:color="6D2A78"/>
            </w:tcBorders>
            <w:vAlign w:val="center"/>
          </w:tcPr>
          <w:p w14:paraId="49238D16" w14:textId="77777777" w:rsidR="00920B68" w:rsidRPr="00364545" w:rsidRDefault="00920B68" w:rsidP="00920B68">
            <w:pPr>
              <w:keepNext/>
              <w:spacing w:line="259" w:lineRule="auto"/>
              <w:ind w:left="63"/>
              <w:jc w:val="center"/>
            </w:pPr>
            <w:r w:rsidRPr="00364545">
              <w:rPr>
                <w:sz w:val="18"/>
              </w:rPr>
              <w:t>332886</w:t>
            </w:r>
          </w:p>
        </w:tc>
        <w:tc>
          <w:tcPr>
            <w:tcW w:w="753" w:type="dxa"/>
            <w:tcBorders>
              <w:top w:val="single" w:sz="2" w:space="0" w:color="6D2A78"/>
              <w:left w:val="single" w:sz="2" w:space="0" w:color="6D2A78"/>
              <w:bottom w:val="single" w:sz="2" w:space="0" w:color="6D2A78"/>
              <w:right w:val="single" w:sz="2" w:space="0" w:color="6D2A78"/>
            </w:tcBorders>
            <w:vAlign w:val="center"/>
          </w:tcPr>
          <w:p w14:paraId="73E86AD1" w14:textId="77777777" w:rsidR="00920B68" w:rsidRPr="00364545" w:rsidRDefault="00920B68" w:rsidP="00920B68">
            <w:pPr>
              <w:keepNext/>
              <w:spacing w:line="259" w:lineRule="auto"/>
              <w:ind w:left="63"/>
              <w:jc w:val="center"/>
              <w:rPr>
                <w:sz w:val="18"/>
              </w:rPr>
            </w:pPr>
            <w:r w:rsidRPr="00364545">
              <w:rPr>
                <w:sz w:val="18"/>
              </w:rPr>
              <w:t>317026</w:t>
            </w:r>
          </w:p>
        </w:tc>
      </w:tr>
    </w:tbl>
    <w:p w14:paraId="3B3771C5" w14:textId="77777777" w:rsidR="00920B68" w:rsidRPr="00364545" w:rsidRDefault="00920B68" w:rsidP="00920B68">
      <w:pPr>
        <w:spacing w:before="240" w:after="240"/>
      </w:pPr>
    </w:p>
    <w:p w14:paraId="59145DF1" w14:textId="77777777" w:rsidR="00920B68" w:rsidRPr="00364545" w:rsidRDefault="00920B68" w:rsidP="00920B68">
      <w:pPr>
        <w:pStyle w:val="Caption"/>
      </w:pPr>
      <w:bookmarkStart w:id="113" w:name="_Toc123916502"/>
      <w:r w:rsidRPr="00364545">
        <w:t xml:space="preserve">Table </w:t>
      </w:r>
      <w:fldSimple w:instr=" SEQ Tableau \* ARABIC ">
        <w:r w:rsidRPr="00364545">
          <w:rPr>
            <w:noProof/>
          </w:rPr>
          <w:t>10</w:t>
        </w:r>
      </w:fldSimple>
      <w:r w:rsidRPr="00364545">
        <w:t>: GHG emission projections (in ktCO2e) for the Kyoto scope in the AME21 scenario (with existing measures)</w:t>
      </w:r>
      <w:bookmarkEnd w:id="113"/>
    </w:p>
    <w:p w14:paraId="1FA5F939" w14:textId="0C8B2094" w:rsidR="00920B68" w:rsidRPr="005B54EE" w:rsidRDefault="00920B68" w:rsidP="00C50CEB">
      <w:pPr>
        <w:pStyle w:val="Caption"/>
      </w:pPr>
      <w:r w:rsidRPr="00364545">
        <w:t>Source: UNFCCC inventory, Citepa/MTE, 202</w:t>
      </w:r>
      <w:r>
        <w:t>2</w:t>
      </w:r>
      <w:r w:rsidRPr="00364545">
        <w:t xml:space="preserve"> submission and MTE emission projections, 2021</w:t>
      </w:r>
    </w:p>
    <w:p w14:paraId="71E8727F" w14:textId="2D39F02E" w:rsidR="00F24A36" w:rsidRPr="005B54EE" w:rsidRDefault="00F24A36" w:rsidP="00F24A36">
      <w:pPr>
        <w:spacing w:before="240" w:after="240"/>
      </w:pPr>
      <w:r w:rsidRPr="005B54EE">
        <w:t>In AME 2021, emissions fell sharply in 2020 due to the impact of the Covid-19 pandemic. The significant rebound expected in 2021–2022 is not visible in the outputs due to the 5-year time step of the modelling. Thereafter, the emissions trend is similar to that of the 2018 AME with a lag of about -50</w:t>
      </w:r>
      <w:r w:rsidRPr="005B54EE">
        <w:rPr>
          <w:rFonts w:ascii="Calibri" w:hAnsi="Calibri"/>
        </w:rPr>
        <w:t> </w:t>
      </w:r>
      <w:r w:rsidRPr="005B54EE">
        <w:t>MtCO</w:t>
      </w:r>
      <w:r w:rsidRPr="005B54EE">
        <w:rPr>
          <w:vertAlign w:val="subscript"/>
        </w:rPr>
        <w:t>2</w:t>
      </w:r>
      <w:r w:rsidRPr="005B54EE">
        <w:rPr>
          <w:sz w:val="18"/>
          <w:vertAlign w:val="subscript"/>
        </w:rPr>
        <w:t>eq</w:t>
      </w:r>
      <w:r w:rsidRPr="005B54EE">
        <w:t>. This brings the trajectory closer to AMS 2018, but does not reach it. On the other hand, the rate of emission decline in the post-2030 period remains very low compared to what is expected in AMS.</w:t>
      </w:r>
    </w:p>
    <w:p w14:paraId="7D7D6719" w14:textId="343B966B" w:rsidR="00F24A36" w:rsidRPr="005B54EE" w:rsidRDefault="00F24A36" w:rsidP="00F24A36">
      <w:pPr>
        <w:spacing w:before="240" w:after="240"/>
      </w:pPr>
      <w:r w:rsidRPr="005B54EE">
        <w:t>More specifically, it is difficult, with the tools used, to assess exactly the respective role of the policies and measures adopted since 2018, and that of the updating of the scoping assumptions and methodological changes, on this -50 MtCO</w:t>
      </w:r>
      <w:r w:rsidRPr="005B54EE">
        <w:rPr>
          <w:vertAlign w:val="subscript"/>
        </w:rPr>
        <w:t>2eq</w:t>
      </w:r>
      <w:r w:rsidRPr="005B54EE">
        <w:t xml:space="preserve"> gap. However, it can be estimated approximately:</w:t>
      </w:r>
    </w:p>
    <w:p w14:paraId="4EE918C0" w14:textId="77777777" w:rsidR="00F24A36" w:rsidRPr="005B54EE" w:rsidRDefault="00F24A36" w:rsidP="00F24A36">
      <w:pPr>
        <w:pStyle w:val="Standard"/>
        <w:jc w:val="both"/>
        <w:rPr>
          <w:rFonts w:ascii="Times New Roman" w:hAnsi="Times New Roman"/>
          <w:sz w:val="22"/>
          <w:szCs w:val="22"/>
        </w:rPr>
      </w:pPr>
    </w:p>
    <w:p w14:paraId="5F676287" w14:textId="77777777" w:rsidR="00F24A36" w:rsidRPr="005B54EE" w:rsidRDefault="00F24A36" w:rsidP="00F24A36">
      <w:pPr>
        <w:pStyle w:val="Standard"/>
        <w:jc w:val="both"/>
        <w:rPr>
          <w:rFonts w:ascii="Times New Roman" w:hAnsi="Times New Roman"/>
          <w:sz w:val="22"/>
          <w:szCs w:val="22"/>
        </w:rPr>
      </w:pPr>
      <w:r w:rsidRPr="005B54EE">
        <w:rPr>
          <w:noProof/>
          <w:lang w:val="fr-FR" w:eastAsia="fr-FR" w:bidi="ar-SA"/>
        </w:rPr>
        <w:drawing>
          <wp:inline distT="0" distB="0" distL="0" distR="0" wp14:anchorId="4C770162" wp14:editId="0C7CDF8D">
            <wp:extent cx="6120130" cy="3748349"/>
            <wp:effectExtent l="0" t="0" r="0" b="5080"/>
            <wp:docPr id="28696" name="Image 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3748349"/>
                    </a:xfrm>
                    <a:prstGeom prst="rect">
                      <a:avLst/>
                    </a:prstGeom>
                  </pic:spPr>
                </pic:pic>
              </a:graphicData>
            </a:graphic>
          </wp:inline>
        </w:drawing>
      </w:r>
    </w:p>
    <w:p w14:paraId="1C3BBAA6" w14:textId="63B21A4D" w:rsidR="00F24A36" w:rsidRPr="005B54EE" w:rsidRDefault="00F24A36" w:rsidP="00F24A36">
      <w:pPr>
        <w:pStyle w:val="Caption"/>
      </w:pPr>
      <w:bookmarkStart w:id="114" w:name="_Toc122694393"/>
      <w:bookmarkStart w:id="115" w:name="_Toc124153767"/>
      <w:r w:rsidRPr="005B54EE">
        <w:t xml:space="preserve">Figure </w:t>
      </w:r>
      <w:r w:rsidR="00C73940">
        <w:fldChar w:fldCharType="begin"/>
      </w:r>
      <w:r w:rsidR="00C73940">
        <w:instrText xml:space="preserve"> SEQ Figure \* ARABIC </w:instrText>
      </w:r>
      <w:r w:rsidR="00C73940">
        <w:fldChar w:fldCharType="separate"/>
      </w:r>
      <w:r w:rsidR="003402E2">
        <w:rPr>
          <w:noProof/>
        </w:rPr>
        <w:t>13</w:t>
      </w:r>
      <w:r w:rsidR="00C73940">
        <w:rPr>
          <w:noProof/>
        </w:rPr>
        <w:fldChar w:fldCharType="end"/>
      </w:r>
      <w:r w:rsidRPr="005B54EE">
        <w:t>: Comparison of emissions in 2030 between AME 2021 and AMS 2018 and the effect of different factors</w:t>
      </w:r>
      <w:bookmarkEnd w:id="114"/>
      <w:bookmarkEnd w:id="115"/>
    </w:p>
    <w:p w14:paraId="3A743178" w14:textId="77777777" w:rsidR="00F24A36" w:rsidRPr="005B54EE" w:rsidRDefault="00F24A36" w:rsidP="00F24A36">
      <w:pPr>
        <w:pStyle w:val="Caption"/>
      </w:pPr>
      <w:r w:rsidRPr="005B54EE">
        <w:t>Source: MTE-DGEC</w:t>
      </w:r>
    </w:p>
    <w:p w14:paraId="169AA728" w14:textId="77777777" w:rsidR="00F24A36" w:rsidRPr="005B54EE" w:rsidRDefault="00F24A36" w:rsidP="00F24A36">
      <w:pPr>
        <w:pStyle w:val="Standard"/>
        <w:jc w:val="both"/>
        <w:rPr>
          <w:rFonts w:ascii="Times New Roman" w:hAnsi="Times New Roman"/>
          <w:sz w:val="22"/>
          <w:szCs w:val="22"/>
        </w:rPr>
      </w:pPr>
      <w:r w:rsidRPr="005B54EE">
        <w:rPr>
          <w:noProof/>
          <w:lang w:val="fr-FR" w:eastAsia="fr-FR" w:bidi="ar-SA"/>
        </w:rPr>
        <w:drawing>
          <wp:inline distT="0" distB="0" distL="0" distR="0" wp14:anchorId="2D98DA9F" wp14:editId="5C07DAA7">
            <wp:extent cx="6120130" cy="3779718"/>
            <wp:effectExtent l="0" t="0" r="0" b="0"/>
            <wp:docPr id="28697" name="Image 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3779718"/>
                    </a:xfrm>
                    <a:prstGeom prst="rect">
                      <a:avLst/>
                    </a:prstGeom>
                  </pic:spPr>
                </pic:pic>
              </a:graphicData>
            </a:graphic>
          </wp:inline>
        </w:drawing>
      </w:r>
    </w:p>
    <w:p w14:paraId="460B65D9" w14:textId="42A7E21A" w:rsidR="00F24A36" w:rsidRPr="005B54EE" w:rsidRDefault="00F24A36" w:rsidP="00F24A36">
      <w:pPr>
        <w:pStyle w:val="Caption"/>
      </w:pPr>
      <w:bookmarkStart w:id="116" w:name="_Toc122694394"/>
      <w:bookmarkStart w:id="117" w:name="_Toc124153768"/>
      <w:r w:rsidRPr="005B54EE">
        <w:t xml:space="preserve">Figure </w:t>
      </w:r>
      <w:r w:rsidR="00C73940">
        <w:fldChar w:fldCharType="begin"/>
      </w:r>
      <w:r w:rsidR="00C73940">
        <w:instrText xml:space="preserve"> SEQ Figure \* ARABIC </w:instrText>
      </w:r>
      <w:r w:rsidR="00C73940">
        <w:fldChar w:fldCharType="separate"/>
      </w:r>
      <w:r w:rsidR="003402E2">
        <w:rPr>
          <w:noProof/>
        </w:rPr>
        <w:t>14</w:t>
      </w:r>
      <w:r w:rsidR="00C73940">
        <w:rPr>
          <w:noProof/>
        </w:rPr>
        <w:fldChar w:fldCharType="end"/>
      </w:r>
      <w:r w:rsidRPr="005B54EE">
        <w:t>: Comparison of emissions in 2050 between AME 2021 and AMS 2018 and the effect of different factors</w:t>
      </w:r>
      <w:bookmarkEnd w:id="116"/>
      <w:bookmarkEnd w:id="117"/>
    </w:p>
    <w:p w14:paraId="3E4F1823" w14:textId="77777777" w:rsidR="00F24A36" w:rsidRPr="005B54EE" w:rsidRDefault="00F24A36" w:rsidP="00F24A36">
      <w:pPr>
        <w:pStyle w:val="Caption"/>
      </w:pPr>
      <w:r w:rsidRPr="005B54EE">
        <w:t>Source: MTE-DGEC</w:t>
      </w:r>
    </w:p>
    <w:p w14:paraId="7B5DDC8A" w14:textId="77777777" w:rsidR="00F24A36" w:rsidRPr="005B54EE" w:rsidRDefault="00F24A36" w:rsidP="00F24A36">
      <w:pPr>
        <w:pStyle w:val="Standard"/>
        <w:jc w:val="both"/>
        <w:rPr>
          <w:rFonts w:ascii="Times New Roman" w:hAnsi="Times New Roman"/>
          <w:sz w:val="22"/>
          <w:szCs w:val="22"/>
        </w:rPr>
      </w:pPr>
    </w:p>
    <w:tbl>
      <w:tblPr>
        <w:tblStyle w:val="GridTable5Dark-Accent4"/>
        <w:tblW w:w="0" w:type="auto"/>
        <w:tblLook w:val="04A0" w:firstRow="1" w:lastRow="0" w:firstColumn="1" w:lastColumn="0" w:noHBand="0" w:noVBand="1"/>
      </w:tblPr>
      <w:tblGrid>
        <w:gridCol w:w="2213"/>
        <w:gridCol w:w="3736"/>
        <w:gridCol w:w="1860"/>
        <w:gridCol w:w="1819"/>
      </w:tblGrid>
      <w:tr w:rsidR="00F24A36" w:rsidRPr="005B54EE" w14:paraId="0D64C1E8" w14:textId="77777777" w:rsidTr="00635A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3" w:type="dxa"/>
          </w:tcPr>
          <w:p w14:paraId="5AE29490" w14:textId="77777777" w:rsidR="00F24A36" w:rsidRPr="005B54EE" w:rsidRDefault="00F24A36" w:rsidP="00635A2E">
            <w:pPr>
              <w:rPr>
                <w:b w:val="0"/>
              </w:rPr>
            </w:pPr>
            <w:r w:rsidRPr="005B54EE">
              <w:t>Category</w:t>
            </w:r>
          </w:p>
        </w:tc>
        <w:tc>
          <w:tcPr>
            <w:tcW w:w="3736" w:type="dxa"/>
          </w:tcPr>
          <w:p w14:paraId="416A5106" w14:textId="77777777" w:rsidR="00F24A36" w:rsidRPr="005B54EE" w:rsidRDefault="00F24A36" w:rsidP="00635A2E">
            <w:pPr>
              <w:cnfStyle w:val="100000000000" w:firstRow="1" w:lastRow="0" w:firstColumn="0" w:lastColumn="0" w:oddVBand="0" w:evenVBand="0" w:oddHBand="0" w:evenHBand="0" w:firstRowFirstColumn="0" w:firstRowLastColumn="0" w:lastRowFirstColumn="0" w:lastRowLastColumn="0"/>
              <w:rPr>
                <w:b w:val="0"/>
              </w:rPr>
            </w:pPr>
            <w:r w:rsidRPr="005B54EE">
              <w:t>Determinant</w:t>
            </w:r>
          </w:p>
        </w:tc>
        <w:tc>
          <w:tcPr>
            <w:tcW w:w="1860" w:type="dxa"/>
          </w:tcPr>
          <w:p w14:paraId="26B31E8F" w14:textId="2793C4FB" w:rsidR="00F24A36" w:rsidRPr="005B54EE" w:rsidRDefault="00F24A36" w:rsidP="00635A2E">
            <w:pPr>
              <w:cnfStyle w:val="100000000000" w:firstRow="1" w:lastRow="0" w:firstColumn="0" w:lastColumn="0" w:oddVBand="0" w:evenVBand="0" w:oddHBand="0" w:evenHBand="0" w:firstRowFirstColumn="0" w:firstRowLastColumn="0" w:lastRowFirstColumn="0" w:lastRowLastColumn="0"/>
              <w:rPr>
                <w:b w:val="0"/>
              </w:rPr>
            </w:pPr>
            <w:r w:rsidRPr="005B54EE">
              <w:t>Approximate impact to 2030 (MtCO</w:t>
            </w:r>
            <w:r w:rsidRPr="005B54EE">
              <w:rPr>
                <w:vertAlign w:val="subscript"/>
              </w:rPr>
              <w:t>2eq</w:t>
            </w:r>
            <w:r w:rsidRPr="005B54EE">
              <w:t>)</w:t>
            </w:r>
          </w:p>
        </w:tc>
        <w:tc>
          <w:tcPr>
            <w:tcW w:w="1819" w:type="dxa"/>
          </w:tcPr>
          <w:p w14:paraId="40A82373" w14:textId="60755A79" w:rsidR="00F24A36" w:rsidRPr="005B54EE" w:rsidRDefault="00F24A36" w:rsidP="00635A2E">
            <w:pPr>
              <w:cnfStyle w:val="100000000000" w:firstRow="1" w:lastRow="0" w:firstColumn="0" w:lastColumn="0" w:oddVBand="0" w:evenVBand="0" w:oddHBand="0" w:evenHBand="0" w:firstRowFirstColumn="0" w:firstRowLastColumn="0" w:lastRowFirstColumn="0" w:lastRowLastColumn="0"/>
              <w:rPr>
                <w:b w:val="0"/>
              </w:rPr>
            </w:pPr>
            <w:r w:rsidRPr="005B54EE">
              <w:t>Approximate impact to 2050 (MtCO</w:t>
            </w:r>
            <w:r w:rsidRPr="005B54EE">
              <w:rPr>
                <w:vertAlign w:val="subscript"/>
              </w:rPr>
              <w:t>2eq</w:t>
            </w:r>
            <w:r w:rsidRPr="005B54EE">
              <w:t>)</w:t>
            </w:r>
          </w:p>
        </w:tc>
      </w:tr>
      <w:tr w:rsidR="00F24A36" w:rsidRPr="005B54EE" w14:paraId="66C5BF4F"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3" w:type="dxa"/>
            <w:vMerge w:val="restart"/>
          </w:tcPr>
          <w:p w14:paraId="6D6F8D90" w14:textId="77777777" w:rsidR="00F24A36" w:rsidRPr="005B54EE" w:rsidRDefault="00F24A36" w:rsidP="00635A2E">
            <w:r w:rsidRPr="005B54EE">
              <w:t>Policies and measures</w:t>
            </w:r>
          </w:p>
        </w:tc>
        <w:tc>
          <w:tcPr>
            <w:tcW w:w="3736" w:type="dxa"/>
          </w:tcPr>
          <w:p w14:paraId="6B96B490" w14:textId="77777777" w:rsidR="00F24A36" w:rsidRPr="005B54EE" w:rsidRDefault="00F24A36" w:rsidP="00635A2E">
            <w:pPr>
              <w:cnfStyle w:val="000000100000" w:firstRow="0" w:lastRow="0" w:firstColumn="0" w:lastColumn="0" w:oddVBand="0" w:evenVBand="0" w:oddHBand="1" w:evenHBand="0" w:firstRowFirstColumn="0" w:firstRowLastColumn="0" w:lastRowFirstColumn="0" w:lastRowLastColumn="0"/>
            </w:pPr>
            <w:r w:rsidRPr="005B54EE">
              <w:t xml:space="preserve">Closure of coal-fired power plants </w:t>
            </w:r>
          </w:p>
        </w:tc>
        <w:tc>
          <w:tcPr>
            <w:tcW w:w="1860" w:type="dxa"/>
          </w:tcPr>
          <w:p w14:paraId="0F99DDD8"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-4.0</w:t>
            </w:r>
          </w:p>
        </w:tc>
        <w:tc>
          <w:tcPr>
            <w:tcW w:w="1819" w:type="dxa"/>
          </w:tcPr>
          <w:p w14:paraId="1CE05FBE"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-4</w:t>
            </w:r>
          </w:p>
        </w:tc>
      </w:tr>
      <w:tr w:rsidR="00F24A36" w:rsidRPr="005B54EE" w14:paraId="248A93C4" w14:textId="77777777" w:rsidTr="00635A2E">
        <w:tc>
          <w:tcPr>
            <w:cnfStyle w:val="001000000000" w:firstRow="0" w:lastRow="0" w:firstColumn="1" w:lastColumn="0" w:oddVBand="0" w:evenVBand="0" w:oddHBand="0" w:evenHBand="0" w:firstRowFirstColumn="0" w:firstRowLastColumn="0" w:lastRowFirstColumn="0" w:lastRowLastColumn="0"/>
            <w:tcW w:w="2213" w:type="dxa"/>
            <w:vMerge/>
          </w:tcPr>
          <w:p w14:paraId="4B4917E2" w14:textId="77777777" w:rsidR="00F24A36" w:rsidRPr="005B54EE" w:rsidRDefault="00F24A36" w:rsidP="00635A2E"/>
        </w:tc>
        <w:tc>
          <w:tcPr>
            <w:tcW w:w="3736" w:type="dxa"/>
          </w:tcPr>
          <w:p w14:paraId="4E261F4E" w14:textId="77777777" w:rsidR="00F24A36" w:rsidRPr="005B54EE" w:rsidRDefault="00F24A36" w:rsidP="00635A2E">
            <w:pPr>
              <w:cnfStyle w:val="000000000000" w:firstRow="0" w:lastRow="0" w:firstColumn="0" w:lastColumn="0" w:oddVBand="0" w:evenVBand="0" w:oddHBand="0" w:evenHBand="0" w:firstRowFirstColumn="0" w:firstRowLastColumn="0" w:lastRowFirstColumn="0" w:lastRowLastColumn="0"/>
            </w:pPr>
            <w:r w:rsidRPr="005B54EE">
              <w:t>Tertiary sector decree</w:t>
            </w:r>
          </w:p>
        </w:tc>
        <w:tc>
          <w:tcPr>
            <w:tcW w:w="1860" w:type="dxa"/>
          </w:tcPr>
          <w:p w14:paraId="278BC3E3"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-4.0</w:t>
            </w:r>
          </w:p>
        </w:tc>
        <w:tc>
          <w:tcPr>
            <w:tcW w:w="1819" w:type="dxa"/>
          </w:tcPr>
          <w:p w14:paraId="37E6990F"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-4</w:t>
            </w:r>
          </w:p>
        </w:tc>
      </w:tr>
      <w:tr w:rsidR="00F24A36" w:rsidRPr="005B54EE" w14:paraId="1AE78CAD"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3" w:type="dxa"/>
            <w:vMerge/>
          </w:tcPr>
          <w:p w14:paraId="73538C55" w14:textId="77777777" w:rsidR="00F24A36" w:rsidRPr="005B54EE" w:rsidRDefault="00F24A36" w:rsidP="00635A2E"/>
        </w:tc>
        <w:tc>
          <w:tcPr>
            <w:tcW w:w="3736" w:type="dxa"/>
          </w:tcPr>
          <w:p w14:paraId="673B99AE" w14:textId="77777777" w:rsidR="00F24A36" w:rsidRPr="005B54EE" w:rsidRDefault="00F24A36" w:rsidP="00635A2E">
            <w:pPr>
              <w:cnfStyle w:val="000000100000" w:firstRow="0" w:lastRow="0" w:firstColumn="0" w:lastColumn="0" w:oddVBand="0" w:evenVBand="0" w:oddHBand="1" w:evenHBand="0" w:firstRowFirstColumn="0" w:firstRowLastColumn="0" w:lastRowFirstColumn="0" w:lastRowLastColumn="0"/>
            </w:pPr>
            <w:r w:rsidRPr="005B54EE">
              <w:t>European vehicle regulations</w:t>
            </w:r>
          </w:p>
        </w:tc>
        <w:tc>
          <w:tcPr>
            <w:tcW w:w="1860" w:type="dxa"/>
          </w:tcPr>
          <w:p w14:paraId="74838B57"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-15.0</w:t>
            </w:r>
          </w:p>
        </w:tc>
        <w:tc>
          <w:tcPr>
            <w:tcW w:w="1819" w:type="dxa"/>
          </w:tcPr>
          <w:p w14:paraId="75856E5B"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-15</w:t>
            </w:r>
          </w:p>
        </w:tc>
      </w:tr>
      <w:tr w:rsidR="00F24A36" w:rsidRPr="005B54EE" w14:paraId="0C60FB1F" w14:textId="77777777" w:rsidTr="00635A2E">
        <w:tc>
          <w:tcPr>
            <w:cnfStyle w:val="001000000000" w:firstRow="0" w:lastRow="0" w:firstColumn="1" w:lastColumn="0" w:oddVBand="0" w:evenVBand="0" w:oddHBand="0" w:evenHBand="0" w:firstRowFirstColumn="0" w:firstRowLastColumn="0" w:lastRowFirstColumn="0" w:lastRowLastColumn="0"/>
            <w:tcW w:w="2213" w:type="dxa"/>
            <w:vMerge/>
          </w:tcPr>
          <w:p w14:paraId="400C86D0" w14:textId="77777777" w:rsidR="00F24A36" w:rsidRPr="005B54EE" w:rsidRDefault="00F24A36" w:rsidP="00635A2E"/>
        </w:tc>
        <w:tc>
          <w:tcPr>
            <w:tcW w:w="3736" w:type="dxa"/>
          </w:tcPr>
          <w:p w14:paraId="3B9CBBB8" w14:textId="77777777" w:rsidR="00F24A36" w:rsidRPr="005B54EE" w:rsidRDefault="00F24A36" w:rsidP="00635A2E">
            <w:pPr>
              <w:cnfStyle w:val="000000000000" w:firstRow="0" w:lastRow="0" w:firstColumn="0" w:lastColumn="0" w:oddVBand="0" w:evenVBand="0" w:oddHBand="0" w:evenHBand="0" w:firstRowFirstColumn="0" w:firstRowLastColumn="0" w:lastRowFirstColumn="0" w:lastRowLastColumn="0"/>
            </w:pPr>
            <w:r w:rsidRPr="005B54EE">
              <w:t>Harvesting and wood products</w:t>
            </w:r>
          </w:p>
        </w:tc>
        <w:tc>
          <w:tcPr>
            <w:tcW w:w="1860" w:type="dxa"/>
          </w:tcPr>
          <w:p w14:paraId="06DA59BD"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-2.0</w:t>
            </w:r>
          </w:p>
        </w:tc>
        <w:tc>
          <w:tcPr>
            <w:tcW w:w="1819" w:type="dxa"/>
          </w:tcPr>
          <w:p w14:paraId="01B15D9D"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-3</w:t>
            </w:r>
          </w:p>
        </w:tc>
      </w:tr>
      <w:tr w:rsidR="00F24A36" w:rsidRPr="005B54EE" w14:paraId="625A340E"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3" w:type="dxa"/>
            <w:vMerge w:val="restart"/>
          </w:tcPr>
          <w:p w14:paraId="7F8E98BF" w14:textId="77777777" w:rsidR="00F24A36" w:rsidRPr="005B54EE" w:rsidRDefault="00F24A36" w:rsidP="00635A2E">
            <w:r w:rsidRPr="005B54EE">
              <w:t>Modification of the framework</w:t>
            </w:r>
          </w:p>
        </w:tc>
        <w:tc>
          <w:tcPr>
            <w:tcW w:w="3736" w:type="dxa"/>
          </w:tcPr>
          <w:p w14:paraId="1C86C8F9" w14:textId="77777777" w:rsidR="00F24A36" w:rsidRPr="005B54EE" w:rsidRDefault="00F24A36" w:rsidP="00635A2E">
            <w:pPr>
              <w:cnfStyle w:val="000000100000" w:firstRow="0" w:lastRow="0" w:firstColumn="0" w:lastColumn="0" w:oddVBand="0" w:evenVBand="0" w:oddHBand="1" w:evenHBand="0" w:firstRowFirstColumn="0" w:firstRowLastColumn="0" w:lastRowFirstColumn="0" w:lastRowLastColumn="0"/>
            </w:pPr>
            <w:r w:rsidRPr="005B54EE">
              <w:t>Population</w:t>
            </w:r>
          </w:p>
        </w:tc>
        <w:tc>
          <w:tcPr>
            <w:tcW w:w="1860" w:type="dxa"/>
          </w:tcPr>
          <w:p w14:paraId="79D8AAE1"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-3.0</w:t>
            </w:r>
          </w:p>
        </w:tc>
        <w:tc>
          <w:tcPr>
            <w:tcW w:w="1819" w:type="dxa"/>
          </w:tcPr>
          <w:p w14:paraId="0820834F"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-4.8</w:t>
            </w:r>
          </w:p>
        </w:tc>
      </w:tr>
      <w:tr w:rsidR="00F24A36" w:rsidRPr="005B54EE" w14:paraId="59699416" w14:textId="77777777" w:rsidTr="00635A2E">
        <w:tc>
          <w:tcPr>
            <w:cnfStyle w:val="001000000000" w:firstRow="0" w:lastRow="0" w:firstColumn="1" w:lastColumn="0" w:oddVBand="0" w:evenVBand="0" w:oddHBand="0" w:evenHBand="0" w:firstRowFirstColumn="0" w:firstRowLastColumn="0" w:lastRowFirstColumn="0" w:lastRowLastColumn="0"/>
            <w:tcW w:w="2213" w:type="dxa"/>
            <w:vMerge/>
          </w:tcPr>
          <w:p w14:paraId="398BEC6E" w14:textId="77777777" w:rsidR="00F24A36" w:rsidRPr="005B54EE" w:rsidRDefault="00F24A36" w:rsidP="00635A2E"/>
        </w:tc>
        <w:tc>
          <w:tcPr>
            <w:tcW w:w="3736" w:type="dxa"/>
          </w:tcPr>
          <w:p w14:paraId="47FA0EA7" w14:textId="77777777" w:rsidR="00F24A36" w:rsidRPr="005B54EE" w:rsidRDefault="00F24A36" w:rsidP="00635A2E">
            <w:pPr>
              <w:cnfStyle w:val="000000000000" w:firstRow="0" w:lastRow="0" w:firstColumn="0" w:lastColumn="0" w:oddVBand="0" w:evenVBand="0" w:oddHBand="0" w:evenHBand="0" w:firstRowFirstColumn="0" w:firstRowLastColumn="0" w:lastRowFirstColumn="0" w:lastRowLastColumn="0"/>
            </w:pPr>
            <w:r w:rsidRPr="005B54EE">
              <w:t>Industrial production</w:t>
            </w:r>
          </w:p>
        </w:tc>
        <w:tc>
          <w:tcPr>
            <w:tcW w:w="1860" w:type="dxa"/>
          </w:tcPr>
          <w:p w14:paraId="5F10FC93"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-7.6</w:t>
            </w:r>
          </w:p>
        </w:tc>
        <w:tc>
          <w:tcPr>
            <w:tcW w:w="1819" w:type="dxa"/>
          </w:tcPr>
          <w:p w14:paraId="29B6806D"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+7</w:t>
            </w:r>
          </w:p>
        </w:tc>
      </w:tr>
      <w:tr w:rsidR="00F24A36" w:rsidRPr="005B54EE" w14:paraId="355C3AD8"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3" w:type="dxa"/>
            <w:vMerge/>
          </w:tcPr>
          <w:p w14:paraId="4262FC90" w14:textId="77777777" w:rsidR="00F24A36" w:rsidRPr="005B54EE" w:rsidRDefault="00F24A36" w:rsidP="00635A2E"/>
        </w:tc>
        <w:tc>
          <w:tcPr>
            <w:tcW w:w="3736" w:type="dxa"/>
          </w:tcPr>
          <w:p w14:paraId="6A8001B8" w14:textId="77777777" w:rsidR="00F24A36" w:rsidRPr="005B54EE" w:rsidRDefault="00F24A36" w:rsidP="00635A2E">
            <w:pPr>
              <w:cnfStyle w:val="000000100000" w:firstRow="0" w:lastRow="0" w:firstColumn="0" w:lastColumn="0" w:oddVBand="0" w:evenVBand="0" w:oddHBand="1" w:evenHBand="0" w:firstRowFirstColumn="0" w:firstRowLastColumn="0" w:lastRowFirstColumn="0" w:lastRowLastColumn="0"/>
            </w:pPr>
            <w:r w:rsidRPr="005B54EE">
              <w:t>Overseas</w:t>
            </w:r>
          </w:p>
        </w:tc>
        <w:tc>
          <w:tcPr>
            <w:tcW w:w="1860" w:type="dxa"/>
          </w:tcPr>
          <w:p w14:paraId="4BCECEC7"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0.0</w:t>
            </w:r>
          </w:p>
        </w:tc>
        <w:tc>
          <w:tcPr>
            <w:tcW w:w="1819" w:type="dxa"/>
          </w:tcPr>
          <w:p w14:paraId="57DF8773"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-2</w:t>
            </w:r>
          </w:p>
        </w:tc>
      </w:tr>
      <w:tr w:rsidR="00F24A36" w:rsidRPr="005B54EE" w14:paraId="30D36846" w14:textId="77777777" w:rsidTr="00635A2E">
        <w:tc>
          <w:tcPr>
            <w:cnfStyle w:val="001000000000" w:firstRow="0" w:lastRow="0" w:firstColumn="1" w:lastColumn="0" w:oddVBand="0" w:evenVBand="0" w:oddHBand="0" w:evenHBand="0" w:firstRowFirstColumn="0" w:firstRowLastColumn="0" w:lastRowFirstColumn="0" w:lastRowLastColumn="0"/>
            <w:tcW w:w="2213" w:type="dxa"/>
            <w:vMerge w:val="restart"/>
          </w:tcPr>
          <w:p w14:paraId="2E4A31CF" w14:textId="77777777" w:rsidR="00F24A36" w:rsidRPr="005B54EE" w:rsidRDefault="00F24A36" w:rsidP="00635A2E">
            <w:r w:rsidRPr="005B54EE">
              <w:t>Methodological modifications</w:t>
            </w:r>
          </w:p>
        </w:tc>
        <w:tc>
          <w:tcPr>
            <w:tcW w:w="3736" w:type="dxa"/>
          </w:tcPr>
          <w:p w14:paraId="6F6594A8" w14:textId="77777777" w:rsidR="00F24A36" w:rsidRPr="005B54EE" w:rsidRDefault="00F24A36" w:rsidP="00635A2E">
            <w:pPr>
              <w:cnfStyle w:val="000000000000" w:firstRow="0" w:lastRow="0" w:firstColumn="0" w:lastColumn="0" w:oddVBand="0" w:evenVBand="0" w:oddHBand="0" w:evenHBand="0" w:firstRowFirstColumn="0" w:firstRowLastColumn="0" w:lastRowFirstColumn="0" w:lastRowLastColumn="0"/>
            </w:pPr>
            <w:r w:rsidRPr="005B54EE">
              <w:t>Recalculation of the rate of artificialisation</w:t>
            </w:r>
          </w:p>
        </w:tc>
        <w:tc>
          <w:tcPr>
            <w:tcW w:w="1860" w:type="dxa"/>
          </w:tcPr>
          <w:p w14:paraId="2704F5A8"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-3.0</w:t>
            </w:r>
          </w:p>
        </w:tc>
        <w:tc>
          <w:tcPr>
            <w:tcW w:w="1819" w:type="dxa"/>
          </w:tcPr>
          <w:p w14:paraId="0450F4FE"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-4.5</w:t>
            </w:r>
          </w:p>
        </w:tc>
      </w:tr>
      <w:tr w:rsidR="00F24A36" w:rsidRPr="005B54EE" w14:paraId="1092B5F9"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3" w:type="dxa"/>
            <w:vMerge/>
          </w:tcPr>
          <w:p w14:paraId="39542184" w14:textId="77777777" w:rsidR="00F24A36" w:rsidRPr="005B54EE" w:rsidRDefault="00F24A36" w:rsidP="00635A2E"/>
        </w:tc>
        <w:tc>
          <w:tcPr>
            <w:tcW w:w="3736" w:type="dxa"/>
          </w:tcPr>
          <w:p w14:paraId="6B96A7DB" w14:textId="77777777" w:rsidR="00F24A36" w:rsidRPr="005B54EE" w:rsidRDefault="00F24A36" w:rsidP="00635A2E">
            <w:pPr>
              <w:cnfStyle w:val="000000100000" w:firstRow="0" w:lastRow="0" w:firstColumn="0" w:lastColumn="0" w:oddVBand="0" w:evenVBand="0" w:oddHBand="1" w:evenHBand="0" w:firstRowFirstColumn="0" w:firstRowLastColumn="0" w:lastRowFirstColumn="0" w:lastRowLastColumn="0"/>
            </w:pPr>
            <w:r w:rsidRPr="005B54EE">
              <w:t>Accounting for methane emissions in landfills post-2035</w:t>
            </w:r>
          </w:p>
        </w:tc>
        <w:tc>
          <w:tcPr>
            <w:tcW w:w="1860" w:type="dxa"/>
          </w:tcPr>
          <w:p w14:paraId="0DB273C6"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0</w:t>
            </w:r>
          </w:p>
        </w:tc>
        <w:tc>
          <w:tcPr>
            <w:tcW w:w="1819" w:type="dxa"/>
          </w:tcPr>
          <w:p w14:paraId="1210261C"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+5</w:t>
            </w:r>
          </w:p>
        </w:tc>
      </w:tr>
      <w:tr w:rsidR="00F24A36" w:rsidRPr="005B54EE" w14:paraId="765047C8" w14:textId="77777777" w:rsidTr="00635A2E">
        <w:tc>
          <w:tcPr>
            <w:cnfStyle w:val="001000000000" w:firstRow="0" w:lastRow="0" w:firstColumn="1" w:lastColumn="0" w:oddVBand="0" w:evenVBand="0" w:oddHBand="0" w:evenHBand="0" w:firstRowFirstColumn="0" w:firstRowLastColumn="0" w:lastRowFirstColumn="0" w:lastRowLastColumn="0"/>
            <w:tcW w:w="2213" w:type="dxa"/>
            <w:vMerge/>
          </w:tcPr>
          <w:p w14:paraId="675BD4F7" w14:textId="77777777" w:rsidR="00F24A36" w:rsidRPr="005B54EE" w:rsidRDefault="00F24A36" w:rsidP="00635A2E"/>
        </w:tc>
        <w:tc>
          <w:tcPr>
            <w:tcW w:w="3736" w:type="dxa"/>
          </w:tcPr>
          <w:p w14:paraId="4905FAD2" w14:textId="77777777" w:rsidR="00F24A36" w:rsidRPr="005B54EE" w:rsidRDefault="00F24A36" w:rsidP="00635A2E">
            <w:pPr>
              <w:cnfStyle w:val="000000000000" w:firstRow="0" w:lastRow="0" w:firstColumn="0" w:lastColumn="0" w:oddVBand="0" w:evenVBand="0" w:oddHBand="0" w:evenHBand="0" w:firstRowFirstColumn="0" w:firstRowLastColumn="0" w:lastRowFirstColumn="0" w:lastRowLastColumn="0"/>
            </w:pPr>
            <w:r w:rsidRPr="005B54EE">
              <w:t>F-Gas accounting methodology</w:t>
            </w:r>
          </w:p>
        </w:tc>
        <w:tc>
          <w:tcPr>
            <w:tcW w:w="1860" w:type="dxa"/>
          </w:tcPr>
          <w:p w14:paraId="05742422"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-2.0</w:t>
            </w:r>
          </w:p>
        </w:tc>
        <w:tc>
          <w:tcPr>
            <w:tcW w:w="1819" w:type="dxa"/>
          </w:tcPr>
          <w:p w14:paraId="539AD7A9"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-2</w:t>
            </w:r>
          </w:p>
        </w:tc>
      </w:tr>
      <w:tr w:rsidR="00F24A36" w:rsidRPr="005B54EE" w14:paraId="22AA6B02"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gridSpan w:val="2"/>
          </w:tcPr>
          <w:p w14:paraId="00DEB840" w14:textId="77777777" w:rsidR="00F24A36" w:rsidRPr="005B54EE" w:rsidRDefault="00F24A36" w:rsidP="00635A2E">
            <w:r w:rsidRPr="005B54EE">
              <w:t>All policies and measures</w:t>
            </w:r>
          </w:p>
        </w:tc>
        <w:tc>
          <w:tcPr>
            <w:tcW w:w="1860" w:type="dxa"/>
          </w:tcPr>
          <w:p w14:paraId="7B4F14A3"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-25</w:t>
            </w:r>
          </w:p>
        </w:tc>
        <w:tc>
          <w:tcPr>
            <w:tcW w:w="1819" w:type="dxa"/>
          </w:tcPr>
          <w:p w14:paraId="23D7A38F"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-26</w:t>
            </w:r>
          </w:p>
        </w:tc>
      </w:tr>
      <w:tr w:rsidR="00F24A36" w:rsidRPr="005B54EE" w14:paraId="5EEDDE11" w14:textId="77777777" w:rsidTr="00635A2E">
        <w:tc>
          <w:tcPr>
            <w:cnfStyle w:val="001000000000" w:firstRow="0" w:lastRow="0" w:firstColumn="1" w:lastColumn="0" w:oddVBand="0" w:evenVBand="0" w:oddHBand="0" w:evenHBand="0" w:firstRowFirstColumn="0" w:firstRowLastColumn="0" w:lastRowFirstColumn="0" w:lastRowLastColumn="0"/>
            <w:tcW w:w="5949" w:type="dxa"/>
            <w:gridSpan w:val="2"/>
          </w:tcPr>
          <w:p w14:paraId="7ED7FF31" w14:textId="77777777" w:rsidR="00F24A36" w:rsidRPr="005B54EE" w:rsidRDefault="00F24A36" w:rsidP="00635A2E">
            <w:r w:rsidRPr="005B54EE">
              <w:t>Total framing</w:t>
            </w:r>
          </w:p>
        </w:tc>
        <w:tc>
          <w:tcPr>
            <w:tcW w:w="1860" w:type="dxa"/>
          </w:tcPr>
          <w:p w14:paraId="3F660857"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-10.6</w:t>
            </w:r>
          </w:p>
        </w:tc>
        <w:tc>
          <w:tcPr>
            <w:tcW w:w="1819" w:type="dxa"/>
          </w:tcPr>
          <w:p w14:paraId="485AD017"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+0.2</w:t>
            </w:r>
          </w:p>
        </w:tc>
      </w:tr>
      <w:tr w:rsidR="00F24A36" w:rsidRPr="005B54EE" w14:paraId="491239BF"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gridSpan w:val="2"/>
          </w:tcPr>
          <w:p w14:paraId="666D189A" w14:textId="77777777" w:rsidR="00F24A36" w:rsidRPr="005B54EE" w:rsidRDefault="00F24A36" w:rsidP="00635A2E">
            <w:r w:rsidRPr="005B54EE">
              <w:t>Total methodology</w:t>
            </w:r>
          </w:p>
        </w:tc>
        <w:tc>
          <w:tcPr>
            <w:tcW w:w="1860" w:type="dxa"/>
          </w:tcPr>
          <w:p w14:paraId="0255B167"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-5</w:t>
            </w:r>
          </w:p>
        </w:tc>
        <w:tc>
          <w:tcPr>
            <w:tcW w:w="1819" w:type="dxa"/>
          </w:tcPr>
          <w:p w14:paraId="2C836DA6" w14:textId="77777777" w:rsidR="00F24A36" w:rsidRPr="005B54EE" w:rsidRDefault="00F24A36" w:rsidP="00635A2E">
            <w:pPr>
              <w:jc w:val="center"/>
              <w:cnfStyle w:val="000000100000" w:firstRow="0" w:lastRow="0" w:firstColumn="0" w:lastColumn="0" w:oddVBand="0" w:evenVBand="0" w:oddHBand="1" w:evenHBand="0" w:firstRowFirstColumn="0" w:firstRowLastColumn="0" w:lastRowFirstColumn="0" w:lastRowLastColumn="0"/>
            </w:pPr>
            <w:r w:rsidRPr="005B54EE">
              <w:t>-1.5</w:t>
            </w:r>
          </w:p>
        </w:tc>
      </w:tr>
      <w:tr w:rsidR="00F24A36" w:rsidRPr="005B54EE" w14:paraId="73FFC741" w14:textId="77777777" w:rsidTr="00635A2E">
        <w:tc>
          <w:tcPr>
            <w:cnfStyle w:val="001000000000" w:firstRow="0" w:lastRow="0" w:firstColumn="1" w:lastColumn="0" w:oddVBand="0" w:evenVBand="0" w:oddHBand="0" w:evenHBand="0" w:firstRowFirstColumn="0" w:firstRowLastColumn="0" w:lastRowFirstColumn="0" w:lastRowLastColumn="0"/>
            <w:tcW w:w="2213" w:type="dxa"/>
          </w:tcPr>
          <w:p w14:paraId="5B3E26F5" w14:textId="77777777" w:rsidR="00F24A36" w:rsidRPr="005B54EE" w:rsidRDefault="00F24A36" w:rsidP="00635A2E">
            <w:r w:rsidRPr="005B54EE">
              <w:t>Total other</w:t>
            </w:r>
          </w:p>
        </w:tc>
        <w:tc>
          <w:tcPr>
            <w:tcW w:w="3736" w:type="dxa"/>
          </w:tcPr>
          <w:p w14:paraId="7A696549" w14:textId="77777777" w:rsidR="00F24A36" w:rsidRPr="005B54EE" w:rsidRDefault="00F24A36" w:rsidP="00635A2E">
            <w:pPr>
              <w:cnfStyle w:val="000000000000" w:firstRow="0" w:lastRow="0" w:firstColumn="0" w:lastColumn="0" w:oddVBand="0" w:evenVBand="0" w:oddHBand="0" w:evenHBand="0" w:firstRowFirstColumn="0" w:firstRowLastColumn="0" w:lastRowFirstColumn="0" w:lastRowLastColumn="0"/>
            </w:pPr>
            <w:r w:rsidRPr="005B54EE">
              <w:t>Indeterminate or indistinguishable determinants</w:t>
            </w:r>
          </w:p>
        </w:tc>
        <w:tc>
          <w:tcPr>
            <w:tcW w:w="1860" w:type="dxa"/>
          </w:tcPr>
          <w:p w14:paraId="385F8B05"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-9.5</w:t>
            </w:r>
          </w:p>
        </w:tc>
        <w:tc>
          <w:tcPr>
            <w:tcW w:w="1819" w:type="dxa"/>
          </w:tcPr>
          <w:p w14:paraId="44650F11" w14:textId="77777777" w:rsidR="00F24A36" w:rsidRPr="005B54EE" w:rsidRDefault="00F24A36" w:rsidP="00635A2E">
            <w:pPr>
              <w:jc w:val="center"/>
              <w:cnfStyle w:val="000000000000" w:firstRow="0" w:lastRow="0" w:firstColumn="0" w:lastColumn="0" w:oddVBand="0" w:evenVBand="0" w:oddHBand="0" w:evenHBand="0" w:firstRowFirstColumn="0" w:firstRowLastColumn="0" w:lastRowFirstColumn="0" w:lastRowLastColumn="0"/>
            </w:pPr>
            <w:r w:rsidRPr="005B54EE">
              <w:t>-19</w:t>
            </w:r>
          </w:p>
        </w:tc>
      </w:tr>
    </w:tbl>
    <w:p w14:paraId="368BFEC7" w14:textId="7CC00780" w:rsidR="00F24A36" w:rsidRPr="005B54EE" w:rsidRDefault="00F24A36" w:rsidP="00F24A36">
      <w:pPr>
        <w:pStyle w:val="Caption"/>
      </w:pPr>
      <w:bookmarkStart w:id="118" w:name="_Toc122694435"/>
      <w:bookmarkStart w:id="119" w:name="_Toc124153717"/>
      <w:r w:rsidRPr="005B54EE">
        <w:t xml:space="preserve">Table </w:t>
      </w:r>
      <w:r w:rsidR="00C73940">
        <w:fldChar w:fldCharType="begin"/>
      </w:r>
      <w:r w:rsidR="00C73940">
        <w:instrText xml:space="preserve"> SEQ Tableau \* ARABIC </w:instrText>
      </w:r>
      <w:r w:rsidR="00C73940">
        <w:fldChar w:fldCharType="separate"/>
      </w:r>
      <w:r w:rsidR="005B1C45">
        <w:rPr>
          <w:noProof/>
        </w:rPr>
        <w:t>3</w:t>
      </w:r>
      <w:r w:rsidR="00C73940">
        <w:rPr>
          <w:noProof/>
        </w:rPr>
        <w:fldChar w:fldCharType="end"/>
      </w:r>
      <w:r w:rsidRPr="005B54EE">
        <w:t>: Impact of different factors on the level of emissions in 2030 and 2050</w:t>
      </w:r>
      <w:bookmarkEnd w:id="118"/>
      <w:bookmarkEnd w:id="119"/>
    </w:p>
    <w:p w14:paraId="33B9DD01" w14:textId="77777777" w:rsidR="00F24A36" w:rsidRPr="005B54EE" w:rsidRDefault="00F24A36" w:rsidP="00F24A36">
      <w:pPr>
        <w:pStyle w:val="Caption"/>
      </w:pPr>
      <w:r w:rsidRPr="005B54EE">
        <w:t>Source: MTE-DGEC</w:t>
      </w:r>
    </w:p>
    <w:p w14:paraId="7C60387D" w14:textId="77777777" w:rsidR="00F24A36" w:rsidRPr="005B54EE" w:rsidRDefault="00F24A36" w:rsidP="00F24A36">
      <w:pPr>
        <w:pStyle w:val="Standard"/>
        <w:jc w:val="both"/>
        <w:rPr>
          <w:rFonts w:ascii="Marianne" w:hAnsi="Marianne"/>
          <w:sz w:val="21"/>
        </w:rPr>
      </w:pPr>
    </w:p>
    <w:p w14:paraId="12641E68" w14:textId="77777777" w:rsidR="00F24A36" w:rsidRPr="005B54EE" w:rsidRDefault="00F24A36" w:rsidP="002F4FA6">
      <w:pPr>
        <w:pStyle w:val="titreencadre"/>
        <w:numPr>
          <w:ilvl w:val="3"/>
          <w:numId w:val="47"/>
        </w:numPr>
        <w:spacing w:before="120" w:after="60" w:line="240" w:lineRule="auto"/>
      </w:pPr>
      <w:r w:rsidRPr="005B54EE">
        <w:t>AMS 2018</w:t>
      </w:r>
    </w:p>
    <w:p w14:paraId="25EF2D29" w14:textId="77777777" w:rsidR="00F24A36" w:rsidRPr="005B54EE" w:rsidRDefault="00F24A36" w:rsidP="00F24A36">
      <w:pPr>
        <w:spacing w:before="240" w:after="240"/>
        <w:rPr>
          <w:rFonts w:asciiTheme="minorHAnsi" w:hAnsiTheme="minorHAnsi"/>
          <w:szCs w:val="21"/>
        </w:rPr>
      </w:pPr>
      <w:r w:rsidRPr="005B54EE">
        <w:t xml:space="preserve">The emissions excluding LULUCF in the Kyoto scope decrease in the AMS scenario </w:t>
      </w:r>
      <w:r w:rsidRPr="005B54EE">
        <w:rPr>
          <w:rFonts w:asciiTheme="minorHAnsi" w:hAnsiTheme="minorHAnsi"/>
        </w:rPr>
        <w:t>to:</w:t>
      </w:r>
    </w:p>
    <w:p w14:paraId="63A44C45" w14:textId="14443CC9" w:rsidR="00F24A36" w:rsidRPr="005B54EE" w:rsidRDefault="00F24A36" w:rsidP="002F4FA6">
      <w:pPr>
        <w:pStyle w:val="Standard"/>
        <w:numPr>
          <w:ilvl w:val="0"/>
          <w:numId w:val="15"/>
        </w:numPr>
        <w:jc w:val="both"/>
        <w:rPr>
          <w:rFonts w:asciiTheme="minorHAnsi" w:hAnsiTheme="minorHAnsi"/>
          <w:sz w:val="21"/>
          <w:szCs w:val="21"/>
        </w:rPr>
      </w:pPr>
      <w:r w:rsidRPr="005B54EE">
        <w:rPr>
          <w:rFonts w:asciiTheme="minorHAnsi" w:hAnsiTheme="minorHAnsi"/>
          <w:sz w:val="21"/>
        </w:rPr>
        <w:t>307 Mt</w:t>
      </w:r>
      <w:r w:rsidRPr="005B54EE">
        <w:t>CO</w:t>
      </w:r>
      <w:r w:rsidRPr="005B54EE">
        <w:rPr>
          <w:vertAlign w:val="subscript"/>
        </w:rPr>
        <w:t>2eq</w:t>
      </w:r>
      <w:r w:rsidRPr="005B54EE">
        <w:rPr>
          <w:rFonts w:asciiTheme="minorHAnsi" w:hAnsiTheme="minorHAnsi"/>
          <w:sz w:val="21"/>
        </w:rPr>
        <w:t xml:space="preserve"> in 2030, i.e.: a 43% r</w:t>
      </w:r>
      <w:r w:rsidRPr="005B54EE">
        <w:rPr>
          <w:rFonts w:ascii="Marianne" w:hAnsi="Marianne"/>
          <w:sz w:val="21"/>
        </w:rPr>
        <w:t>e</w:t>
      </w:r>
      <w:r w:rsidRPr="005B54EE">
        <w:rPr>
          <w:rFonts w:asciiTheme="minorHAnsi" w:hAnsiTheme="minorHAnsi"/>
          <w:sz w:val="21"/>
        </w:rPr>
        <w:t xml:space="preserve">duction compared </w:t>
      </w:r>
      <w:r w:rsidRPr="005B54EE">
        <w:rPr>
          <w:rFonts w:ascii="Marianne" w:hAnsi="Marianne"/>
          <w:sz w:val="21"/>
        </w:rPr>
        <w:t>to</w:t>
      </w:r>
      <w:r w:rsidRPr="005B54EE">
        <w:rPr>
          <w:rFonts w:asciiTheme="minorHAnsi" w:hAnsiTheme="minorHAnsi"/>
          <w:sz w:val="21"/>
        </w:rPr>
        <w:t xml:space="preserve"> 1990</w:t>
      </w:r>
    </w:p>
    <w:p w14:paraId="310ECCC2" w14:textId="3D99C906" w:rsidR="00F24A36" w:rsidRPr="005B54EE" w:rsidRDefault="00AF217C" w:rsidP="002F4FA6">
      <w:pPr>
        <w:pStyle w:val="Standard"/>
        <w:numPr>
          <w:ilvl w:val="0"/>
          <w:numId w:val="15"/>
        </w:numPr>
        <w:jc w:val="both"/>
        <w:rPr>
          <w:rFonts w:asciiTheme="minorHAnsi" w:hAnsiTheme="minorHAnsi"/>
          <w:sz w:val="21"/>
          <w:szCs w:val="21"/>
        </w:rPr>
      </w:pPr>
      <w:r>
        <w:rPr>
          <w:rFonts w:asciiTheme="minorHAnsi" w:hAnsiTheme="minorHAnsi"/>
          <w:sz w:val="21"/>
        </w:rPr>
        <w:t>65</w:t>
      </w:r>
      <w:r w:rsidRPr="005B54EE">
        <w:rPr>
          <w:rFonts w:asciiTheme="minorHAnsi" w:hAnsiTheme="minorHAnsi"/>
          <w:sz w:val="21"/>
        </w:rPr>
        <w:t xml:space="preserve"> </w:t>
      </w:r>
      <w:r w:rsidR="00F24A36" w:rsidRPr="005B54EE">
        <w:rPr>
          <w:rFonts w:asciiTheme="minorHAnsi" w:hAnsiTheme="minorHAnsi"/>
          <w:sz w:val="21"/>
        </w:rPr>
        <w:t>Mt</w:t>
      </w:r>
      <w:r w:rsidR="00F24A36" w:rsidRPr="005B54EE">
        <w:t>CO</w:t>
      </w:r>
      <w:r w:rsidR="00F24A36" w:rsidRPr="005B54EE">
        <w:rPr>
          <w:vertAlign w:val="subscript"/>
        </w:rPr>
        <w:t>2eq</w:t>
      </w:r>
      <w:r w:rsidR="00F24A36" w:rsidRPr="005B54EE">
        <w:rPr>
          <w:rFonts w:asciiTheme="minorHAnsi" w:hAnsiTheme="minorHAnsi"/>
          <w:sz w:val="21"/>
        </w:rPr>
        <w:t xml:space="preserve"> in 2050, i.e.: a 85% reduction compared to 1990</w:t>
      </w:r>
    </w:p>
    <w:p w14:paraId="1FD1F237" w14:textId="77777777" w:rsidR="00F24A36" w:rsidRPr="005B54EE" w:rsidRDefault="00F24A36" w:rsidP="00F24A36">
      <w:pPr>
        <w:pStyle w:val="Standard"/>
        <w:jc w:val="both"/>
        <w:rPr>
          <w:rFonts w:asciiTheme="minorHAnsi" w:hAnsiTheme="minorHAnsi"/>
          <w:sz w:val="21"/>
          <w:szCs w:val="21"/>
        </w:rPr>
      </w:pPr>
    </w:p>
    <w:p w14:paraId="79A987D5" w14:textId="77777777" w:rsidR="00920B68" w:rsidRDefault="00920B68" w:rsidP="00920B68">
      <w:pPr>
        <w:pStyle w:val="Standard"/>
        <w:jc w:val="both"/>
        <w:rPr>
          <w:rFonts w:asciiTheme="minorHAnsi" w:hAnsiTheme="minorHAnsi"/>
          <w:sz w:val="22"/>
        </w:rPr>
      </w:pPr>
      <w:r w:rsidRPr="00364545">
        <w:rPr>
          <w:rFonts w:asciiTheme="minorHAnsi" w:hAnsiTheme="minorHAnsi"/>
          <w:sz w:val="22"/>
        </w:rPr>
        <w:t>The reduction in emissions is therefore much higher in the AMS scenario than in the AME scenario.</w:t>
      </w:r>
    </w:p>
    <w:p w14:paraId="77CCED23" w14:textId="77777777" w:rsidR="00920B68" w:rsidRPr="00364545" w:rsidRDefault="00920B68" w:rsidP="00920B68">
      <w:pPr>
        <w:pStyle w:val="Standard"/>
        <w:jc w:val="both"/>
        <w:rPr>
          <w:rFonts w:asciiTheme="minorHAnsi" w:hAnsiTheme="minorHAnsi"/>
          <w:sz w:val="21"/>
          <w:szCs w:val="21"/>
        </w:rPr>
      </w:pPr>
    </w:p>
    <w:tbl>
      <w:tblPr>
        <w:tblStyle w:val="TableGrid0"/>
        <w:tblW w:w="9941" w:type="dxa"/>
        <w:tblInd w:w="3" w:type="dxa"/>
        <w:tblCellMar>
          <w:top w:w="135" w:type="dxa"/>
          <w:left w:w="28" w:type="dxa"/>
          <w:right w:w="20" w:type="dxa"/>
        </w:tblCellMar>
        <w:tblLook w:val="04A0" w:firstRow="1" w:lastRow="0" w:firstColumn="1" w:lastColumn="0" w:noHBand="0" w:noVBand="1"/>
      </w:tblPr>
      <w:tblGrid>
        <w:gridCol w:w="953"/>
        <w:gridCol w:w="751"/>
        <w:gridCol w:w="751"/>
        <w:gridCol w:w="751"/>
        <w:gridCol w:w="750"/>
        <w:gridCol w:w="750"/>
        <w:gridCol w:w="750"/>
        <w:gridCol w:w="750"/>
        <w:gridCol w:w="747"/>
        <w:gridCol w:w="747"/>
        <w:gridCol w:w="747"/>
        <w:gridCol w:w="747"/>
        <w:gridCol w:w="747"/>
      </w:tblGrid>
      <w:tr w:rsidR="00920B68" w:rsidRPr="00364545" w14:paraId="0D66E715" w14:textId="77777777" w:rsidTr="00920B68">
        <w:trPr>
          <w:trHeight w:val="185"/>
        </w:trPr>
        <w:tc>
          <w:tcPr>
            <w:tcW w:w="915" w:type="dxa"/>
            <w:tcBorders>
              <w:top w:val="single" w:sz="2" w:space="0" w:color="FFFFFF"/>
              <w:left w:val="single" w:sz="2" w:space="0" w:color="FFFFFF"/>
              <w:bottom w:val="single" w:sz="2" w:space="0" w:color="FFFFFF"/>
              <w:right w:val="single" w:sz="2" w:space="0" w:color="FFFFFF"/>
            </w:tcBorders>
            <w:shd w:val="clear" w:color="auto" w:fill="6D2A78"/>
          </w:tcPr>
          <w:p w14:paraId="0BB2542D" w14:textId="77777777" w:rsidR="00920B68" w:rsidRPr="00364545" w:rsidRDefault="00920B68" w:rsidP="00920B68">
            <w:pPr>
              <w:spacing w:line="259" w:lineRule="auto"/>
            </w:pPr>
            <w:r w:rsidRPr="00364545">
              <w:rPr>
                <w:color w:val="FFFFFF" w:themeColor="background1"/>
              </w:rPr>
              <w:t>AMS 2018</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5353EA95" w14:textId="77777777" w:rsidR="00920B68" w:rsidRPr="00364545" w:rsidRDefault="00920B68" w:rsidP="00920B68">
            <w:pPr>
              <w:spacing w:line="259" w:lineRule="auto"/>
              <w:ind w:right="4"/>
              <w:jc w:val="center"/>
            </w:pPr>
            <w:r w:rsidRPr="00364545">
              <w:rPr>
                <w:b/>
                <w:color w:val="FFFFFF"/>
                <w:sz w:val="18"/>
              </w:rPr>
              <w:t>1990</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555B44B9" w14:textId="77777777" w:rsidR="00920B68" w:rsidRPr="00364545" w:rsidRDefault="00920B68" w:rsidP="00920B68">
            <w:pPr>
              <w:spacing w:line="259" w:lineRule="auto"/>
              <w:ind w:right="6"/>
              <w:jc w:val="center"/>
              <w:rPr>
                <w:b/>
                <w:color w:val="FFFFFF"/>
                <w:sz w:val="18"/>
              </w:rPr>
            </w:pPr>
            <w:r w:rsidRPr="00364545">
              <w:rPr>
                <w:b/>
                <w:color w:val="FFFFFF"/>
                <w:sz w:val="18"/>
              </w:rPr>
              <w:t>1995</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29684AF2" w14:textId="77777777" w:rsidR="00920B68" w:rsidRPr="00364545" w:rsidRDefault="00920B68" w:rsidP="00920B68">
            <w:pPr>
              <w:spacing w:line="259" w:lineRule="auto"/>
              <w:ind w:right="6"/>
              <w:jc w:val="center"/>
            </w:pPr>
            <w:r w:rsidRPr="00364545">
              <w:rPr>
                <w:b/>
                <w:color w:val="FFFFFF"/>
                <w:sz w:val="18"/>
              </w:rPr>
              <w:t>2000</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210FE24F" w14:textId="77777777" w:rsidR="00920B68" w:rsidRPr="00364545" w:rsidRDefault="00920B68" w:rsidP="00920B68">
            <w:pPr>
              <w:spacing w:line="259" w:lineRule="auto"/>
              <w:ind w:right="4"/>
              <w:jc w:val="center"/>
            </w:pPr>
            <w:r w:rsidRPr="00364545">
              <w:rPr>
                <w:b/>
                <w:color w:val="FFFFFF"/>
                <w:sz w:val="18"/>
              </w:rPr>
              <w:t>2005</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7969B39B" w14:textId="77777777" w:rsidR="00920B68" w:rsidRPr="00364545" w:rsidRDefault="00920B68" w:rsidP="00920B68">
            <w:pPr>
              <w:spacing w:line="259" w:lineRule="auto"/>
              <w:ind w:right="7"/>
              <w:jc w:val="center"/>
            </w:pPr>
            <w:r w:rsidRPr="00364545">
              <w:rPr>
                <w:b/>
                <w:color w:val="FFFFFF"/>
                <w:sz w:val="18"/>
              </w:rPr>
              <w:t>2010</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671C4960" w14:textId="77777777" w:rsidR="00920B68" w:rsidRPr="00364545" w:rsidRDefault="00920B68" w:rsidP="00920B68">
            <w:pPr>
              <w:spacing w:line="259" w:lineRule="auto"/>
              <w:ind w:right="5"/>
              <w:jc w:val="center"/>
            </w:pPr>
            <w:r w:rsidRPr="00364545">
              <w:rPr>
                <w:b/>
                <w:color w:val="FFFFFF"/>
                <w:sz w:val="18"/>
              </w:rPr>
              <w:t>2015</w:t>
            </w:r>
          </w:p>
        </w:tc>
        <w:tc>
          <w:tcPr>
            <w:tcW w:w="753"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4337E2AF" w14:textId="77777777" w:rsidR="00920B68" w:rsidRPr="00364545" w:rsidRDefault="00920B68" w:rsidP="00920B68">
            <w:pPr>
              <w:spacing w:line="259" w:lineRule="auto"/>
              <w:ind w:right="7"/>
              <w:jc w:val="center"/>
              <w:rPr>
                <w:b/>
                <w:color w:val="FFFFFF"/>
                <w:sz w:val="18"/>
              </w:rPr>
            </w:pPr>
            <w:r w:rsidRPr="00364545">
              <w:rPr>
                <w:b/>
                <w:color w:val="FFFFFF"/>
                <w:sz w:val="18"/>
              </w:rPr>
              <w:t>2019</w:t>
            </w:r>
          </w:p>
        </w:tc>
        <w:tc>
          <w:tcPr>
            <w:tcW w:w="751"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52002240" w14:textId="77777777" w:rsidR="00920B68" w:rsidRPr="00364545" w:rsidRDefault="00920B68" w:rsidP="00920B68">
            <w:pPr>
              <w:spacing w:line="259" w:lineRule="auto"/>
              <w:ind w:right="7"/>
              <w:jc w:val="center"/>
            </w:pPr>
            <w:r w:rsidRPr="00364545">
              <w:rPr>
                <w:b/>
                <w:color w:val="FFFFFF"/>
                <w:sz w:val="18"/>
              </w:rPr>
              <w:t>2020</w:t>
            </w:r>
          </w:p>
        </w:tc>
        <w:tc>
          <w:tcPr>
            <w:tcW w:w="751" w:type="dxa"/>
            <w:tcBorders>
              <w:top w:val="single" w:sz="2" w:space="0" w:color="FFFFFF"/>
              <w:left w:val="single" w:sz="2" w:space="0" w:color="FFFFFF"/>
              <w:bottom w:val="single" w:sz="2" w:space="0" w:color="FFFFFF"/>
              <w:right w:val="nil"/>
            </w:tcBorders>
            <w:shd w:val="clear" w:color="auto" w:fill="6D2A78"/>
            <w:vAlign w:val="center"/>
          </w:tcPr>
          <w:p w14:paraId="6A2EC072" w14:textId="77777777" w:rsidR="00920B68" w:rsidRPr="00364545" w:rsidRDefault="00920B68" w:rsidP="00920B68">
            <w:pPr>
              <w:spacing w:line="259" w:lineRule="auto"/>
              <w:ind w:right="4"/>
              <w:jc w:val="center"/>
            </w:pPr>
            <w:r w:rsidRPr="00364545">
              <w:rPr>
                <w:b/>
                <w:color w:val="FFFFFF"/>
                <w:sz w:val="18"/>
              </w:rPr>
              <w:t>2025</w:t>
            </w:r>
          </w:p>
        </w:tc>
        <w:tc>
          <w:tcPr>
            <w:tcW w:w="751" w:type="dxa"/>
            <w:tcBorders>
              <w:top w:val="single" w:sz="2" w:space="0" w:color="FFFFFF"/>
              <w:left w:val="nil"/>
              <w:bottom w:val="single" w:sz="2" w:space="0" w:color="FFFFFF"/>
              <w:right w:val="single" w:sz="2" w:space="0" w:color="FFFFFF"/>
            </w:tcBorders>
            <w:shd w:val="clear" w:color="auto" w:fill="6D2A78"/>
            <w:vAlign w:val="center"/>
          </w:tcPr>
          <w:p w14:paraId="1E99D565" w14:textId="77777777" w:rsidR="00920B68" w:rsidRPr="00364545" w:rsidRDefault="00920B68" w:rsidP="00920B68">
            <w:pPr>
              <w:spacing w:line="259" w:lineRule="auto"/>
              <w:ind w:right="6"/>
              <w:jc w:val="center"/>
            </w:pPr>
            <w:r w:rsidRPr="00364545">
              <w:rPr>
                <w:b/>
                <w:color w:val="FFFFFF"/>
                <w:sz w:val="18"/>
              </w:rPr>
              <w:t>2030</w:t>
            </w:r>
          </w:p>
        </w:tc>
        <w:tc>
          <w:tcPr>
            <w:tcW w:w="751"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0E9C4076" w14:textId="77777777" w:rsidR="00920B68" w:rsidRPr="00364545" w:rsidRDefault="00920B68" w:rsidP="00920B68">
            <w:pPr>
              <w:spacing w:line="259" w:lineRule="auto"/>
              <w:jc w:val="center"/>
            </w:pPr>
            <w:r w:rsidRPr="00364545">
              <w:rPr>
                <w:b/>
                <w:color w:val="FFFFFF"/>
                <w:sz w:val="18"/>
              </w:rPr>
              <w:t>2035</w:t>
            </w:r>
          </w:p>
        </w:tc>
        <w:tc>
          <w:tcPr>
            <w:tcW w:w="751" w:type="dxa"/>
            <w:tcBorders>
              <w:top w:val="single" w:sz="2" w:space="0" w:color="FFFFFF"/>
              <w:left w:val="single" w:sz="2" w:space="0" w:color="FFFFFF"/>
              <w:bottom w:val="single" w:sz="2" w:space="0" w:color="FFFFFF"/>
              <w:right w:val="single" w:sz="2" w:space="0" w:color="FFFFFF"/>
            </w:tcBorders>
            <w:shd w:val="clear" w:color="auto" w:fill="6D2A78"/>
            <w:vAlign w:val="center"/>
          </w:tcPr>
          <w:p w14:paraId="1B61AE42" w14:textId="77777777" w:rsidR="00920B68" w:rsidRPr="00364545" w:rsidRDefault="00920B68" w:rsidP="00920B68">
            <w:pPr>
              <w:spacing w:line="259" w:lineRule="auto"/>
              <w:jc w:val="center"/>
              <w:rPr>
                <w:b/>
                <w:color w:val="FFFFFF"/>
                <w:sz w:val="18"/>
              </w:rPr>
            </w:pPr>
            <w:r w:rsidRPr="00364545">
              <w:rPr>
                <w:b/>
                <w:color w:val="FFFFFF"/>
                <w:sz w:val="18"/>
              </w:rPr>
              <w:t>2050</w:t>
            </w:r>
          </w:p>
        </w:tc>
      </w:tr>
      <w:tr w:rsidR="00920B68" w:rsidRPr="00364545" w14:paraId="14CE6194" w14:textId="77777777" w:rsidTr="00920B68">
        <w:trPr>
          <w:trHeight w:val="212"/>
        </w:trPr>
        <w:tc>
          <w:tcPr>
            <w:tcW w:w="915" w:type="dxa"/>
            <w:tcBorders>
              <w:top w:val="single" w:sz="2" w:space="0" w:color="FFFFFF"/>
              <w:left w:val="single" w:sz="2" w:space="0" w:color="6D2A78"/>
              <w:bottom w:val="single" w:sz="2" w:space="0" w:color="6D2A78"/>
              <w:right w:val="single" w:sz="2" w:space="0" w:color="6D2A78"/>
            </w:tcBorders>
            <w:vAlign w:val="center"/>
          </w:tcPr>
          <w:p w14:paraId="3FBBC095" w14:textId="77777777" w:rsidR="00920B68" w:rsidRPr="00364545" w:rsidRDefault="00920B68" w:rsidP="00920B68">
            <w:pPr>
              <w:spacing w:line="259" w:lineRule="auto"/>
              <w:ind w:left="39"/>
            </w:pPr>
            <w:r w:rsidRPr="00364545">
              <w:rPr>
                <w:sz w:val="18"/>
              </w:rPr>
              <w:t>(in kt</w:t>
            </w:r>
            <w:r w:rsidRPr="00364545">
              <w:t>CO</w:t>
            </w:r>
            <w:r w:rsidRPr="00364545">
              <w:rPr>
                <w:vertAlign w:val="subscript"/>
              </w:rPr>
              <w:t>2</w:t>
            </w:r>
            <w:r w:rsidRPr="00364545">
              <w:rPr>
                <w:sz w:val="18"/>
                <w:vertAlign w:val="subscript"/>
              </w:rPr>
              <w:t>e</w:t>
            </w:r>
            <w:r w:rsidRPr="00364545">
              <w:rPr>
                <w:sz w:val="18"/>
              </w:rPr>
              <w:t xml:space="preserve">) </w:t>
            </w:r>
          </w:p>
        </w:tc>
        <w:tc>
          <w:tcPr>
            <w:tcW w:w="753" w:type="dxa"/>
            <w:tcBorders>
              <w:top w:val="single" w:sz="2" w:space="0" w:color="FFFFFF"/>
              <w:left w:val="single" w:sz="2" w:space="0" w:color="6D2A78"/>
              <w:bottom w:val="single" w:sz="2" w:space="0" w:color="6D2A78"/>
              <w:right w:val="single" w:sz="2" w:space="0" w:color="6D2A78"/>
            </w:tcBorders>
            <w:vAlign w:val="center"/>
          </w:tcPr>
          <w:p w14:paraId="20D7F790" w14:textId="77777777" w:rsidR="00920B68" w:rsidRPr="00364545" w:rsidRDefault="00920B68" w:rsidP="00920B68">
            <w:pPr>
              <w:spacing w:line="259" w:lineRule="auto"/>
              <w:jc w:val="center"/>
            </w:pPr>
            <w:r w:rsidRPr="00364545">
              <w:rPr>
                <w:sz w:val="18"/>
              </w:rPr>
              <w:t>Observed</w:t>
            </w:r>
          </w:p>
        </w:tc>
        <w:tc>
          <w:tcPr>
            <w:tcW w:w="753" w:type="dxa"/>
            <w:tcBorders>
              <w:top w:val="single" w:sz="2" w:space="0" w:color="FFFFFF"/>
              <w:left w:val="single" w:sz="2" w:space="0" w:color="6D2A78"/>
              <w:bottom w:val="single" w:sz="2" w:space="0" w:color="6D2A78"/>
              <w:right w:val="single" w:sz="2" w:space="0" w:color="6D2A78"/>
            </w:tcBorders>
            <w:vAlign w:val="center"/>
          </w:tcPr>
          <w:p w14:paraId="18410437" w14:textId="77777777" w:rsidR="00920B68" w:rsidRPr="00364545" w:rsidRDefault="00920B68" w:rsidP="00920B68">
            <w:pPr>
              <w:spacing w:line="259" w:lineRule="auto"/>
              <w:jc w:val="center"/>
              <w:rPr>
                <w:sz w:val="18"/>
              </w:rPr>
            </w:pPr>
            <w:r w:rsidRPr="00364545">
              <w:rPr>
                <w:sz w:val="18"/>
              </w:rPr>
              <w:t>Observed</w:t>
            </w:r>
          </w:p>
        </w:tc>
        <w:tc>
          <w:tcPr>
            <w:tcW w:w="753" w:type="dxa"/>
            <w:tcBorders>
              <w:top w:val="single" w:sz="2" w:space="0" w:color="FFFFFF"/>
              <w:left w:val="single" w:sz="2" w:space="0" w:color="6D2A78"/>
              <w:bottom w:val="single" w:sz="2" w:space="0" w:color="6D2A78"/>
              <w:right w:val="single" w:sz="2" w:space="0" w:color="6D2A78"/>
            </w:tcBorders>
            <w:vAlign w:val="center"/>
          </w:tcPr>
          <w:p w14:paraId="114B6E9A" w14:textId="77777777" w:rsidR="00920B68" w:rsidRPr="00364545" w:rsidRDefault="00920B68" w:rsidP="00920B68">
            <w:pPr>
              <w:spacing w:line="259" w:lineRule="auto"/>
              <w:jc w:val="center"/>
            </w:pPr>
            <w:r w:rsidRPr="00364545">
              <w:rPr>
                <w:sz w:val="18"/>
              </w:rPr>
              <w:t>Observed</w:t>
            </w:r>
          </w:p>
        </w:tc>
        <w:tc>
          <w:tcPr>
            <w:tcW w:w="753" w:type="dxa"/>
            <w:tcBorders>
              <w:top w:val="single" w:sz="2" w:space="0" w:color="FFFFFF"/>
              <w:left w:val="single" w:sz="2" w:space="0" w:color="6D2A78"/>
              <w:bottom w:val="single" w:sz="2" w:space="0" w:color="6D2A78"/>
              <w:right w:val="single" w:sz="2" w:space="0" w:color="6D2A78"/>
            </w:tcBorders>
            <w:vAlign w:val="center"/>
          </w:tcPr>
          <w:p w14:paraId="15DEBB67" w14:textId="77777777" w:rsidR="00920B68" w:rsidRPr="00364545" w:rsidRDefault="00920B68" w:rsidP="00920B68">
            <w:pPr>
              <w:spacing w:line="259" w:lineRule="auto"/>
              <w:jc w:val="center"/>
            </w:pPr>
            <w:r w:rsidRPr="00364545">
              <w:rPr>
                <w:sz w:val="18"/>
              </w:rPr>
              <w:t>Observed</w:t>
            </w:r>
          </w:p>
        </w:tc>
        <w:tc>
          <w:tcPr>
            <w:tcW w:w="753" w:type="dxa"/>
            <w:tcBorders>
              <w:top w:val="single" w:sz="2" w:space="0" w:color="FFFFFF"/>
              <w:left w:val="single" w:sz="2" w:space="0" w:color="6D2A78"/>
              <w:bottom w:val="single" w:sz="2" w:space="0" w:color="6D2A78"/>
              <w:right w:val="single" w:sz="2" w:space="0" w:color="6D2A78"/>
            </w:tcBorders>
            <w:vAlign w:val="center"/>
          </w:tcPr>
          <w:p w14:paraId="1CC80D67" w14:textId="77777777" w:rsidR="00920B68" w:rsidRPr="00364545" w:rsidRDefault="00920B68" w:rsidP="00920B68">
            <w:pPr>
              <w:spacing w:line="259" w:lineRule="auto"/>
              <w:jc w:val="center"/>
            </w:pPr>
            <w:r w:rsidRPr="00364545">
              <w:rPr>
                <w:sz w:val="18"/>
              </w:rPr>
              <w:t>Observed</w:t>
            </w:r>
          </w:p>
        </w:tc>
        <w:tc>
          <w:tcPr>
            <w:tcW w:w="753" w:type="dxa"/>
            <w:tcBorders>
              <w:top w:val="single" w:sz="2" w:space="0" w:color="FFFFFF"/>
              <w:left w:val="single" w:sz="2" w:space="0" w:color="6D2A78"/>
              <w:bottom w:val="single" w:sz="2" w:space="0" w:color="6D2A78"/>
              <w:right w:val="single" w:sz="2" w:space="0" w:color="6D2A78"/>
            </w:tcBorders>
            <w:vAlign w:val="center"/>
          </w:tcPr>
          <w:p w14:paraId="41B6D79F" w14:textId="77777777" w:rsidR="00920B68" w:rsidRPr="00364545" w:rsidRDefault="00920B68" w:rsidP="00920B68">
            <w:pPr>
              <w:spacing w:line="259" w:lineRule="auto"/>
              <w:jc w:val="center"/>
            </w:pPr>
            <w:r w:rsidRPr="00364545">
              <w:rPr>
                <w:sz w:val="18"/>
              </w:rPr>
              <w:t>Observed</w:t>
            </w:r>
          </w:p>
        </w:tc>
        <w:tc>
          <w:tcPr>
            <w:tcW w:w="753" w:type="dxa"/>
            <w:tcBorders>
              <w:top w:val="single" w:sz="2" w:space="0" w:color="FFFFFF"/>
              <w:left w:val="single" w:sz="2" w:space="0" w:color="6D2A78"/>
              <w:bottom w:val="single" w:sz="2" w:space="0" w:color="6D2A78"/>
              <w:right w:val="single" w:sz="2" w:space="0" w:color="6D2A78"/>
            </w:tcBorders>
            <w:vAlign w:val="center"/>
          </w:tcPr>
          <w:p w14:paraId="1E7AD93D" w14:textId="77777777" w:rsidR="00920B68" w:rsidRPr="00364545" w:rsidRDefault="00920B68" w:rsidP="00920B68">
            <w:pPr>
              <w:spacing w:line="259" w:lineRule="auto"/>
              <w:jc w:val="center"/>
              <w:rPr>
                <w:sz w:val="18"/>
              </w:rPr>
            </w:pPr>
            <w:r w:rsidRPr="00364545">
              <w:rPr>
                <w:sz w:val="18"/>
              </w:rPr>
              <w:t>Observed</w:t>
            </w:r>
          </w:p>
        </w:tc>
        <w:tc>
          <w:tcPr>
            <w:tcW w:w="751" w:type="dxa"/>
            <w:tcBorders>
              <w:top w:val="single" w:sz="2" w:space="0" w:color="FFFFFF"/>
              <w:left w:val="single" w:sz="2" w:space="0" w:color="6D2A78"/>
              <w:bottom w:val="single" w:sz="2" w:space="0" w:color="6D2A78"/>
              <w:right w:val="single" w:sz="2" w:space="0" w:color="6D2A78"/>
            </w:tcBorders>
            <w:vAlign w:val="center"/>
          </w:tcPr>
          <w:p w14:paraId="69ECB0E8" w14:textId="77777777" w:rsidR="00920B68" w:rsidRPr="00364545" w:rsidRDefault="00920B68" w:rsidP="00920B68">
            <w:pPr>
              <w:spacing w:line="259" w:lineRule="auto"/>
              <w:jc w:val="center"/>
            </w:pPr>
            <w:r w:rsidRPr="00364545">
              <w:rPr>
                <w:sz w:val="18"/>
              </w:rPr>
              <w:t>Projected</w:t>
            </w:r>
          </w:p>
        </w:tc>
        <w:tc>
          <w:tcPr>
            <w:tcW w:w="751" w:type="dxa"/>
            <w:tcBorders>
              <w:top w:val="single" w:sz="2" w:space="0" w:color="FFFFFF"/>
              <w:left w:val="single" w:sz="2" w:space="0" w:color="6D2A78"/>
              <w:bottom w:val="single" w:sz="2" w:space="0" w:color="6D2A78"/>
              <w:right w:val="single" w:sz="2" w:space="0" w:color="6D2A78"/>
            </w:tcBorders>
            <w:vAlign w:val="center"/>
          </w:tcPr>
          <w:p w14:paraId="384B9384" w14:textId="77777777" w:rsidR="00920B68" w:rsidRPr="00364545" w:rsidRDefault="00920B68" w:rsidP="00920B68">
            <w:pPr>
              <w:spacing w:line="259" w:lineRule="auto"/>
              <w:jc w:val="center"/>
            </w:pPr>
            <w:r w:rsidRPr="00364545">
              <w:rPr>
                <w:sz w:val="18"/>
              </w:rPr>
              <w:t>Projected</w:t>
            </w:r>
          </w:p>
        </w:tc>
        <w:tc>
          <w:tcPr>
            <w:tcW w:w="751" w:type="dxa"/>
            <w:tcBorders>
              <w:top w:val="single" w:sz="2" w:space="0" w:color="FFFFFF"/>
              <w:left w:val="single" w:sz="2" w:space="0" w:color="6D2A78"/>
              <w:bottom w:val="single" w:sz="2" w:space="0" w:color="6D2A78"/>
              <w:right w:val="single" w:sz="2" w:space="0" w:color="6D2A78"/>
            </w:tcBorders>
            <w:vAlign w:val="center"/>
          </w:tcPr>
          <w:p w14:paraId="4667039F" w14:textId="77777777" w:rsidR="00920B68" w:rsidRPr="00364545" w:rsidRDefault="00920B68" w:rsidP="00920B68">
            <w:pPr>
              <w:spacing w:line="259" w:lineRule="auto"/>
              <w:jc w:val="center"/>
            </w:pPr>
            <w:r w:rsidRPr="00364545">
              <w:rPr>
                <w:sz w:val="18"/>
              </w:rPr>
              <w:t>Projected</w:t>
            </w:r>
          </w:p>
        </w:tc>
        <w:tc>
          <w:tcPr>
            <w:tcW w:w="751" w:type="dxa"/>
            <w:tcBorders>
              <w:top w:val="single" w:sz="2" w:space="0" w:color="FFFFFF"/>
              <w:left w:val="single" w:sz="2" w:space="0" w:color="6D2A78"/>
              <w:bottom w:val="single" w:sz="2" w:space="0" w:color="6D2A78"/>
              <w:right w:val="single" w:sz="2" w:space="0" w:color="6D2A78"/>
            </w:tcBorders>
            <w:vAlign w:val="center"/>
          </w:tcPr>
          <w:p w14:paraId="7902CE57" w14:textId="77777777" w:rsidR="00920B68" w:rsidRPr="00364545" w:rsidRDefault="00920B68" w:rsidP="00920B68">
            <w:pPr>
              <w:spacing w:line="259" w:lineRule="auto"/>
              <w:jc w:val="center"/>
            </w:pPr>
            <w:r w:rsidRPr="00364545">
              <w:rPr>
                <w:sz w:val="18"/>
              </w:rPr>
              <w:t>Projected</w:t>
            </w:r>
          </w:p>
        </w:tc>
        <w:tc>
          <w:tcPr>
            <w:tcW w:w="751" w:type="dxa"/>
            <w:tcBorders>
              <w:top w:val="single" w:sz="2" w:space="0" w:color="FFFFFF"/>
              <w:left w:val="single" w:sz="2" w:space="0" w:color="6D2A78"/>
              <w:bottom w:val="single" w:sz="2" w:space="0" w:color="6D2A78"/>
              <w:right w:val="single" w:sz="2" w:space="0" w:color="6D2A78"/>
            </w:tcBorders>
            <w:vAlign w:val="center"/>
          </w:tcPr>
          <w:p w14:paraId="7BB2C8CD" w14:textId="77777777" w:rsidR="00920B68" w:rsidRPr="00364545" w:rsidRDefault="00920B68" w:rsidP="00920B68">
            <w:pPr>
              <w:spacing w:line="259" w:lineRule="auto"/>
              <w:jc w:val="center"/>
              <w:rPr>
                <w:sz w:val="18"/>
              </w:rPr>
            </w:pPr>
            <w:r w:rsidRPr="00364545">
              <w:rPr>
                <w:sz w:val="18"/>
              </w:rPr>
              <w:t>Projected</w:t>
            </w:r>
          </w:p>
        </w:tc>
      </w:tr>
      <w:tr w:rsidR="00920B68" w:rsidRPr="00364545" w14:paraId="055C98DB" w14:textId="77777777" w:rsidTr="00920B68">
        <w:trPr>
          <w:trHeight w:val="211"/>
        </w:trPr>
        <w:tc>
          <w:tcPr>
            <w:tcW w:w="915"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4C821D0B" w14:textId="77777777" w:rsidR="00920B68" w:rsidRPr="00364545" w:rsidRDefault="00920B68" w:rsidP="00920B68">
            <w:pPr>
              <w:spacing w:line="259" w:lineRule="auto"/>
              <w:ind w:right="9"/>
              <w:jc w:val="center"/>
            </w:pPr>
            <w:r w:rsidRPr="00364545">
              <w:rPr>
                <w:sz w:val="18"/>
              </w:rPr>
              <w:t>All (</w:t>
            </w:r>
            <w:r>
              <w:rPr>
                <w:sz w:val="18"/>
              </w:rPr>
              <w:t>excluding</w:t>
            </w:r>
            <w:r w:rsidRPr="00364545">
              <w:rPr>
                <w:sz w:val="18"/>
              </w:rPr>
              <w:t xml:space="preserve"> LULUCF) </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36A10444" w14:textId="77777777" w:rsidR="00920B68" w:rsidRPr="001546BC" w:rsidRDefault="00920B68" w:rsidP="00920B68">
            <w:pPr>
              <w:spacing w:line="259" w:lineRule="auto"/>
              <w:ind w:left="57"/>
              <w:jc w:val="center"/>
              <w:rPr>
                <w:rFonts w:ascii="Calibri" w:hAnsi="Calibri" w:cs="Calibri"/>
                <w:b/>
                <w:color w:val="000000"/>
                <w:sz w:val="20"/>
                <w:szCs w:val="20"/>
              </w:rPr>
            </w:pPr>
            <w:r w:rsidRPr="001546BC">
              <w:rPr>
                <w:rFonts w:ascii="Calibri" w:hAnsi="Calibri"/>
                <w:b/>
                <w:sz w:val="20"/>
              </w:rPr>
              <w:t>544086</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5A2D734D" w14:textId="77777777" w:rsidR="00920B68" w:rsidRPr="001546BC" w:rsidRDefault="00920B68" w:rsidP="00920B68">
            <w:pPr>
              <w:spacing w:line="259" w:lineRule="auto"/>
              <w:ind w:left="57"/>
              <w:jc w:val="center"/>
              <w:rPr>
                <w:rFonts w:ascii="Calibri" w:hAnsi="Calibri" w:cs="Calibri"/>
                <w:b/>
                <w:color w:val="000000"/>
                <w:sz w:val="20"/>
                <w:szCs w:val="20"/>
              </w:rPr>
            </w:pPr>
            <w:r w:rsidRPr="001546BC">
              <w:rPr>
                <w:rFonts w:ascii="Calibri" w:hAnsi="Calibri"/>
                <w:b/>
                <w:sz w:val="20"/>
              </w:rPr>
              <w:t>536475</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1CAD3F92"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549005</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3D6C7B69"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551391</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05C74DE7"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507468</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4A0459D4"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457923</w:t>
            </w:r>
          </w:p>
        </w:tc>
        <w:tc>
          <w:tcPr>
            <w:tcW w:w="753"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23F6FBB9" w14:textId="77777777" w:rsidR="00920B68" w:rsidRPr="00634E4C" w:rsidRDefault="00920B68" w:rsidP="00920B68">
            <w:pPr>
              <w:spacing w:line="259" w:lineRule="auto"/>
              <w:ind w:left="58"/>
              <w:jc w:val="center"/>
              <w:rPr>
                <w:rFonts w:ascii="Calibri" w:hAnsi="Calibri"/>
                <w:b/>
                <w:sz w:val="20"/>
              </w:rPr>
            </w:pPr>
            <w:r w:rsidRPr="006E265A">
              <w:rPr>
                <w:rFonts w:ascii="Calibri" w:hAnsi="Calibri" w:cs="Calibri"/>
                <w:b/>
                <w:sz w:val="20"/>
              </w:rPr>
              <w:t>434539</w:t>
            </w:r>
          </w:p>
        </w:tc>
        <w:tc>
          <w:tcPr>
            <w:tcW w:w="751"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5523BCA6" w14:textId="77777777" w:rsidR="00920B68" w:rsidRPr="00364545" w:rsidRDefault="00920B68" w:rsidP="00920B68">
            <w:pPr>
              <w:spacing w:line="259" w:lineRule="auto"/>
              <w:ind w:left="58"/>
              <w:jc w:val="center"/>
              <w:rPr>
                <w:b/>
              </w:rPr>
            </w:pPr>
            <w:r w:rsidRPr="00364545">
              <w:rPr>
                <w:rFonts w:ascii="Calibri" w:hAnsi="Calibri"/>
                <w:b/>
                <w:color w:val="000000"/>
                <w:sz w:val="20"/>
              </w:rPr>
              <w:t>434378</w:t>
            </w:r>
          </w:p>
        </w:tc>
        <w:tc>
          <w:tcPr>
            <w:tcW w:w="751"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57092157" w14:textId="77777777" w:rsidR="00920B68" w:rsidRPr="00364545" w:rsidRDefault="00920B68" w:rsidP="00920B68">
            <w:pPr>
              <w:spacing w:line="259" w:lineRule="auto"/>
              <w:ind w:left="59"/>
              <w:jc w:val="center"/>
              <w:rPr>
                <w:b/>
              </w:rPr>
            </w:pPr>
            <w:r w:rsidRPr="00364545">
              <w:rPr>
                <w:rFonts w:ascii="Calibri" w:hAnsi="Calibri"/>
                <w:b/>
                <w:color w:val="000000"/>
                <w:sz w:val="20"/>
              </w:rPr>
              <w:t>367661</w:t>
            </w:r>
          </w:p>
        </w:tc>
        <w:tc>
          <w:tcPr>
            <w:tcW w:w="751"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1450FC2C" w14:textId="77777777" w:rsidR="00920B68" w:rsidRPr="00364545" w:rsidRDefault="00920B68" w:rsidP="00920B68">
            <w:pPr>
              <w:spacing w:line="259" w:lineRule="auto"/>
              <w:ind w:left="58"/>
              <w:jc w:val="center"/>
              <w:rPr>
                <w:b/>
              </w:rPr>
            </w:pPr>
            <w:r w:rsidRPr="00364545">
              <w:rPr>
                <w:rFonts w:ascii="Calibri" w:hAnsi="Calibri"/>
                <w:b/>
                <w:color w:val="000000"/>
                <w:sz w:val="20"/>
              </w:rPr>
              <w:t>307094</w:t>
            </w:r>
          </w:p>
        </w:tc>
        <w:tc>
          <w:tcPr>
            <w:tcW w:w="751"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01E6D73D" w14:textId="77777777" w:rsidR="00920B68" w:rsidRPr="00364545" w:rsidRDefault="00920B68" w:rsidP="00920B68">
            <w:pPr>
              <w:spacing w:line="259" w:lineRule="auto"/>
              <w:ind w:left="59"/>
              <w:jc w:val="center"/>
              <w:rPr>
                <w:b/>
              </w:rPr>
            </w:pPr>
            <w:r w:rsidRPr="00364545">
              <w:rPr>
                <w:rFonts w:ascii="Calibri" w:hAnsi="Calibri"/>
                <w:b/>
                <w:color w:val="000000"/>
                <w:sz w:val="20"/>
              </w:rPr>
              <w:t>247697</w:t>
            </w:r>
          </w:p>
        </w:tc>
        <w:tc>
          <w:tcPr>
            <w:tcW w:w="751" w:type="dxa"/>
            <w:tcBorders>
              <w:top w:val="single" w:sz="2" w:space="0" w:color="6D2A78"/>
              <w:left w:val="single" w:sz="2" w:space="0" w:color="6D2A78"/>
              <w:bottom w:val="single" w:sz="2" w:space="0" w:color="6D2A78"/>
              <w:right w:val="single" w:sz="2" w:space="0" w:color="6D2A78"/>
            </w:tcBorders>
            <w:shd w:val="clear" w:color="auto" w:fill="ECE6E2"/>
            <w:vAlign w:val="center"/>
          </w:tcPr>
          <w:p w14:paraId="0FDBFBEE" w14:textId="77777777" w:rsidR="00920B68" w:rsidRPr="00364545" w:rsidRDefault="00920B68" w:rsidP="00920B68">
            <w:pPr>
              <w:spacing w:line="259" w:lineRule="auto"/>
              <w:ind w:left="59"/>
              <w:jc w:val="center"/>
              <w:rPr>
                <w:b/>
                <w:sz w:val="18"/>
              </w:rPr>
            </w:pPr>
            <w:r w:rsidRPr="00364545">
              <w:rPr>
                <w:rFonts w:ascii="Calibri" w:hAnsi="Calibri"/>
                <w:b/>
                <w:color w:val="000000"/>
                <w:sz w:val="20"/>
              </w:rPr>
              <w:t>64551</w:t>
            </w:r>
          </w:p>
        </w:tc>
      </w:tr>
      <w:tr w:rsidR="00920B68" w:rsidRPr="00364545" w14:paraId="4A373529" w14:textId="77777777" w:rsidTr="00920B68">
        <w:trPr>
          <w:trHeight w:val="211"/>
        </w:trPr>
        <w:tc>
          <w:tcPr>
            <w:tcW w:w="915" w:type="dxa"/>
            <w:tcBorders>
              <w:top w:val="single" w:sz="2" w:space="0" w:color="6D2A78"/>
              <w:left w:val="single" w:sz="2" w:space="0" w:color="6D2A78"/>
              <w:bottom w:val="single" w:sz="2" w:space="0" w:color="6D2A78"/>
              <w:right w:val="single" w:sz="2" w:space="0" w:color="6D2A78"/>
            </w:tcBorders>
            <w:vAlign w:val="center"/>
          </w:tcPr>
          <w:p w14:paraId="4C60C74D" w14:textId="77777777" w:rsidR="00920B68" w:rsidRPr="00364545" w:rsidRDefault="00920B68" w:rsidP="00920B68">
            <w:pPr>
              <w:spacing w:line="259" w:lineRule="auto"/>
              <w:ind w:left="144"/>
            </w:pPr>
            <w:r w:rsidRPr="00364545">
              <w:rPr>
                <w:sz w:val="18"/>
              </w:rPr>
              <w:t>All (</w:t>
            </w:r>
            <w:r>
              <w:rPr>
                <w:sz w:val="18"/>
              </w:rPr>
              <w:t>including</w:t>
            </w:r>
            <w:r w:rsidRPr="00364545">
              <w:rPr>
                <w:sz w:val="18"/>
              </w:rPr>
              <w:t xml:space="preserve"> LULUCF) </w:t>
            </w:r>
          </w:p>
        </w:tc>
        <w:tc>
          <w:tcPr>
            <w:tcW w:w="753" w:type="dxa"/>
            <w:tcBorders>
              <w:top w:val="single" w:sz="2" w:space="0" w:color="6D2A78"/>
              <w:left w:val="single" w:sz="2" w:space="0" w:color="6D2A78"/>
              <w:bottom w:val="single" w:sz="2" w:space="0" w:color="6D2A78"/>
              <w:right w:val="single" w:sz="2" w:space="0" w:color="6D2A78"/>
            </w:tcBorders>
            <w:vAlign w:val="center"/>
          </w:tcPr>
          <w:p w14:paraId="37CAA239" w14:textId="77777777" w:rsidR="00920B68" w:rsidRPr="001546BC" w:rsidRDefault="00920B68" w:rsidP="00920B68">
            <w:pPr>
              <w:spacing w:line="259" w:lineRule="auto"/>
              <w:ind w:left="57"/>
              <w:jc w:val="center"/>
              <w:rPr>
                <w:rFonts w:ascii="Calibri" w:hAnsi="Calibri" w:cs="Calibri"/>
                <w:b/>
                <w:color w:val="000000"/>
                <w:sz w:val="20"/>
                <w:szCs w:val="20"/>
              </w:rPr>
            </w:pPr>
            <w:r w:rsidRPr="001546BC">
              <w:rPr>
                <w:rFonts w:ascii="Calibri" w:hAnsi="Calibri"/>
                <w:b/>
                <w:sz w:val="20"/>
              </w:rPr>
              <w:t>520100</w:t>
            </w:r>
          </w:p>
        </w:tc>
        <w:tc>
          <w:tcPr>
            <w:tcW w:w="753" w:type="dxa"/>
            <w:tcBorders>
              <w:top w:val="single" w:sz="2" w:space="0" w:color="6D2A78"/>
              <w:left w:val="single" w:sz="2" w:space="0" w:color="6D2A78"/>
              <w:bottom w:val="single" w:sz="2" w:space="0" w:color="6D2A78"/>
              <w:right w:val="single" w:sz="2" w:space="0" w:color="6D2A78"/>
            </w:tcBorders>
            <w:vAlign w:val="center"/>
          </w:tcPr>
          <w:p w14:paraId="73BE48F5" w14:textId="77777777" w:rsidR="00920B68" w:rsidRPr="001546BC" w:rsidRDefault="00920B68" w:rsidP="00920B68">
            <w:pPr>
              <w:spacing w:line="259" w:lineRule="auto"/>
              <w:ind w:left="57"/>
              <w:jc w:val="center"/>
              <w:rPr>
                <w:rFonts w:ascii="Calibri" w:hAnsi="Calibri" w:cs="Calibri"/>
                <w:b/>
                <w:color w:val="000000"/>
                <w:sz w:val="20"/>
                <w:szCs w:val="20"/>
              </w:rPr>
            </w:pPr>
            <w:r w:rsidRPr="001546BC">
              <w:rPr>
                <w:rFonts w:ascii="Calibri" w:hAnsi="Calibri"/>
                <w:b/>
                <w:sz w:val="20"/>
              </w:rPr>
              <w:t>511596</w:t>
            </w:r>
          </w:p>
        </w:tc>
        <w:tc>
          <w:tcPr>
            <w:tcW w:w="753" w:type="dxa"/>
            <w:tcBorders>
              <w:top w:val="single" w:sz="2" w:space="0" w:color="6D2A78"/>
              <w:left w:val="single" w:sz="2" w:space="0" w:color="6D2A78"/>
              <w:bottom w:val="single" w:sz="2" w:space="0" w:color="6D2A78"/>
              <w:right w:val="single" w:sz="2" w:space="0" w:color="6D2A78"/>
            </w:tcBorders>
            <w:vAlign w:val="center"/>
          </w:tcPr>
          <w:p w14:paraId="6601E08E"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529295</w:t>
            </w:r>
          </w:p>
        </w:tc>
        <w:tc>
          <w:tcPr>
            <w:tcW w:w="753" w:type="dxa"/>
            <w:tcBorders>
              <w:top w:val="single" w:sz="2" w:space="0" w:color="6D2A78"/>
              <w:left w:val="single" w:sz="2" w:space="0" w:color="6D2A78"/>
              <w:bottom w:val="single" w:sz="2" w:space="0" w:color="6D2A78"/>
              <w:right w:val="single" w:sz="2" w:space="0" w:color="6D2A78"/>
            </w:tcBorders>
            <w:vAlign w:val="center"/>
          </w:tcPr>
          <w:p w14:paraId="711083AC"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504079</w:t>
            </w:r>
          </w:p>
        </w:tc>
        <w:tc>
          <w:tcPr>
            <w:tcW w:w="753" w:type="dxa"/>
            <w:tcBorders>
              <w:top w:val="single" w:sz="2" w:space="0" w:color="6D2A78"/>
              <w:left w:val="single" w:sz="2" w:space="0" w:color="6D2A78"/>
              <w:bottom w:val="single" w:sz="2" w:space="0" w:color="6D2A78"/>
              <w:right w:val="single" w:sz="2" w:space="0" w:color="6D2A78"/>
            </w:tcBorders>
            <w:vAlign w:val="center"/>
          </w:tcPr>
          <w:p w14:paraId="21984064"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469112</w:t>
            </w:r>
          </w:p>
        </w:tc>
        <w:tc>
          <w:tcPr>
            <w:tcW w:w="753" w:type="dxa"/>
            <w:tcBorders>
              <w:top w:val="single" w:sz="2" w:space="0" w:color="6D2A78"/>
              <w:left w:val="single" w:sz="2" w:space="0" w:color="6D2A78"/>
              <w:bottom w:val="single" w:sz="2" w:space="0" w:color="6D2A78"/>
              <w:right w:val="single" w:sz="2" w:space="0" w:color="6D2A78"/>
            </w:tcBorders>
            <w:vAlign w:val="center"/>
          </w:tcPr>
          <w:p w14:paraId="68EB0D2C" w14:textId="77777777" w:rsidR="00920B68" w:rsidRPr="006E265A" w:rsidRDefault="00920B68" w:rsidP="00920B68">
            <w:pPr>
              <w:spacing w:line="259" w:lineRule="auto"/>
              <w:ind w:left="57"/>
              <w:jc w:val="center"/>
              <w:rPr>
                <w:rFonts w:ascii="Calibri" w:hAnsi="Calibri" w:cs="Calibri"/>
                <w:b/>
                <w:color w:val="000000"/>
                <w:sz w:val="20"/>
                <w:szCs w:val="20"/>
              </w:rPr>
            </w:pPr>
            <w:r w:rsidRPr="006E265A">
              <w:rPr>
                <w:rFonts w:ascii="Calibri" w:hAnsi="Calibri" w:cs="Calibri"/>
                <w:b/>
                <w:sz w:val="20"/>
              </w:rPr>
              <w:t>423346</w:t>
            </w:r>
          </w:p>
        </w:tc>
        <w:tc>
          <w:tcPr>
            <w:tcW w:w="753" w:type="dxa"/>
            <w:tcBorders>
              <w:top w:val="single" w:sz="2" w:space="0" w:color="6D2A78"/>
              <w:left w:val="single" w:sz="2" w:space="0" w:color="6D2A78"/>
              <w:bottom w:val="single" w:sz="2" w:space="0" w:color="6D2A78"/>
              <w:right w:val="single" w:sz="2" w:space="0" w:color="6D2A78"/>
            </w:tcBorders>
            <w:vAlign w:val="center"/>
          </w:tcPr>
          <w:p w14:paraId="1C6550D1" w14:textId="77777777" w:rsidR="00920B68" w:rsidRPr="00634E4C" w:rsidRDefault="00920B68" w:rsidP="00920B68">
            <w:pPr>
              <w:spacing w:line="259" w:lineRule="auto"/>
              <w:ind w:left="57"/>
              <w:jc w:val="center"/>
              <w:rPr>
                <w:rFonts w:ascii="Calibri" w:hAnsi="Calibri"/>
                <w:b/>
                <w:sz w:val="20"/>
              </w:rPr>
            </w:pPr>
            <w:r w:rsidRPr="006E265A">
              <w:rPr>
                <w:rFonts w:ascii="Calibri" w:hAnsi="Calibri" w:cs="Calibri"/>
                <w:b/>
                <w:sz w:val="20"/>
              </w:rPr>
              <w:t>422251</w:t>
            </w:r>
          </w:p>
        </w:tc>
        <w:tc>
          <w:tcPr>
            <w:tcW w:w="751" w:type="dxa"/>
            <w:tcBorders>
              <w:top w:val="single" w:sz="2" w:space="0" w:color="6D2A78"/>
              <w:left w:val="single" w:sz="2" w:space="0" w:color="6D2A78"/>
              <w:bottom w:val="single" w:sz="2" w:space="0" w:color="6D2A78"/>
              <w:right w:val="single" w:sz="2" w:space="0" w:color="6D2A78"/>
            </w:tcBorders>
            <w:vAlign w:val="center"/>
          </w:tcPr>
          <w:p w14:paraId="75DA10C1" w14:textId="77777777" w:rsidR="00920B68" w:rsidRPr="00364545" w:rsidRDefault="00920B68" w:rsidP="00920B68">
            <w:pPr>
              <w:spacing w:line="259" w:lineRule="auto"/>
              <w:ind w:left="57"/>
              <w:jc w:val="center"/>
              <w:rPr>
                <w:b/>
              </w:rPr>
            </w:pPr>
            <w:r w:rsidRPr="00364545">
              <w:rPr>
                <w:rFonts w:ascii="Calibri" w:hAnsi="Calibri"/>
                <w:b/>
                <w:color w:val="000000"/>
                <w:sz w:val="20"/>
              </w:rPr>
              <w:t>395383</w:t>
            </w:r>
          </w:p>
        </w:tc>
        <w:tc>
          <w:tcPr>
            <w:tcW w:w="751" w:type="dxa"/>
            <w:tcBorders>
              <w:top w:val="single" w:sz="2" w:space="0" w:color="6D2A78"/>
              <w:left w:val="single" w:sz="2" w:space="0" w:color="6D2A78"/>
              <w:bottom w:val="single" w:sz="2" w:space="0" w:color="6D2A78"/>
              <w:right w:val="single" w:sz="2" w:space="0" w:color="6D2A78"/>
            </w:tcBorders>
            <w:vAlign w:val="center"/>
          </w:tcPr>
          <w:p w14:paraId="49C1AA1C" w14:textId="77777777" w:rsidR="00920B68" w:rsidRPr="00364545" w:rsidRDefault="00920B68" w:rsidP="00920B68">
            <w:pPr>
              <w:spacing w:line="259" w:lineRule="auto"/>
              <w:ind w:left="58"/>
              <w:jc w:val="center"/>
              <w:rPr>
                <w:b/>
              </w:rPr>
            </w:pPr>
            <w:r w:rsidRPr="00364545">
              <w:rPr>
                <w:rFonts w:ascii="Calibri" w:hAnsi="Calibri"/>
                <w:b/>
                <w:color w:val="000000"/>
                <w:sz w:val="20"/>
              </w:rPr>
              <w:t>329989</w:t>
            </w:r>
          </w:p>
        </w:tc>
        <w:tc>
          <w:tcPr>
            <w:tcW w:w="751" w:type="dxa"/>
            <w:tcBorders>
              <w:top w:val="single" w:sz="2" w:space="0" w:color="6D2A78"/>
              <w:left w:val="single" w:sz="2" w:space="0" w:color="6D2A78"/>
              <w:bottom w:val="single" w:sz="2" w:space="0" w:color="6D2A78"/>
              <w:right w:val="single" w:sz="2" w:space="0" w:color="6D2A78"/>
            </w:tcBorders>
            <w:vAlign w:val="center"/>
          </w:tcPr>
          <w:p w14:paraId="25A7C087" w14:textId="77777777" w:rsidR="00920B68" w:rsidRPr="00364545" w:rsidRDefault="00920B68" w:rsidP="00920B68">
            <w:pPr>
              <w:spacing w:line="259" w:lineRule="auto"/>
              <w:ind w:left="58"/>
              <w:jc w:val="center"/>
              <w:rPr>
                <w:b/>
              </w:rPr>
            </w:pPr>
            <w:r w:rsidRPr="00364545">
              <w:rPr>
                <w:rFonts w:ascii="Calibri" w:hAnsi="Calibri"/>
                <w:b/>
                <w:color w:val="000000"/>
                <w:sz w:val="20"/>
              </w:rPr>
              <w:t>266934</w:t>
            </w:r>
          </w:p>
        </w:tc>
        <w:tc>
          <w:tcPr>
            <w:tcW w:w="751" w:type="dxa"/>
            <w:tcBorders>
              <w:top w:val="single" w:sz="2" w:space="0" w:color="6D2A78"/>
              <w:left w:val="single" w:sz="2" w:space="0" w:color="6D2A78"/>
              <w:bottom w:val="single" w:sz="2" w:space="0" w:color="6D2A78"/>
              <w:right w:val="single" w:sz="2" w:space="0" w:color="6D2A78"/>
            </w:tcBorders>
            <w:vAlign w:val="center"/>
          </w:tcPr>
          <w:p w14:paraId="2F91B20B" w14:textId="77777777" w:rsidR="00920B68" w:rsidRPr="00364545" w:rsidRDefault="00920B68" w:rsidP="00920B68">
            <w:pPr>
              <w:keepNext/>
              <w:spacing w:line="259" w:lineRule="auto"/>
              <w:ind w:left="63"/>
              <w:jc w:val="center"/>
              <w:rPr>
                <w:b/>
              </w:rPr>
            </w:pPr>
            <w:r w:rsidRPr="00364545">
              <w:rPr>
                <w:rFonts w:ascii="Calibri" w:hAnsi="Calibri"/>
                <w:b/>
                <w:color w:val="000000"/>
                <w:sz w:val="20"/>
              </w:rPr>
              <w:t>202492</w:t>
            </w:r>
          </w:p>
        </w:tc>
        <w:tc>
          <w:tcPr>
            <w:tcW w:w="751" w:type="dxa"/>
            <w:tcBorders>
              <w:top w:val="single" w:sz="2" w:space="0" w:color="6D2A78"/>
              <w:left w:val="single" w:sz="2" w:space="0" w:color="6D2A78"/>
              <w:bottom w:val="single" w:sz="2" w:space="0" w:color="6D2A78"/>
              <w:right w:val="single" w:sz="2" w:space="0" w:color="6D2A78"/>
            </w:tcBorders>
            <w:vAlign w:val="center"/>
          </w:tcPr>
          <w:p w14:paraId="03680FEA" w14:textId="77777777" w:rsidR="00920B68" w:rsidRPr="00364545" w:rsidRDefault="00920B68" w:rsidP="00920B68">
            <w:pPr>
              <w:keepNext/>
              <w:spacing w:line="259" w:lineRule="auto"/>
              <w:ind w:left="63"/>
              <w:jc w:val="center"/>
              <w:rPr>
                <w:b/>
                <w:sz w:val="18"/>
              </w:rPr>
            </w:pPr>
            <w:r w:rsidRPr="00364545">
              <w:rPr>
                <w:rFonts w:ascii="Calibri" w:hAnsi="Calibri"/>
                <w:b/>
                <w:color w:val="000000"/>
                <w:sz w:val="20"/>
              </w:rPr>
              <w:t>-2597</w:t>
            </w:r>
          </w:p>
        </w:tc>
      </w:tr>
    </w:tbl>
    <w:p w14:paraId="42FF45BA" w14:textId="77777777" w:rsidR="00920B68" w:rsidRPr="00364545" w:rsidRDefault="00920B68" w:rsidP="00920B68">
      <w:pPr>
        <w:pStyle w:val="Standard"/>
        <w:jc w:val="both"/>
        <w:rPr>
          <w:rFonts w:asciiTheme="minorHAnsi" w:hAnsiTheme="minorHAnsi"/>
          <w:sz w:val="21"/>
          <w:szCs w:val="21"/>
        </w:rPr>
      </w:pPr>
    </w:p>
    <w:p w14:paraId="5622D69F" w14:textId="77777777" w:rsidR="00920B68" w:rsidRPr="00364545" w:rsidRDefault="00920B68" w:rsidP="00920B68">
      <w:pPr>
        <w:pStyle w:val="Caption"/>
      </w:pPr>
      <w:bookmarkStart w:id="120" w:name="_Toc123916504"/>
      <w:r w:rsidRPr="00364545">
        <w:t xml:space="preserve">Table </w:t>
      </w:r>
      <w:fldSimple w:instr=" SEQ Tableau \* ARABIC ">
        <w:r w:rsidRPr="00364545">
          <w:rPr>
            <w:noProof/>
          </w:rPr>
          <w:t>12</w:t>
        </w:r>
      </w:fldSimple>
      <w:r w:rsidRPr="00364545">
        <w:t>: GHG emission projections (in ktCO</w:t>
      </w:r>
      <w:r w:rsidRPr="00364545">
        <w:rPr>
          <w:vertAlign w:val="subscript"/>
        </w:rPr>
        <w:t>2e</w:t>
      </w:r>
      <w:r w:rsidRPr="00364545">
        <w:t>) at the Kyoto scope in the AMS 2018 scenario (with additional measures)</w:t>
      </w:r>
    </w:p>
    <w:p w14:paraId="11907ABD" w14:textId="77777777" w:rsidR="00920B68" w:rsidRDefault="00920B68" w:rsidP="00920B68">
      <w:pPr>
        <w:pStyle w:val="Caption"/>
      </w:pPr>
      <w:r w:rsidRPr="00364545">
        <w:t>Source: UN</w:t>
      </w:r>
      <w:r>
        <w:t>FCCC inventory, Citepa/MTE, 2022</w:t>
      </w:r>
      <w:r w:rsidRPr="00364545">
        <w:t xml:space="preserve"> submission and MTE emission projections, 2018</w:t>
      </w:r>
    </w:p>
    <w:p w14:paraId="6EC16A7E" w14:textId="77777777" w:rsidR="00920B68" w:rsidRPr="00364545" w:rsidRDefault="00920B68" w:rsidP="00920B68">
      <w:pPr>
        <w:spacing w:before="10" w:after="10"/>
        <w:jc w:val="center"/>
      </w:pPr>
      <w:r>
        <w:rPr>
          <w:noProof/>
          <w:lang w:val="fr-FR"/>
        </w:rPr>
        <w:drawing>
          <wp:inline distT="0" distB="0" distL="0" distR="0" wp14:anchorId="13FFB0D3" wp14:editId="532F402E">
            <wp:extent cx="4587240" cy="2656115"/>
            <wp:effectExtent l="0" t="0" r="3810" b="11430"/>
            <wp:docPr id="28706" name="Graphique 287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End w:id="120"/>
    </w:p>
    <w:p w14:paraId="0D1F48B5" w14:textId="77777777" w:rsidR="00920B68" w:rsidRPr="00364545" w:rsidRDefault="00920B68" w:rsidP="00920B68">
      <w:pPr>
        <w:pStyle w:val="Caption"/>
      </w:pPr>
      <w:bookmarkStart w:id="121" w:name="_Toc123916463"/>
      <w:r w:rsidRPr="00364545">
        <w:t xml:space="preserve">Figure </w:t>
      </w:r>
      <w:fldSimple w:instr=" SEQ Figure \* ARABIC ">
        <w:r w:rsidRPr="00364545">
          <w:rPr>
            <w:noProof/>
          </w:rPr>
          <w:t>52</w:t>
        </w:r>
      </w:fldSimple>
      <w:r w:rsidRPr="00364545">
        <w:t>: Emissions trajectory excluding LULUCF to 2050</w:t>
      </w:r>
      <w:bookmarkEnd w:id="121"/>
    </w:p>
    <w:p w14:paraId="0434EEA5" w14:textId="77777777" w:rsidR="00920B68" w:rsidRPr="00364545" w:rsidRDefault="00920B68" w:rsidP="00920B68">
      <w:pPr>
        <w:pStyle w:val="Caption"/>
      </w:pPr>
      <w:r w:rsidRPr="00364545">
        <w:t>Source: DGEC (French Directorate-General for Energy and Climate)</w:t>
      </w:r>
    </w:p>
    <w:p w14:paraId="7DB3EDD4" w14:textId="77777777" w:rsidR="00920B68" w:rsidRDefault="00920B68" w:rsidP="00920B68">
      <w:pPr>
        <w:pStyle w:val="Caption"/>
        <w:jc w:val="center"/>
      </w:pPr>
      <w:bookmarkStart w:id="122" w:name="_Toc123916464"/>
      <w:r w:rsidRPr="00364545">
        <w:rPr>
          <w:noProof/>
          <w:lang w:val="fr-FR"/>
        </w:rPr>
        <w:drawing>
          <wp:inline distT="0" distB="0" distL="0" distR="0" wp14:anchorId="56BE0106" wp14:editId="523A14A0">
            <wp:extent cx="4572000" cy="2743200"/>
            <wp:effectExtent l="0" t="0" r="0" b="0"/>
            <wp:docPr id="55" name="Graphique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AB7DF90" w14:textId="77777777" w:rsidR="00920B68" w:rsidRPr="00364545" w:rsidRDefault="00920B68" w:rsidP="00920B68">
      <w:pPr>
        <w:pStyle w:val="Caption"/>
      </w:pPr>
      <w:r w:rsidRPr="00364545">
        <w:t xml:space="preserve">Figure </w:t>
      </w:r>
      <w:fldSimple w:instr=" SEQ Figure \* ARABIC ">
        <w:r w:rsidRPr="00364545">
          <w:rPr>
            <w:noProof/>
          </w:rPr>
          <w:t>53</w:t>
        </w:r>
      </w:fldSimple>
      <w:r w:rsidRPr="00364545">
        <w:t>: Emissions trajectory with LULUCF up to 2050</w:t>
      </w:r>
      <w:bookmarkEnd w:id="122"/>
    </w:p>
    <w:p w14:paraId="7B0899C2" w14:textId="77777777" w:rsidR="00920B68" w:rsidRPr="00364545" w:rsidRDefault="00920B68" w:rsidP="00920B68">
      <w:pPr>
        <w:pStyle w:val="Caption"/>
      </w:pPr>
      <w:r w:rsidRPr="00364545">
        <w:t>Source: DGEC (French Directorate-General for Energy and Climate)</w:t>
      </w:r>
    </w:p>
    <w:p w14:paraId="52E7FB6B" w14:textId="3B471DAB" w:rsidR="006C000D" w:rsidRPr="005B54EE" w:rsidRDefault="005066D8" w:rsidP="00D8302C">
      <w:pPr>
        <w:pStyle w:val="Titre2Niveau2"/>
      </w:pPr>
      <w:bookmarkStart w:id="123" w:name="_Toc138344695"/>
      <w:bookmarkEnd w:id="91"/>
      <w:r w:rsidRPr="005B54EE">
        <w:t>Detail by sector and by gas</w:t>
      </w:r>
      <w:bookmarkEnd w:id="123"/>
    </w:p>
    <w:p w14:paraId="28A52438" w14:textId="77777777" w:rsidR="006C000D" w:rsidRPr="005B54EE" w:rsidRDefault="006C000D" w:rsidP="00B04A7C">
      <w:pPr>
        <w:pStyle w:val="Titre3Niveau3"/>
      </w:pPr>
      <w:bookmarkStart w:id="124" w:name="_Toc121215533"/>
      <w:bookmarkStart w:id="125" w:name="_Toc122694259"/>
      <w:bookmarkStart w:id="126" w:name="_Toc138344696"/>
      <w:r w:rsidRPr="005B54EE">
        <w:t>Trends by sector of activity</w:t>
      </w:r>
      <w:bookmarkEnd w:id="124"/>
      <w:bookmarkEnd w:id="125"/>
      <w:bookmarkEnd w:id="126"/>
    </w:p>
    <w:p w14:paraId="626B44D8" w14:textId="77777777" w:rsidR="006C000D" w:rsidRPr="005B54EE" w:rsidRDefault="006C000D" w:rsidP="006C000D">
      <w:pPr>
        <w:rPr>
          <w:szCs w:val="21"/>
        </w:rPr>
      </w:pPr>
      <w:r w:rsidRPr="005B54EE">
        <w:t>The tables and graphs below present the breakdown of France’s emissions projections by sector of activity for 2020 and 2030, firstly by major sector of activity, and then by sub-detailing the energy sector. The results are presented using the CRF categories defined in the IPCC guidelines for national GHG inventories.</w:t>
      </w:r>
    </w:p>
    <w:p w14:paraId="483CFDC4" w14:textId="77777777" w:rsidR="006C000D" w:rsidRPr="005B54EE" w:rsidRDefault="006C000D" w:rsidP="006C000D">
      <w:pPr>
        <w:pStyle w:val="Titre4niveau4"/>
      </w:pPr>
      <w:r w:rsidRPr="005B54EE">
        <w:t xml:space="preserve">Presentation by macro-sector (energy, agriculture, industrial processes and waste treatment) </w:t>
      </w:r>
    </w:p>
    <w:p w14:paraId="66E0263C" w14:textId="77777777" w:rsidR="006C000D" w:rsidRPr="005B54EE" w:rsidRDefault="006C000D" w:rsidP="006C000D"/>
    <w:p w14:paraId="0B32408E" w14:textId="77777777" w:rsidR="00920B68" w:rsidRPr="00364545" w:rsidRDefault="00920B68" w:rsidP="00920B68"/>
    <w:p w14:paraId="21E3385E" w14:textId="77777777" w:rsidR="00920B68" w:rsidRPr="00364545" w:rsidRDefault="00920B68" w:rsidP="00920B68">
      <w:pPr>
        <w:pStyle w:val="titreencadre"/>
        <w:numPr>
          <w:ilvl w:val="3"/>
          <w:numId w:val="108"/>
        </w:numPr>
        <w:spacing w:before="120" w:after="60" w:line="240" w:lineRule="auto"/>
      </w:pPr>
      <w:r w:rsidRPr="00364545">
        <w:t>AME 2021</w:t>
      </w:r>
    </w:p>
    <w:tbl>
      <w:tblPr>
        <w:tblStyle w:val="TableGrid0"/>
        <w:tblW w:w="10709" w:type="dxa"/>
        <w:tblInd w:w="10" w:type="dxa"/>
        <w:tblLayout w:type="fixed"/>
        <w:tblCellMar>
          <w:top w:w="40" w:type="dxa"/>
          <w:left w:w="28" w:type="dxa"/>
          <w:right w:w="3" w:type="dxa"/>
        </w:tblCellMar>
        <w:tblLook w:val="04A0" w:firstRow="1" w:lastRow="0" w:firstColumn="1" w:lastColumn="0" w:noHBand="0" w:noVBand="1"/>
      </w:tblPr>
      <w:tblGrid>
        <w:gridCol w:w="1405"/>
        <w:gridCol w:w="775"/>
        <w:gridCol w:w="775"/>
        <w:gridCol w:w="775"/>
        <w:gridCol w:w="776"/>
        <w:gridCol w:w="775"/>
        <w:gridCol w:w="775"/>
        <w:gridCol w:w="776"/>
        <w:gridCol w:w="775"/>
        <w:gridCol w:w="775"/>
        <w:gridCol w:w="776"/>
        <w:gridCol w:w="775"/>
        <w:gridCol w:w="776"/>
      </w:tblGrid>
      <w:tr w:rsidR="00920B68" w:rsidRPr="00364545" w14:paraId="6BA9B9FD" w14:textId="77777777" w:rsidTr="00920B68">
        <w:trPr>
          <w:trHeight w:val="400"/>
        </w:trPr>
        <w:tc>
          <w:tcPr>
            <w:tcW w:w="1405" w:type="dxa"/>
            <w:tcBorders>
              <w:top w:val="single" w:sz="2" w:space="0" w:color="000000"/>
              <w:left w:val="single" w:sz="2" w:space="0" w:color="000000"/>
              <w:bottom w:val="single" w:sz="2" w:space="0" w:color="000000"/>
              <w:right w:val="single" w:sz="2" w:space="0" w:color="000000"/>
            </w:tcBorders>
            <w:shd w:val="clear" w:color="auto" w:fill="6D2A78"/>
          </w:tcPr>
          <w:p w14:paraId="24F62B24" w14:textId="77777777" w:rsidR="00920B68" w:rsidRPr="00364545" w:rsidRDefault="00920B68" w:rsidP="00920B68">
            <w:pPr>
              <w:spacing w:line="259" w:lineRule="auto"/>
              <w:rPr>
                <w:b/>
              </w:rPr>
            </w:pPr>
            <w:r w:rsidRPr="00364545">
              <w:rPr>
                <w:b/>
                <w:color w:val="FFFFFF" w:themeColor="background1"/>
              </w:rPr>
              <w:t>AME 21</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12E1D860" w14:textId="77777777" w:rsidR="00920B68" w:rsidRPr="00364545" w:rsidRDefault="00920B68" w:rsidP="00920B68">
            <w:pPr>
              <w:spacing w:line="259" w:lineRule="auto"/>
              <w:ind w:right="28"/>
              <w:jc w:val="center"/>
            </w:pPr>
            <w:r w:rsidRPr="00364545">
              <w:rPr>
                <w:b/>
                <w:color w:val="FFFFFF"/>
                <w:sz w:val="18"/>
              </w:rPr>
              <w:t xml:space="preserve">1990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7D369B9C" w14:textId="77777777" w:rsidR="00920B68" w:rsidRPr="00364545" w:rsidRDefault="00920B68" w:rsidP="00920B68">
            <w:pPr>
              <w:spacing w:line="259" w:lineRule="auto"/>
              <w:ind w:right="26"/>
              <w:jc w:val="center"/>
              <w:rPr>
                <w:b/>
                <w:color w:val="FFFFFF"/>
                <w:sz w:val="18"/>
              </w:rPr>
            </w:pPr>
            <w:r w:rsidRPr="00364545">
              <w:rPr>
                <w:b/>
                <w:color w:val="FFFFFF"/>
                <w:sz w:val="18"/>
              </w:rPr>
              <w:t>1995</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32FCAD7A" w14:textId="77777777" w:rsidR="00920B68" w:rsidRPr="00364545" w:rsidRDefault="00920B68" w:rsidP="00920B68">
            <w:pPr>
              <w:spacing w:line="259" w:lineRule="auto"/>
              <w:ind w:right="26"/>
              <w:jc w:val="center"/>
            </w:pPr>
            <w:r w:rsidRPr="00364545">
              <w:rPr>
                <w:b/>
                <w:color w:val="FFFFFF"/>
                <w:sz w:val="18"/>
              </w:rPr>
              <w:t xml:space="preserve">2000 </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2297FA43" w14:textId="77777777" w:rsidR="00920B68" w:rsidRPr="00364545" w:rsidRDefault="00920B68" w:rsidP="00920B68">
            <w:pPr>
              <w:spacing w:line="259" w:lineRule="auto"/>
              <w:ind w:right="28"/>
              <w:jc w:val="center"/>
            </w:pPr>
            <w:r w:rsidRPr="00364545">
              <w:rPr>
                <w:b/>
                <w:color w:val="FFFFFF"/>
                <w:sz w:val="18"/>
              </w:rPr>
              <w:t xml:space="preserve">2005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3B68A71E" w14:textId="77777777" w:rsidR="00920B68" w:rsidRPr="00364545" w:rsidRDefault="00920B68" w:rsidP="00920B68">
            <w:pPr>
              <w:spacing w:line="259" w:lineRule="auto"/>
              <w:ind w:right="26"/>
              <w:jc w:val="center"/>
            </w:pPr>
            <w:r w:rsidRPr="00364545">
              <w:rPr>
                <w:b/>
                <w:color w:val="FFFFFF"/>
                <w:sz w:val="18"/>
              </w:rPr>
              <w:t xml:space="preserve">2010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38E00E61" w14:textId="77777777" w:rsidR="00920B68" w:rsidRPr="00364545" w:rsidRDefault="00920B68" w:rsidP="00920B68">
            <w:pPr>
              <w:spacing w:line="259" w:lineRule="auto"/>
              <w:ind w:right="28"/>
              <w:jc w:val="center"/>
            </w:pPr>
            <w:r w:rsidRPr="00364545">
              <w:rPr>
                <w:b/>
                <w:color w:val="FFFFFF"/>
                <w:sz w:val="18"/>
              </w:rPr>
              <w:t xml:space="preserve">2015 </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069468F9" w14:textId="77777777" w:rsidR="00920B68" w:rsidRPr="00364545" w:rsidRDefault="00920B68" w:rsidP="00920B68">
            <w:pPr>
              <w:spacing w:line="259" w:lineRule="auto"/>
              <w:ind w:right="26"/>
              <w:jc w:val="center"/>
            </w:pPr>
            <w:r w:rsidRPr="00364545">
              <w:t>2019</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068BC1BF" w14:textId="77777777" w:rsidR="00920B68" w:rsidRPr="00364545" w:rsidRDefault="00920B68" w:rsidP="00920B68">
            <w:pPr>
              <w:spacing w:line="259" w:lineRule="auto"/>
              <w:ind w:right="28"/>
              <w:jc w:val="center"/>
            </w:pPr>
            <w:r w:rsidRPr="00364545">
              <w:rPr>
                <w:b/>
                <w:color w:val="FFFFFF"/>
                <w:sz w:val="18"/>
              </w:rPr>
              <w:t xml:space="preserve">2020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3A947316" w14:textId="77777777" w:rsidR="00920B68" w:rsidRPr="00364545" w:rsidRDefault="00920B68" w:rsidP="00920B68">
            <w:pPr>
              <w:spacing w:line="259" w:lineRule="auto"/>
              <w:ind w:right="26"/>
              <w:jc w:val="center"/>
            </w:pPr>
            <w:r w:rsidRPr="00364545">
              <w:rPr>
                <w:b/>
                <w:color w:val="FFFFFF"/>
                <w:sz w:val="18"/>
              </w:rPr>
              <w:t>2025</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6C0FDD65" w14:textId="77777777" w:rsidR="00920B68" w:rsidRPr="00364545" w:rsidRDefault="00920B68" w:rsidP="00920B68">
            <w:pPr>
              <w:spacing w:line="259" w:lineRule="auto"/>
              <w:ind w:right="27"/>
              <w:jc w:val="center"/>
            </w:pPr>
            <w:r w:rsidRPr="00364545">
              <w:rPr>
                <w:b/>
                <w:color w:val="FFFFFF"/>
                <w:sz w:val="18"/>
              </w:rPr>
              <w:t xml:space="preserve">2030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37AD53B1" w14:textId="77777777" w:rsidR="00920B68" w:rsidRPr="00364545" w:rsidRDefault="00920B68" w:rsidP="00920B68">
            <w:pPr>
              <w:spacing w:line="259" w:lineRule="auto"/>
              <w:ind w:right="27"/>
              <w:jc w:val="center"/>
              <w:rPr>
                <w:b/>
                <w:color w:val="FFFFFF"/>
                <w:sz w:val="18"/>
              </w:rPr>
            </w:pPr>
            <w:r w:rsidRPr="00364545">
              <w:rPr>
                <w:b/>
                <w:color w:val="FFFFFF"/>
                <w:sz w:val="18"/>
              </w:rPr>
              <w:t>2035</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0F708BA4" w14:textId="77777777" w:rsidR="00920B68" w:rsidRPr="00364545" w:rsidRDefault="00920B68" w:rsidP="00920B68">
            <w:pPr>
              <w:spacing w:line="259" w:lineRule="auto"/>
              <w:ind w:right="27"/>
              <w:jc w:val="center"/>
              <w:rPr>
                <w:b/>
                <w:color w:val="FFFFFF"/>
                <w:sz w:val="18"/>
              </w:rPr>
            </w:pPr>
            <w:r w:rsidRPr="00364545">
              <w:rPr>
                <w:b/>
                <w:color w:val="FFFFFF"/>
                <w:sz w:val="18"/>
              </w:rPr>
              <w:t>2050</w:t>
            </w:r>
          </w:p>
        </w:tc>
      </w:tr>
      <w:tr w:rsidR="00920B68" w:rsidRPr="00364545" w14:paraId="307D999C" w14:textId="77777777" w:rsidTr="00920B68">
        <w:trPr>
          <w:trHeight w:val="347"/>
        </w:trPr>
        <w:tc>
          <w:tcPr>
            <w:tcW w:w="1405" w:type="dxa"/>
            <w:tcBorders>
              <w:top w:val="single" w:sz="2" w:space="0" w:color="000000"/>
              <w:left w:val="single" w:sz="2" w:space="0" w:color="000000"/>
              <w:bottom w:val="single" w:sz="2" w:space="0" w:color="000000"/>
              <w:right w:val="single" w:sz="2" w:space="0" w:color="000000"/>
            </w:tcBorders>
          </w:tcPr>
          <w:p w14:paraId="69510D94" w14:textId="77777777" w:rsidR="00920B68" w:rsidRPr="00364545" w:rsidRDefault="00920B68" w:rsidP="00920B68">
            <w:pPr>
              <w:spacing w:line="259" w:lineRule="auto"/>
            </w:pPr>
            <w:r w:rsidRPr="00364545">
              <w:rPr>
                <w:sz w:val="18"/>
              </w:rPr>
              <w:t xml:space="preserve"> </w:t>
            </w:r>
          </w:p>
        </w:tc>
        <w:tc>
          <w:tcPr>
            <w:tcW w:w="5427" w:type="dxa"/>
            <w:gridSpan w:val="7"/>
            <w:tcBorders>
              <w:top w:val="single" w:sz="2" w:space="0" w:color="000000"/>
              <w:left w:val="single" w:sz="2" w:space="0" w:color="000000"/>
              <w:bottom w:val="single" w:sz="2" w:space="0" w:color="000000"/>
              <w:right w:val="single" w:sz="2" w:space="0" w:color="000000"/>
            </w:tcBorders>
          </w:tcPr>
          <w:p w14:paraId="6582CB8B" w14:textId="77777777" w:rsidR="00920B68" w:rsidRPr="00364545" w:rsidRDefault="00920B68" w:rsidP="00920B68">
            <w:pPr>
              <w:spacing w:line="259" w:lineRule="auto"/>
              <w:ind w:left="76"/>
              <w:jc w:val="center"/>
            </w:pPr>
            <w:r w:rsidRPr="00364545">
              <w:rPr>
                <w:b/>
                <w:color w:val="6D2A78"/>
                <w:sz w:val="18"/>
              </w:rPr>
              <w:t>Observed</w:t>
            </w:r>
          </w:p>
        </w:tc>
        <w:tc>
          <w:tcPr>
            <w:tcW w:w="3877" w:type="dxa"/>
            <w:gridSpan w:val="5"/>
            <w:tcBorders>
              <w:top w:val="single" w:sz="2" w:space="0" w:color="000000"/>
              <w:left w:val="single" w:sz="2" w:space="0" w:color="000000"/>
              <w:bottom w:val="single" w:sz="2" w:space="0" w:color="000000"/>
              <w:right w:val="single" w:sz="2" w:space="0" w:color="000000"/>
            </w:tcBorders>
          </w:tcPr>
          <w:p w14:paraId="65C77919" w14:textId="77777777" w:rsidR="00920B68" w:rsidRPr="00364545" w:rsidRDefault="00920B68" w:rsidP="00920B68">
            <w:pPr>
              <w:spacing w:line="259" w:lineRule="auto"/>
              <w:ind w:left="75"/>
              <w:jc w:val="center"/>
              <w:rPr>
                <w:b/>
                <w:color w:val="6D2A78"/>
                <w:sz w:val="18"/>
              </w:rPr>
            </w:pPr>
            <w:r w:rsidRPr="00364545">
              <w:rPr>
                <w:b/>
                <w:color w:val="6D2A78"/>
                <w:sz w:val="18"/>
              </w:rPr>
              <w:t>Projected</w:t>
            </w:r>
          </w:p>
        </w:tc>
      </w:tr>
      <w:tr w:rsidR="00920B68" w:rsidRPr="00364545" w14:paraId="7EDD5F6F"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5D7AD43B" w14:textId="77777777" w:rsidR="00920B68" w:rsidRPr="00364545" w:rsidRDefault="00920B68" w:rsidP="00920B68">
            <w:pPr>
              <w:spacing w:line="259" w:lineRule="auto"/>
              <w:jc w:val="left"/>
            </w:pPr>
            <w:r w:rsidRPr="00364545">
              <w:rPr>
                <w:sz w:val="18"/>
              </w:rPr>
              <w:t xml:space="preserve">Energy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C2CBE1D" w14:textId="77777777" w:rsidR="00920B68" w:rsidRPr="00364545" w:rsidRDefault="00920B68" w:rsidP="00920B68">
            <w:pPr>
              <w:spacing w:line="259" w:lineRule="auto"/>
              <w:jc w:val="center"/>
            </w:pPr>
            <w:r>
              <w:rPr>
                <w:sz w:val="18"/>
                <w:szCs w:val="18"/>
              </w:rPr>
              <w:t>367272</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B8640D7" w14:textId="77777777" w:rsidR="00920B68" w:rsidRPr="00364545" w:rsidRDefault="00920B68" w:rsidP="00920B68">
            <w:pPr>
              <w:spacing w:line="259" w:lineRule="auto"/>
              <w:ind w:left="56"/>
              <w:jc w:val="center"/>
              <w:rPr>
                <w:sz w:val="18"/>
                <w:szCs w:val="18"/>
              </w:rPr>
            </w:pPr>
            <w:r>
              <w:rPr>
                <w:sz w:val="18"/>
                <w:szCs w:val="18"/>
              </w:rPr>
              <w:t>366079</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8725DF0" w14:textId="77777777" w:rsidR="00920B68" w:rsidRPr="00364545" w:rsidRDefault="00920B68" w:rsidP="00920B68">
            <w:pPr>
              <w:spacing w:line="259" w:lineRule="auto"/>
              <w:ind w:left="56"/>
              <w:jc w:val="center"/>
            </w:pPr>
            <w:r>
              <w:rPr>
                <w:sz w:val="18"/>
                <w:szCs w:val="18"/>
              </w:rPr>
              <w:t>381989</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68A6DF7" w14:textId="77777777" w:rsidR="00920B68" w:rsidRPr="00364545" w:rsidRDefault="00920B68" w:rsidP="00920B68">
            <w:pPr>
              <w:spacing w:line="259" w:lineRule="auto"/>
              <w:ind w:left="55"/>
              <w:jc w:val="center"/>
            </w:pPr>
            <w:r>
              <w:rPr>
                <w:sz w:val="18"/>
                <w:szCs w:val="18"/>
              </w:rPr>
              <w:t>390391</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7A99C42" w14:textId="77777777" w:rsidR="00920B68" w:rsidRPr="00364545" w:rsidRDefault="00920B68" w:rsidP="00920B68">
            <w:pPr>
              <w:spacing w:line="259" w:lineRule="auto"/>
              <w:ind w:left="56"/>
              <w:jc w:val="center"/>
            </w:pPr>
            <w:r>
              <w:rPr>
                <w:sz w:val="18"/>
                <w:szCs w:val="18"/>
              </w:rPr>
              <w:t>357711</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0DC6FD0" w14:textId="77777777" w:rsidR="00920B68" w:rsidRPr="00364545" w:rsidRDefault="00920B68" w:rsidP="00920B68">
            <w:pPr>
              <w:spacing w:line="259" w:lineRule="auto"/>
              <w:ind w:left="55"/>
              <w:jc w:val="center"/>
            </w:pPr>
            <w:r>
              <w:rPr>
                <w:sz w:val="18"/>
                <w:szCs w:val="18"/>
              </w:rPr>
              <w:t>313634</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bottom"/>
          </w:tcPr>
          <w:p w14:paraId="23BA3E41" w14:textId="77777777" w:rsidR="00920B68" w:rsidRPr="00364545" w:rsidRDefault="00920B68" w:rsidP="00920B68">
            <w:pPr>
              <w:spacing w:line="259" w:lineRule="auto"/>
              <w:ind w:left="56"/>
              <w:jc w:val="center"/>
            </w:pPr>
            <w:r>
              <w:rPr>
                <w:sz w:val="18"/>
                <w:szCs w:val="18"/>
              </w:rPr>
              <w:t>297313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AF3063A" w14:textId="77777777" w:rsidR="00920B68" w:rsidRPr="00364545" w:rsidRDefault="00920B68" w:rsidP="00920B68">
            <w:pPr>
              <w:spacing w:line="259" w:lineRule="auto"/>
              <w:ind w:left="56"/>
              <w:jc w:val="center"/>
              <w:rPr>
                <w:sz w:val="18"/>
                <w:szCs w:val="18"/>
              </w:rPr>
            </w:pPr>
            <w:r w:rsidRPr="00364545">
              <w:rPr>
                <w:sz w:val="18"/>
              </w:rPr>
              <w:t>264395</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42B068" w14:textId="77777777" w:rsidR="00920B68" w:rsidRPr="00364545" w:rsidRDefault="00920B68" w:rsidP="00920B68">
            <w:pPr>
              <w:spacing w:line="259" w:lineRule="auto"/>
              <w:ind w:left="56"/>
              <w:jc w:val="center"/>
              <w:rPr>
                <w:sz w:val="18"/>
                <w:szCs w:val="18"/>
              </w:rPr>
            </w:pPr>
            <w:r w:rsidRPr="00364545">
              <w:rPr>
                <w:sz w:val="18"/>
              </w:rPr>
              <w:t>261598</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7652F5" w14:textId="77777777" w:rsidR="00920B68" w:rsidRPr="00364545" w:rsidRDefault="00920B68" w:rsidP="00920B68">
            <w:pPr>
              <w:spacing w:line="259" w:lineRule="auto"/>
              <w:ind w:left="56"/>
              <w:jc w:val="center"/>
              <w:rPr>
                <w:sz w:val="18"/>
                <w:szCs w:val="18"/>
              </w:rPr>
            </w:pPr>
            <w:r w:rsidRPr="00364545">
              <w:rPr>
                <w:sz w:val="18"/>
              </w:rPr>
              <w:t>240639</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595E4A" w14:textId="77777777" w:rsidR="00920B68" w:rsidRPr="00364545" w:rsidRDefault="00920B68" w:rsidP="00920B68">
            <w:pPr>
              <w:spacing w:line="259" w:lineRule="auto"/>
              <w:ind w:left="56"/>
              <w:jc w:val="center"/>
              <w:rPr>
                <w:sz w:val="18"/>
                <w:szCs w:val="18"/>
              </w:rPr>
            </w:pPr>
            <w:r w:rsidRPr="00364545">
              <w:rPr>
                <w:sz w:val="18"/>
              </w:rPr>
              <w:t>231245</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6831C31" w14:textId="77777777" w:rsidR="00920B68" w:rsidRPr="00364545" w:rsidRDefault="00920B68" w:rsidP="00920B68">
            <w:pPr>
              <w:spacing w:line="259" w:lineRule="auto"/>
              <w:ind w:left="56"/>
              <w:jc w:val="center"/>
              <w:rPr>
                <w:sz w:val="18"/>
                <w:szCs w:val="18"/>
              </w:rPr>
            </w:pPr>
            <w:r w:rsidRPr="00364545">
              <w:rPr>
                <w:sz w:val="18"/>
              </w:rPr>
              <w:t>211199</w:t>
            </w:r>
          </w:p>
        </w:tc>
      </w:tr>
      <w:tr w:rsidR="00920B68" w:rsidRPr="00364545" w14:paraId="04909E90" w14:textId="77777777" w:rsidTr="00920B68">
        <w:trPr>
          <w:trHeight w:val="419"/>
        </w:trPr>
        <w:tc>
          <w:tcPr>
            <w:tcW w:w="1405" w:type="dxa"/>
            <w:tcBorders>
              <w:top w:val="single" w:sz="2" w:space="0" w:color="000000"/>
              <w:left w:val="single" w:sz="2" w:space="0" w:color="000000"/>
              <w:bottom w:val="single" w:sz="2" w:space="0" w:color="000000"/>
              <w:right w:val="single" w:sz="2" w:space="0" w:color="000000"/>
            </w:tcBorders>
          </w:tcPr>
          <w:p w14:paraId="0DA32B26" w14:textId="77777777" w:rsidR="00920B68" w:rsidRPr="00364545" w:rsidRDefault="00920B68" w:rsidP="00920B68">
            <w:pPr>
              <w:spacing w:line="259" w:lineRule="auto"/>
              <w:jc w:val="left"/>
            </w:pPr>
            <w:r w:rsidRPr="00364545">
              <w:rPr>
                <w:sz w:val="18"/>
              </w:rPr>
              <w:t xml:space="preserve">Industrial processes, solvents and other products </w:t>
            </w:r>
          </w:p>
        </w:tc>
        <w:tc>
          <w:tcPr>
            <w:tcW w:w="775" w:type="dxa"/>
            <w:tcBorders>
              <w:top w:val="single" w:sz="2" w:space="0" w:color="000000"/>
              <w:left w:val="single" w:sz="2" w:space="0" w:color="000000"/>
              <w:bottom w:val="single" w:sz="2" w:space="0" w:color="000000"/>
              <w:right w:val="single" w:sz="2" w:space="0" w:color="000000"/>
            </w:tcBorders>
            <w:vAlign w:val="bottom"/>
          </w:tcPr>
          <w:p w14:paraId="47BB142A" w14:textId="77777777" w:rsidR="00920B68" w:rsidRPr="00364545" w:rsidRDefault="00920B68" w:rsidP="00920B68">
            <w:pPr>
              <w:spacing w:line="259" w:lineRule="auto"/>
              <w:ind w:left="106"/>
              <w:jc w:val="center"/>
            </w:pPr>
            <w:r>
              <w:rPr>
                <w:sz w:val="18"/>
                <w:szCs w:val="18"/>
              </w:rPr>
              <w:t>78729</w:t>
            </w:r>
          </w:p>
        </w:tc>
        <w:tc>
          <w:tcPr>
            <w:tcW w:w="775" w:type="dxa"/>
            <w:tcBorders>
              <w:top w:val="single" w:sz="2" w:space="0" w:color="000000"/>
              <w:left w:val="single" w:sz="2" w:space="0" w:color="000000"/>
              <w:bottom w:val="single" w:sz="2" w:space="0" w:color="000000"/>
              <w:right w:val="single" w:sz="2" w:space="0" w:color="000000"/>
            </w:tcBorders>
            <w:vAlign w:val="bottom"/>
          </w:tcPr>
          <w:p w14:paraId="6F017469" w14:textId="77777777" w:rsidR="00920B68" w:rsidRPr="00364545" w:rsidRDefault="00920B68" w:rsidP="00920B68">
            <w:pPr>
              <w:spacing w:line="259" w:lineRule="auto"/>
              <w:ind w:left="56"/>
              <w:jc w:val="center"/>
              <w:rPr>
                <w:sz w:val="18"/>
                <w:szCs w:val="18"/>
              </w:rPr>
            </w:pPr>
            <w:r>
              <w:rPr>
                <w:sz w:val="18"/>
                <w:szCs w:val="18"/>
              </w:rPr>
              <w:t>71997</w:t>
            </w:r>
          </w:p>
        </w:tc>
        <w:tc>
          <w:tcPr>
            <w:tcW w:w="775" w:type="dxa"/>
            <w:tcBorders>
              <w:top w:val="single" w:sz="2" w:space="0" w:color="000000"/>
              <w:left w:val="single" w:sz="2" w:space="0" w:color="000000"/>
              <w:bottom w:val="single" w:sz="2" w:space="0" w:color="000000"/>
              <w:right w:val="single" w:sz="2" w:space="0" w:color="000000"/>
            </w:tcBorders>
            <w:vAlign w:val="bottom"/>
          </w:tcPr>
          <w:p w14:paraId="25DBC23A" w14:textId="77777777" w:rsidR="00920B68" w:rsidRPr="00364545" w:rsidRDefault="00920B68" w:rsidP="00920B68">
            <w:pPr>
              <w:spacing w:line="259" w:lineRule="auto"/>
              <w:ind w:left="107"/>
              <w:jc w:val="center"/>
            </w:pPr>
            <w:r>
              <w:rPr>
                <w:sz w:val="18"/>
                <w:szCs w:val="18"/>
              </w:rPr>
              <w:t>64668</w:t>
            </w:r>
          </w:p>
        </w:tc>
        <w:tc>
          <w:tcPr>
            <w:tcW w:w="776" w:type="dxa"/>
            <w:tcBorders>
              <w:top w:val="single" w:sz="2" w:space="0" w:color="000000"/>
              <w:left w:val="single" w:sz="2" w:space="0" w:color="000000"/>
              <w:bottom w:val="single" w:sz="2" w:space="0" w:color="000000"/>
              <w:right w:val="single" w:sz="2" w:space="0" w:color="000000"/>
            </w:tcBorders>
            <w:vAlign w:val="bottom"/>
          </w:tcPr>
          <w:p w14:paraId="7AB6FC11" w14:textId="77777777" w:rsidR="00920B68" w:rsidRPr="00364545" w:rsidRDefault="00920B68" w:rsidP="00920B68">
            <w:pPr>
              <w:spacing w:line="259" w:lineRule="auto"/>
              <w:ind w:left="106"/>
              <w:jc w:val="center"/>
            </w:pPr>
            <w:r>
              <w:rPr>
                <w:sz w:val="18"/>
                <w:szCs w:val="18"/>
              </w:rPr>
              <w:t>63620</w:t>
            </w:r>
          </w:p>
        </w:tc>
        <w:tc>
          <w:tcPr>
            <w:tcW w:w="775" w:type="dxa"/>
            <w:tcBorders>
              <w:top w:val="single" w:sz="2" w:space="0" w:color="000000"/>
              <w:left w:val="single" w:sz="2" w:space="0" w:color="000000"/>
              <w:bottom w:val="single" w:sz="2" w:space="0" w:color="000000"/>
              <w:right w:val="single" w:sz="2" w:space="0" w:color="000000"/>
            </w:tcBorders>
            <w:vAlign w:val="bottom"/>
          </w:tcPr>
          <w:p w14:paraId="58F0FF93" w14:textId="77777777" w:rsidR="00920B68" w:rsidRPr="00364545" w:rsidRDefault="00920B68" w:rsidP="00920B68">
            <w:pPr>
              <w:spacing w:line="259" w:lineRule="auto"/>
              <w:ind w:left="107"/>
              <w:jc w:val="center"/>
            </w:pPr>
            <w:r>
              <w:rPr>
                <w:sz w:val="18"/>
                <w:szCs w:val="18"/>
              </w:rPr>
              <w:t>53798</w:t>
            </w:r>
          </w:p>
        </w:tc>
        <w:tc>
          <w:tcPr>
            <w:tcW w:w="775" w:type="dxa"/>
            <w:tcBorders>
              <w:top w:val="single" w:sz="2" w:space="0" w:color="000000"/>
              <w:left w:val="single" w:sz="2" w:space="0" w:color="000000"/>
              <w:bottom w:val="single" w:sz="2" w:space="0" w:color="000000"/>
              <w:right w:val="single" w:sz="2" w:space="0" w:color="000000"/>
            </w:tcBorders>
            <w:vAlign w:val="bottom"/>
          </w:tcPr>
          <w:p w14:paraId="30899DB8" w14:textId="77777777" w:rsidR="00920B68" w:rsidRPr="00364545" w:rsidRDefault="00920B68" w:rsidP="00920B68">
            <w:pPr>
              <w:spacing w:line="259" w:lineRule="auto"/>
              <w:ind w:left="105"/>
              <w:jc w:val="center"/>
            </w:pPr>
            <w:r>
              <w:rPr>
                <w:sz w:val="18"/>
                <w:szCs w:val="18"/>
              </w:rPr>
              <w:t>50664</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bottom"/>
          </w:tcPr>
          <w:p w14:paraId="2A74643A" w14:textId="77777777" w:rsidR="00920B68" w:rsidRPr="00364545" w:rsidRDefault="00920B68" w:rsidP="00920B68">
            <w:pPr>
              <w:spacing w:line="259" w:lineRule="auto"/>
              <w:ind w:left="107"/>
              <w:jc w:val="center"/>
            </w:pPr>
            <w:r>
              <w:rPr>
                <w:sz w:val="18"/>
                <w:szCs w:val="18"/>
              </w:rPr>
              <w:t>46564</w:t>
            </w:r>
          </w:p>
        </w:tc>
        <w:tc>
          <w:tcPr>
            <w:tcW w:w="775" w:type="dxa"/>
            <w:tcBorders>
              <w:top w:val="single" w:sz="2" w:space="0" w:color="000000"/>
              <w:left w:val="single" w:sz="2" w:space="0" w:color="000000"/>
              <w:bottom w:val="single" w:sz="2" w:space="0" w:color="000000"/>
              <w:right w:val="single" w:sz="2" w:space="0" w:color="000000"/>
            </w:tcBorders>
            <w:vAlign w:val="center"/>
          </w:tcPr>
          <w:p w14:paraId="4E35CA61" w14:textId="77777777" w:rsidR="00920B68" w:rsidRPr="00364545" w:rsidRDefault="00920B68" w:rsidP="00920B68">
            <w:pPr>
              <w:spacing w:line="259" w:lineRule="auto"/>
              <w:ind w:left="56"/>
              <w:jc w:val="center"/>
              <w:rPr>
                <w:sz w:val="18"/>
                <w:szCs w:val="18"/>
              </w:rPr>
            </w:pPr>
            <w:r w:rsidRPr="00364545">
              <w:rPr>
                <w:sz w:val="18"/>
              </w:rPr>
              <w:t>43717</w:t>
            </w:r>
          </w:p>
        </w:tc>
        <w:tc>
          <w:tcPr>
            <w:tcW w:w="775" w:type="dxa"/>
            <w:tcBorders>
              <w:top w:val="single" w:sz="2" w:space="0" w:color="000000"/>
              <w:left w:val="single" w:sz="2" w:space="0" w:color="000000"/>
              <w:bottom w:val="single" w:sz="2" w:space="0" w:color="000000"/>
              <w:right w:val="single" w:sz="2" w:space="0" w:color="000000"/>
            </w:tcBorders>
            <w:vAlign w:val="center"/>
          </w:tcPr>
          <w:p w14:paraId="00A1C5C1" w14:textId="77777777" w:rsidR="00920B68" w:rsidRPr="00364545" w:rsidRDefault="00920B68" w:rsidP="00920B68">
            <w:pPr>
              <w:spacing w:line="259" w:lineRule="auto"/>
              <w:ind w:left="56"/>
              <w:jc w:val="center"/>
              <w:rPr>
                <w:sz w:val="18"/>
                <w:szCs w:val="18"/>
              </w:rPr>
            </w:pPr>
            <w:r w:rsidRPr="00364545">
              <w:rPr>
                <w:sz w:val="18"/>
              </w:rPr>
              <w:t>41701</w:t>
            </w:r>
          </w:p>
        </w:tc>
        <w:tc>
          <w:tcPr>
            <w:tcW w:w="776" w:type="dxa"/>
            <w:tcBorders>
              <w:top w:val="single" w:sz="2" w:space="0" w:color="000000"/>
              <w:left w:val="single" w:sz="2" w:space="0" w:color="000000"/>
              <w:bottom w:val="single" w:sz="2" w:space="0" w:color="000000"/>
              <w:right w:val="single" w:sz="2" w:space="0" w:color="000000"/>
            </w:tcBorders>
            <w:vAlign w:val="center"/>
          </w:tcPr>
          <w:p w14:paraId="592C40C6" w14:textId="77777777" w:rsidR="00920B68" w:rsidRPr="00364545" w:rsidRDefault="00920B68" w:rsidP="00920B68">
            <w:pPr>
              <w:spacing w:line="259" w:lineRule="auto"/>
              <w:ind w:left="56"/>
              <w:jc w:val="center"/>
              <w:rPr>
                <w:sz w:val="18"/>
                <w:szCs w:val="18"/>
              </w:rPr>
            </w:pPr>
            <w:r w:rsidRPr="00364545">
              <w:rPr>
                <w:sz w:val="18"/>
              </w:rPr>
              <w:t>39058</w:t>
            </w:r>
          </w:p>
        </w:tc>
        <w:tc>
          <w:tcPr>
            <w:tcW w:w="775" w:type="dxa"/>
            <w:tcBorders>
              <w:top w:val="single" w:sz="2" w:space="0" w:color="000000"/>
              <w:left w:val="single" w:sz="2" w:space="0" w:color="000000"/>
              <w:bottom w:val="single" w:sz="2" w:space="0" w:color="000000"/>
              <w:right w:val="single" w:sz="2" w:space="0" w:color="000000"/>
            </w:tcBorders>
            <w:vAlign w:val="center"/>
          </w:tcPr>
          <w:p w14:paraId="11BDC699" w14:textId="77777777" w:rsidR="00920B68" w:rsidRPr="00364545" w:rsidRDefault="00920B68" w:rsidP="00920B68">
            <w:pPr>
              <w:spacing w:line="259" w:lineRule="auto"/>
              <w:ind w:left="56"/>
              <w:jc w:val="center"/>
              <w:rPr>
                <w:sz w:val="18"/>
                <w:szCs w:val="18"/>
              </w:rPr>
            </w:pPr>
            <w:r w:rsidRPr="00364545">
              <w:rPr>
                <w:sz w:val="18"/>
              </w:rPr>
              <w:t>36794</w:t>
            </w:r>
          </w:p>
        </w:tc>
        <w:tc>
          <w:tcPr>
            <w:tcW w:w="776" w:type="dxa"/>
            <w:tcBorders>
              <w:top w:val="single" w:sz="2" w:space="0" w:color="000000"/>
              <w:left w:val="single" w:sz="2" w:space="0" w:color="000000"/>
              <w:bottom w:val="single" w:sz="2" w:space="0" w:color="000000"/>
              <w:right w:val="single" w:sz="2" w:space="0" w:color="000000"/>
            </w:tcBorders>
            <w:vAlign w:val="center"/>
          </w:tcPr>
          <w:p w14:paraId="38789248" w14:textId="77777777" w:rsidR="00920B68" w:rsidRPr="00364545" w:rsidRDefault="00920B68" w:rsidP="00920B68">
            <w:pPr>
              <w:spacing w:line="259" w:lineRule="auto"/>
              <w:ind w:left="56"/>
              <w:jc w:val="center"/>
              <w:rPr>
                <w:sz w:val="18"/>
                <w:szCs w:val="18"/>
              </w:rPr>
            </w:pPr>
            <w:r w:rsidRPr="00364545">
              <w:rPr>
                <w:sz w:val="18"/>
              </w:rPr>
              <w:t>33455</w:t>
            </w:r>
          </w:p>
        </w:tc>
      </w:tr>
      <w:tr w:rsidR="00920B68" w:rsidRPr="00364545" w14:paraId="030756A6"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3B1FBBF3" w14:textId="77777777" w:rsidR="00920B68" w:rsidRPr="00364545" w:rsidRDefault="00920B68" w:rsidP="00920B68">
            <w:pPr>
              <w:spacing w:line="259" w:lineRule="auto"/>
              <w:jc w:val="left"/>
            </w:pPr>
            <w:r w:rsidRPr="00364545">
              <w:rPr>
                <w:sz w:val="18"/>
              </w:rPr>
              <w:t xml:space="preserve">Agriculture (excluding energy)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B7A379D" w14:textId="77777777" w:rsidR="00920B68" w:rsidRPr="00364545" w:rsidRDefault="00920B68" w:rsidP="00920B68">
            <w:pPr>
              <w:spacing w:line="259" w:lineRule="auto"/>
              <w:ind w:left="106"/>
              <w:jc w:val="center"/>
            </w:pPr>
            <w:r>
              <w:rPr>
                <w:sz w:val="18"/>
                <w:szCs w:val="18"/>
              </w:rPr>
              <w:t>80803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AB44FD0" w14:textId="77777777" w:rsidR="00920B68" w:rsidRPr="00364545" w:rsidRDefault="00920B68" w:rsidP="00920B68">
            <w:pPr>
              <w:spacing w:line="259" w:lineRule="auto"/>
              <w:ind w:left="56"/>
              <w:jc w:val="center"/>
              <w:rPr>
                <w:sz w:val="18"/>
                <w:szCs w:val="18"/>
              </w:rPr>
            </w:pPr>
            <w:r>
              <w:rPr>
                <w:sz w:val="18"/>
                <w:szCs w:val="18"/>
              </w:rPr>
              <w:t>78281</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266A6DE" w14:textId="77777777" w:rsidR="00920B68" w:rsidRPr="00364545" w:rsidRDefault="00920B68" w:rsidP="00920B68">
            <w:pPr>
              <w:spacing w:line="259" w:lineRule="auto"/>
              <w:ind w:left="107"/>
              <w:jc w:val="center"/>
            </w:pPr>
            <w:r>
              <w:rPr>
                <w:sz w:val="18"/>
                <w:szCs w:val="18"/>
              </w:rPr>
              <w:t>81292</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71C775B" w14:textId="77777777" w:rsidR="00920B68" w:rsidRPr="00364545" w:rsidRDefault="00920B68" w:rsidP="00920B68">
            <w:pPr>
              <w:spacing w:line="259" w:lineRule="auto"/>
              <w:ind w:left="106"/>
              <w:jc w:val="center"/>
            </w:pPr>
            <w:r>
              <w:rPr>
                <w:sz w:val="18"/>
                <w:szCs w:val="18"/>
              </w:rPr>
              <w:t>76018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A1B9655" w14:textId="77777777" w:rsidR="00920B68" w:rsidRPr="00364545" w:rsidRDefault="00920B68" w:rsidP="00920B68">
            <w:pPr>
              <w:spacing w:line="259" w:lineRule="auto"/>
              <w:ind w:left="107"/>
              <w:jc w:val="center"/>
            </w:pPr>
            <w:r>
              <w:rPr>
                <w:sz w:val="18"/>
                <w:szCs w:val="18"/>
              </w:rPr>
              <w:t>75203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F62FE2A" w14:textId="77777777" w:rsidR="00920B68" w:rsidRPr="00364545" w:rsidRDefault="00920B68" w:rsidP="00920B68">
            <w:pPr>
              <w:spacing w:line="259" w:lineRule="auto"/>
              <w:ind w:left="106"/>
              <w:jc w:val="center"/>
            </w:pPr>
            <w:r>
              <w:rPr>
                <w:sz w:val="18"/>
                <w:szCs w:val="18"/>
              </w:rPr>
              <w:t>75720</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bottom"/>
          </w:tcPr>
          <w:p w14:paraId="23BD6F72" w14:textId="77777777" w:rsidR="00920B68" w:rsidRPr="00364545" w:rsidRDefault="00920B68" w:rsidP="00920B68">
            <w:pPr>
              <w:spacing w:line="259" w:lineRule="auto"/>
              <w:ind w:left="107"/>
              <w:jc w:val="center"/>
            </w:pPr>
            <w:r>
              <w:rPr>
                <w:sz w:val="18"/>
                <w:szCs w:val="18"/>
              </w:rPr>
              <w:t>72498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5692841" w14:textId="77777777" w:rsidR="00920B68" w:rsidRPr="00364545" w:rsidRDefault="00920B68" w:rsidP="00920B68">
            <w:pPr>
              <w:spacing w:line="259" w:lineRule="auto"/>
              <w:ind w:left="56"/>
              <w:jc w:val="center"/>
              <w:rPr>
                <w:sz w:val="18"/>
                <w:szCs w:val="18"/>
              </w:rPr>
            </w:pPr>
            <w:r w:rsidRPr="00364545">
              <w:rPr>
                <w:sz w:val="18"/>
              </w:rPr>
              <w:t>73050</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E3A162A" w14:textId="77777777" w:rsidR="00920B68" w:rsidRPr="00364545" w:rsidRDefault="00920B68" w:rsidP="00920B68">
            <w:pPr>
              <w:spacing w:line="259" w:lineRule="auto"/>
              <w:ind w:left="56"/>
              <w:jc w:val="center"/>
              <w:rPr>
                <w:sz w:val="18"/>
                <w:szCs w:val="18"/>
              </w:rPr>
            </w:pPr>
            <w:r w:rsidRPr="00364545">
              <w:rPr>
                <w:sz w:val="18"/>
              </w:rPr>
              <w:t>72080</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57106DA" w14:textId="77777777" w:rsidR="00920B68" w:rsidRPr="00364545" w:rsidRDefault="00920B68" w:rsidP="00920B68">
            <w:pPr>
              <w:spacing w:line="259" w:lineRule="auto"/>
              <w:ind w:left="56"/>
              <w:jc w:val="center"/>
              <w:rPr>
                <w:sz w:val="18"/>
                <w:szCs w:val="18"/>
              </w:rPr>
            </w:pPr>
            <w:r w:rsidRPr="00364545">
              <w:rPr>
                <w:sz w:val="18"/>
              </w:rPr>
              <w:t>71043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C209882" w14:textId="77777777" w:rsidR="00920B68" w:rsidRPr="00364545" w:rsidRDefault="00920B68" w:rsidP="00920B68">
            <w:pPr>
              <w:spacing w:line="259" w:lineRule="auto"/>
              <w:ind w:left="56"/>
              <w:jc w:val="center"/>
              <w:rPr>
                <w:sz w:val="18"/>
                <w:szCs w:val="18"/>
              </w:rPr>
            </w:pPr>
            <w:r w:rsidRPr="00364545">
              <w:rPr>
                <w:sz w:val="18"/>
              </w:rPr>
              <w:t>70093</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879FBA" w14:textId="77777777" w:rsidR="00920B68" w:rsidRPr="00364545" w:rsidRDefault="00920B68" w:rsidP="00920B68">
            <w:pPr>
              <w:spacing w:line="259" w:lineRule="auto"/>
              <w:ind w:left="56"/>
              <w:jc w:val="center"/>
              <w:rPr>
                <w:sz w:val="18"/>
                <w:szCs w:val="18"/>
              </w:rPr>
            </w:pPr>
            <w:r w:rsidRPr="00364545">
              <w:rPr>
                <w:sz w:val="18"/>
              </w:rPr>
              <w:t>68253</w:t>
            </w:r>
          </w:p>
        </w:tc>
      </w:tr>
      <w:tr w:rsidR="00920B68" w:rsidRPr="00364545" w14:paraId="6886F99C" w14:textId="77777777" w:rsidTr="00920B68">
        <w:trPr>
          <w:trHeight w:val="347"/>
        </w:trPr>
        <w:tc>
          <w:tcPr>
            <w:tcW w:w="1405" w:type="dxa"/>
            <w:tcBorders>
              <w:top w:val="single" w:sz="2" w:space="0" w:color="000000"/>
              <w:left w:val="single" w:sz="2" w:space="0" w:color="000000"/>
              <w:bottom w:val="single" w:sz="2" w:space="0" w:color="000000"/>
              <w:right w:val="single" w:sz="2" w:space="0" w:color="000000"/>
            </w:tcBorders>
          </w:tcPr>
          <w:p w14:paraId="4B93DAFF" w14:textId="77777777" w:rsidR="00920B68" w:rsidRPr="00364545" w:rsidRDefault="00920B68" w:rsidP="00920B68">
            <w:pPr>
              <w:spacing w:line="259" w:lineRule="auto"/>
              <w:jc w:val="left"/>
            </w:pPr>
            <w:r w:rsidRPr="00364545">
              <w:rPr>
                <w:sz w:val="18"/>
              </w:rPr>
              <w:t xml:space="preserve">LULUCF </w:t>
            </w:r>
          </w:p>
        </w:tc>
        <w:tc>
          <w:tcPr>
            <w:tcW w:w="775" w:type="dxa"/>
            <w:tcBorders>
              <w:top w:val="single" w:sz="2" w:space="0" w:color="000000"/>
              <w:left w:val="single" w:sz="2" w:space="0" w:color="000000"/>
              <w:bottom w:val="single" w:sz="2" w:space="0" w:color="000000"/>
              <w:right w:val="single" w:sz="2" w:space="0" w:color="000000"/>
            </w:tcBorders>
            <w:vAlign w:val="bottom"/>
          </w:tcPr>
          <w:p w14:paraId="0245476D" w14:textId="77777777" w:rsidR="00920B68" w:rsidRPr="00364545" w:rsidRDefault="00920B68" w:rsidP="00920B68">
            <w:pPr>
              <w:spacing w:line="259" w:lineRule="auto"/>
              <w:ind w:left="50"/>
              <w:jc w:val="center"/>
            </w:pPr>
            <w:r>
              <w:rPr>
                <w:sz w:val="18"/>
                <w:szCs w:val="18"/>
              </w:rPr>
              <w:t>-23986</w:t>
            </w:r>
          </w:p>
        </w:tc>
        <w:tc>
          <w:tcPr>
            <w:tcW w:w="775" w:type="dxa"/>
            <w:tcBorders>
              <w:top w:val="single" w:sz="2" w:space="0" w:color="000000"/>
              <w:left w:val="single" w:sz="2" w:space="0" w:color="000000"/>
              <w:bottom w:val="single" w:sz="2" w:space="0" w:color="000000"/>
              <w:right w:val="single" w:sz="2" w:space="0" w:color="000000"/>
            </w:tcBorders>
            <w:vAlign w:val="bottom"/>
          </w:tcPr>
          <w:p w14:paraId="36D1E276" w14:textId="77777777" w:rsidR="00920B68" w:rsidRPr="00364545" w:rsidRDefault="00920B68" w:rsidP="00920B68">
            <w:pPr>
              <w:spacing w:line="259" w:lineRule="auto"/>
              <w:ind w:left="56"/>
              <w:jc w:val="center"/>
              <w:rPr>
                <w:sz w:val="18"/>
                <w:szCs w:val="18"/>
              </w:rPr>
            </w:pPr>
            <w:r>
              <w:rPr>
                <w:sz w:val="18"/>
                <w:szCs w:val="18"/>
              </w:rPr>
              <w:t>-24879</w:t>
            </w:r>
          </w:p>
        </w:tc>
        <w:tc>
          <w:tcPr>
            <w:tcW w:w="775" w:type="dxa"/>
            <w:tcBorders>
              <w:top w:val="single" w:sz="2" w:space="0" w:color="000000"/>
              <w:left w:val="single" w:sz="2" w:space="0" w:color="000000"/>
              <w:bottom w:val="single" w:sz="2" w:space="0" w:color="000000"/>
              <w:right w:val="single" w:sz="2" w:space="0" w:color="000000"/>
            </w:tcBorders>
            <w:vAlign w:val="bottom"/>
          </w:tcPr>
          <w:p w14:paraId="2CE995BF" w14:textId="77777777" w:rsidR="00920B68" w:rsidRPr="00364545" w:rsidRDefault="00920B68" w:rsidP="00920B68">
            <w:pPr>
              <w:spacing w:line="259" w:lineRule="auto"/>
              <w:ind w:left="52"/>
              <w:jc w:val="center"/>
            </w:pPr>
            <w:r>
              <w:rPr>
                <w:sz w:val="18"/>
                <w:szCs w:val="18"/>
              </w:rPr>
              <w:t>-19709</w:t>
            </w:r>
          </w:p>
        </w:tc>
        <w:tc>
          <w:tcPr>
            <w:tcW w:w="776" w:type="dxa"/>
            <w:tcBorders>
              <w:top w:val="single" w:sz="2" w:space="0" w:color="000000"/>
              <w:left w:val="single" w:sz="2" w:space="0" w:color="000000"/>
              <w:bottom w:val="single" w:sz="2" w:space="0" w:color="000000"/>
              <w:right w:val="single" w:sz="2" w:space="0" w:color="000000"/>
            </w:tcBorders>
            <w:vAlign w:val="bottom"/>
          </w:tcPr>
          <w:p w14:paraId="182298CE" w14:textId="77777777" w:rsidR="00920B68" w:rsidRPr="00364545" w:rsidRDefault="00920B68" w:rsidP="00920B68">
            <w:pPr>
              <w:spacing w:line="259" w:lineRule="auto"/>
              <w:ind w:left="50"/>
              <w:jc w:val="center"/>
            </w:pPr>
            <w:r>
              <w:rPr>
                <w:sz w:val="18"/>
                <w:szCs w:val="18"/>
              </w:rPr>
              <w:t>-47311</w:t>
            </w:r>
          </w:p>
        </w:tc>
        <w:tc>
          <w:tcPr>
            <w:tcW w:w="775" w:type="dxa"/>
            <w:tcBorders>
              <w:top w:val="single" w:sz="2" w:space="0" w:color="000000"/>
              <w:left w:val="single" w:sz="2" w:space="0" w:color="000000"/>
              <w:bottom w:val="single" w:sz="2" w:space="0" w:color="000000"/>
              <w:right w:val="single" w:sz="2" w:space="0" w:color="000000"/>
            </w:tcBorders>
            <w:vAlign w:val="bottom"/>
          </w:tcPr>
          <w:p w14:paraId="024CD734" w14:textId="77777777" w:rsidR="00920B68" w:rsidRPr="00364545" w:rsidRDefault="00920B68" w:rsidP="00920B68">
            <w:pPr>
              <w:spacing w:line="259" w:lineRule="auto"/>
              <w:ind w:left="52"/>
              <w:jc w:val="center"/>
            </w:pPr>
            <w:r>
              <w:rPr>
                <w:sz w:val="18"/>
                <w:szCs w:val="18"/>
              </w:rPr>
              <w:t>-38355</w:t>
            </w:r>
          </w:p>
        </w:tc>
        <w:tc>
          <w:tcPr>
            <w:tcW w:w="775" w:type="dxa"/>
            <w:tcBorders>
              <w:top w:val="single" w:sz="2" w:space="0" w:color="000000"/>
              <w:left w:val="single" w:sz="2" w:space="0" w:color="000000"/>
              <w:bottom w:val="single" w:sz="2" w:space="0" w:color="000000"/>
              <w:right w:val="single" w:sz="2" w:space="0" w:color="000000"/>
            </w:tcBorders>
            <w:vAlign w:val="bottom"/>
          </w:tcPr>
          <w:p w14:paraId="58E89A7D" w14:textId="77777777" w:rsidR="00920B68" w:rsidRPr="00364545" w:rsidRDefault="00920B68" w:rsidP="00920B68">
            <w:pPr>
              <w:spacing w:line="259" w:lineRule="auto"/>
              <w:ind w:left="50"/>
              <w:jc w:val="center"/>
            </w:pPr>
            <w:r>
              <w:rPr>
                <w:sz w:val="18"/>
                <w:szCs w:val="18"/>
              </w:rPr>
              <w:t>-34577</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bottom"/>
          </w:tcPr>
          <w:p w14:paraId="6E7B9AE1" w14:textId="77777777" w:rsidR="00920B68" w:rsidRPr="00364545" w:rsidRDefault="00920B68" w:rsidP="00920B68">
            <w:pPr>
              <w:spacing w:line="259" w:lineRule="auto"/>
              <w:ind w:left="51"/>
              <w:jc w:val="center"/>
            </w:pPr>
            <w:r>
              <w:rPr>
                <w:sz w:val="18"/>
                <w:szCs w:val="18"/>
              </w:rPr>
              <w:t>-12288</w:t>
            </w:r>
          </w:p>
        </w:tc>
        <w:tc>
          <w:tcPr>
            <w:tcW w:w="775" w:type="dxa"/>
            <w:tcBorders>
              <w:top w:val="single" w:sz="2" w:space="0" w:color="000000"/>
              <w:left w:val="single" w:sz="2" w:space="0" w:color="000000"/>
              <w:bottom w:val="single" w:sz="2" w:space="0" w:color="000000"/>
              <w:right w:val="single" w:sz="2" w:space="0" w:color="000000"/>
            </w:tcBorders>
            <w:vAlign w:val="center"/>
          </w:tcPr>
          <w:p w14:paraId="16F1A90B" w14:textId="77777777" w:rsidR="00920B68" w:rsidRPr="00364545" w:rsidRDefault="00920B68" w:rsidP="00920B68">
            <w:pPr>
              <w:spacing w:line="259" w:lineRule="auto"/>
              <w:ind w:left="56"/>
              <w:jc w:val="center"/>
              <w:rPr>
                <w:sz w:val="18"/>
                <w:szCs w:val="18"/>
              </w:rPr>
            </w:pPr>
            <w:r w:rsidRPr="00364545">
              <w:rPr>
                <w:sz w:val="18"/>
              </w:rPr>
              <w:t>-32838</w:t>
            </w:r>
          </w:p>
        </w:tc>
        <w:tc>
          <w:tcPr>
            <w:tcW w:w="775" w:type="dxa"/>
            <w:tcBorders>
              <w:top w:val="single" w:sz="2" w:space="0" w:color="000000"/>
              <w:left w:val="single" w:sz="2" w:space="0" w:color="000000"/>
              <w:bottom w:val="single" w:sz="2" w:space="0" w:color="000000"/>
              <w:right w:val="single" w:sz="2" w:space="0" w:color="000000"/>
            </w:tcBorders>
            <w:vAlign w:val="center"/>
          </w:tcPr>
          <w:p w14:paraId="4FEED5D9" w14:textId="77777777" w:rsidR="00920B68" w:rsidRPr="00364545" w:rsidRDefault="00920B68" w:rsidP="00920B68">
            <w:pPr>
              <w:spacing w:line="259" w:lineRule="auto"/>
              <w:ind w:left="56"/>
              <w:jc w:val="center"/>
              <w:rPr>
                <w:sz w:val="18"/>
                <w:szCs w:val="18"/>
              </w:rPr>
            </w:pPr>
            <w:r>
              <w:rPr>
                <w:sz w:val="18"/>
              </w:rPr>
              <w:t>- 28</w:t>
            </w:r>
            <w:r w:rsidRPr="00364545">
              <w:rPr>
                <w:sz w:val="18"/>
              </w:rPr>
              <w:t>746</w:t>
            </w:r>
          </w:p>
        </w:tc>
        <w:tc>
          <w:tcPr>
            <w:tcW w:w="776" w:type="dxa"/>
            <w:tcBorders>
              <w:top w:val="single" w:sz="2" w:space="0" w:color="000000"/>
              <w:left w:val="single" w:sz="2" w:space="0" w:color="000000"/>
              <w:bottom w:val="single" w:sz="2" w:space="0" w:color="000000"/>
              <w:right w:val="single" w:sz="2" w:space="0" w:color="000000"/>
            </w:tcBorders>
            <w:vAlign w:val="center"/>
          </w:tcPr>
          <w:p w14:paraId="188ED148" w14:textId="77777777" w:rsidR="00920B68" w:rsidRPr="00364545" w:rsidRDefault="00920B68" w:rsidP="00920B68">
            <w:pPr>
              <w:spacing w:line="259" w:lineRule="auto"/>
              <w:ind w:left="56"/>
              <w:jc w:val="center"/>
              <w:rPr>
                <w:sz w:val="18"/>
                <w:szCs w:val="18"/>
              </w:rPr>
            </w:pPr>
            <w:r>
              <w:rPr>
                <w:sz w:val="18"/>
              </w:rPr>
              <w:t>- 26</w:t>
            </w:r>
            <w:r w:rsidRPr="00364545">
              <w:rPr>
                <w:sz w:val="18"/>
              </w:rPr>
              <w:t>431</w:t>
            </w:r>
          </w:p>
        </w:tc>
        <w:tc>
          <w:tcPr>
            <w:tcW w:w="775" w:type="dxa"/>
            <w:tcBorders>
              <w:top w:val="single" w:sz="2" w:space="0" w:color="000000"/>
              <w:left w:val="single" w:sz="2" w:space="0" w:color="000000"/>
              <w:bottom w:val="single" w:sz="2" w:space="0" w:color="000000"/>
              <w:right w:val="single" w:sz="2" w:space="0" w:color="000000"/>
            </w:tcBorders>
            <w:vAlign w:val="center"/>
          </w:tcPr>
          <w:p w14:paraId="39FF7CC4" w14:textId="77777777" w:rsidR="00920B68" w:rsidRPr="00364545" w:rsidRDefault="00920B68" w:rsidP="00920B68">
            <w:pPr>
              <w:spacing w:line="259" w:lineRule="auto"/>
              <w:ind w:left="56"/>
              <w:jc w:val="center"/>
              <w:rPr>
                <w:sz w:val="18"/>
                <w:szCs w:val="18"/>
              </w:rPr>
            </w:pPr>
            <w:r>
              <w:rPr>
                <w:sz w:val="18"/>
              </w:rPr>
              <w:t>- 21</w:t>
            </w:r>
            <w:r w:rsidRPr="00364545">
              <w:rPr>
                <w:sz w:val="18"/>
              </w:rPr>
              <w:t>560</w:t>
            </w:r>
          </w:p>
        </w:tc>
        <w:tc>
          <w:tcPr>
            <w:tcW w:w="776" w:type="dxa"/>
            <w:tcBorders>
              <w:top w:val="single" w:sz="2" w:space="0" w:color="000000"/>
              <w:left w:val="single" w:sz="2" w:space="0" w:color="000000"/>
              <w:bottom w:val="single" w:sz="2" w:space="0" w:color="000000"/>
              <w:right w:val="single" w:sz="2" w:space="0" w:color="000000"/>
            </w:tcBorders>
            <w:vAlign w:val="center"/>
          </w:tcPr>
          <w:p w14:paraId="19623B3B" w14:textId="77777777" w:rsidR="00920B68" w:rsidRPr="00364545" w:rsidRDefault="00920B68" w:rsidP="00920B68">
            <w:pPr>
              <w:spacing w:line="259" w:lineRule="auto"/>
              <w:ind w:left="56"/>
              <w:jc w:val="center"/>
              <w:rPr>
                <w:sz w:val="18"/>
                <w:szCs w:val="18"/>
              </w:rPr>
            </w:pPr>
            <w:r>
              <w:rPr>
                <w:sz w:val="18"/>
              </w:rPr>
              <w:t>-12</w:t>
            </w:r>
            <w:r w:rsidRPr="00364545">
              <w:rPr>
                <w:sz w:val="18"/>
              </w:rPr>
              <w:t>627</w:t>
            </w:r>
          </w:p>
        </w:tc>
      </w:tr>
      <w:tr w:rsidR="00920B68" w:rsidRPr="00364545" w14:paraId="7906BE97"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1D22B1D6" w14:textId="77777777" w:rsidR="00920B68" w:rsidRPr="00364545" w:rsidRDefault="00920B68" w:rsidP="00920B68">
            <w:pPr>
              <w:spacing w:line="259" w:lineRule="auto"/>
              <w:jc w:val="left"/>
            </w:pPr>
            <w:r w:rsidRPr="00364545">
              <w:rPr>
                <w:sz w:val="18"/>
              </w:rPr>
              <w:t xml:space="preserve">Waste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70D2240" w14:textId="77777777" w:rsidR="00920B68" w:rsidRPr="00364545" w:rsidRDefault="00920B68" w:rsidP="00920B68">
            <w:pPr>
              <w:spacing w:line="259" w:lineRule="auto"/>
              <w:ind w:left="106"/>
              <w:jc w:val="center"/>
            </w:pPr>
            <w:r>
              <w:rPr>
                <w:sz w:val="18"/>
                <w:szCs w:val="18"/>
              </w:rPr>
              <w:t>17283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DE7E457" w14:textId="77777777" w:rsidR="00920B68" w:rsidRPr="00364545" w:rsidRDefault="00920B68" w:rsidP="00920B68">
            <w:pPr>
              <w:spacing w:line="259" w:lineRule="auto"/>
              <w:ind w:left="56"/>
              <w:jc w:val="center"/>
              <w:rPr>
                <w:sz w:val="18"/>
                <w:szCs w:val="18"/>
              </w:rPr>
            </w:pPr>
            <w:r>
              <w:rPr>
                <w:sz w:val="18"/>
                <w:szCs w:val="18"/>
              </w:rPr>
              <w:t>20118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42FB772" w14:textId="77777777" w:rsidR="00920B68" w:rsidRPr="00364545" w:rsidRDefault="00920B68" w:rsidP="00920B68">
            <w:pPr>
              <w:spacing w:line="259" w:lineRule="auto"/>
              <w:ind w:left="107"/>
              <w:jc w:val="center"/>
            </w:pPr>
            <w:r>
              <w:rPr>
                <w:sz w:val="18"/>
                <w:szCs w:val="18"/>
              </w:rPr>
              <w:t>21056</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59D6216" w14:textId="77777777" w:rsidR="00920B68" w:rsidRPr="00364545" w:rsidRDefault="00920B68" w:rsidP="00920B68">
            <w:pPr>
              <w:spacing w:line="259" w:lineRule="auto"/>
              <w:ind w:left="106"/>
              <w:jc w:val="center"/>
            </w:pPr>
            <w:r>
              <w:rPr>
                <w:sz w:val="18"/>
                <w:szCs w:val="18"/>
              </w:rPr>
              <w:t>21362</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1C8BF62" w14:textId="77777777" w:rsidR="00920B68" w:rsidRPr="00364545" w:rsidRDefault="00920B68" w:rsidP="00920B68">
            <w:pPr>
              <w:spacing w:line="259" w:lineRule="auto"/>
              <w:ind w:left="107"/>
              <w:jc w:val="center"/>
            </w:pPr>
            <w:r>
              <w:rPr>
                <w:sz w:val="18"/>
                <w:szCs w:val="18"/>
              </w:rPr>
              <w:t>20756</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D62E0D4" w14:textId="77777777" w:rsidR="00920B68" w:rsidRPr="00364545" w:rsidRDefault="00920B68" w:rsidP="00920B68">
            <w:pPr>
              <w:spacing w:line="259" w:lineRule="auto"/>
              <w:ind w:left="106"/>
              <w:jc w:val="center"/>
            </w:pPr>
            <w:r>
              <w:rPr>
                <w:sz w:val="18"/>
                <w:szCs w:val="18"/>
              </w:rPr>
              <w:t>17905</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bottom"/>
          </w:tcPr>
          <w:p w14:paraId="4557F0C5" w14:textId="77777777" w:rsidR="00920B68" w:rsidRPr="00364545" w:rsidRDefault="00920B68" w:rsidP="00920B68">
            <w:pPr>
              <w:spacing w:line="259" w:lineRule="auto"/>
              <w:ind w:left="107"/>
              <w:jc w:val="center"/>
            </w:pPr>
            <w:r>
              <w:rPr>
                <w:sz w:val="18"/>
                <w:szCs w:val="18"/>
              </w:rPr>
              <w:t>18165</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9BC818B" w14:textId="77777777" w:rsidR="00920B68" w:rsidRPr="00364545" w:rsidRDefault="00920B68" w:rsidP="00920B68">
            <w:pPr>
              <w:spacing w:line="259" w:lineRule="auto"/>
              <w:ind w:left="56"/>
              <w:jc w:val="center"/>
              <w:rPr>
                <w:sz w:val="18"/>
                <w:szCs w:val="18"/>
              </w:rPr>
            </w:pPr>
            <w:r w:rsidRPr="00364545">
              <w:rPr>
                <w:sz w:val="18"/>
              </w:rPr>
              <w:t>17514</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FC29261" w14:textId="77777777" w:rsidR="00920B68" w:rsidRPr="00364545" w:rsidRDefault="00920B68" w:rsidP="00920B68">
            <w:pPr>
              <w:spacing w:line="259" w:lineRule="auto"/>
              <w:ind w:left="56"/>
              <w:jc w:val="center"/>
              <w:rPr>
                <w:sz w:val="18"/>
                <w:szCs w:val="18"/>
              </w:rPr>
            </w:pPr>
            <w:r w:rsidRPr="00364545">
              <w:rPr>
                <w:sz w:val="18"/>
              </w:rPr>
              <w:t>16717</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67667C2" w14:textId="77777777" w:rsidR="00920B68" w:rsidRPr="00364545" w:rsidRDefault="00920B68" w:rsidP="00920B68">
            <w:pPr>
              <w:spacing w:line="259" w:lineRule="auto"/>
              <w:ind w:left="56"/>
              <w:jc w:val="center"/>
              <w:rPr>
                <w:sz w:val="18"/>
                <w:szCs w:val="18"/>
              </w:rPr>
            </w:pPr>
            <w:r w:rsidRPr="00364545">
              <w:rPr>
                <w:sz w:val="18"/>
              </w:rPr>
              <w:t>16308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777531F" w14:textId="77777777" w:rsidR="00920B68" w:rsidRPr="00364545" w:rsidRDefault="00920B68" w:rsidP="00920B68">
            <w:pPr>
              <w:spacing w:line="259" w:lineRule="auto"/>
              <w:ind w:left="56"/>
              <w:jc w:val="center"/>
              <w:rPr>
                <w:sz w:val="18"/>
                <w:szCs w:val="18"/>
              </w:rPr>
            </w:pPr>
            <w:r w:rsidRPr="00364545">
              <w:rPr>
                <w:sz w:val="18"/>
              </w:rPr>
              <w:t>16315</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7BC9757" w14:textId="77777777" w:rsidR="00920B68" w:rsidRPr="00364545" w:rsidRDefault="00920B68" w:rsidP="00920B68">
            <w:pPr>
              <w:spacing w:line="259" w:lineRule="auto"/>
              <w:ind w:left="56"/>
              <w:jc w:val="center"/>
              <w:rPr>
                <w:sz w:val="18"/>
                <w:szCs w:val="18"/>
              </w:rPr>
            </w:pPr>
            <w:r w:rsidRPr="00364545">
              <w:rPr>
                <w:sz w:val="18"/>
              </w:rPr>
              <w:t>16746</w:t>
            </w:r>
          </w:p>
        </w:tc>
      </w:tr>
      <w:tr w:rsidR="00920B68" w:rsidRPr="00364545" w14:paraId="3FD58870"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tcPr>
          <w:p w14:paraId="12CAACD5" w14:textId="77777777" w:rsidR="00920B68" w:rsidRPr="00364545" w:rsidRDefault="00920B68" w:rsidP="00920B68">
            <w:pPr>
              <w:spacing w:line="259" w:lineRule="auto"/>
              <w:jc w:val="left"/>
            </w:pPr>
            <w:r w:rsidRPr="00364545">
              <w:rPr>
                <w:b/>
                <w:sz w:val="18"/>
              </w:rPr>
              <w:t xml:space="preserve">Ensemble (hors UTCF) </w:t>
            </w:r>
          </w:p>
        </w:tc>
        <w:tc>
          <w:tcPr>
            <w:tcW w:w="775" w:type="dxa"/>
            <w:tcBorders>
              <w:top w:val="single" w:sz="2" w:space="0" w:color="000000"/>
              <w:left w:val="single" w:sz="2" w:space="0" w:color="000000"/>
              <w:bottom w:val="single" w:sz="2" w:space="0" w:color="000000"/>
              <w:right w:val="single" w:sz="2" w:space="0" w:color="000000"/>
            </w:tcBorders>
            <w:vAlign w:val="center"/>
          </w:tcPr>
          <w:p w14:paraId="0455122B" w14:textId="77777777" w:rsidR="00920B68" w:rsidRPr="00634E4C" w:rsidRDefault="00920B68" w:rsidP="00920B68">
            <w:pPr>
              <w:spacing w:line="259" w:lineRule="auto"/>
              <w:ind w:left="55"/>
              <w:jc w:val="center"/>
              <w:rPr>
                <w:rFonts w:asciiTheme="majorHAnsi" w:hAnsiTheme="majorHAnsi"/>
                <w:sz w:val="18"/>
              </w:rPr>
            </w:pPr>
            <w:r w:rsidRPr="0002410C">
              <w:rPr>
                <w:rFonts w:asciiTheme="majorHAnsi" w:hAnsiTheme="majorHAnsi"/>
                <w:b/>
                <w:sz w:val="18"/>
                <w:szCs w:val="18"/>
              </w:rPr>
              <w:t>544086</w:t>
            </w:r>
          </w:p>
        </w:tc>
        <w:tc>
          <w:tcPr>
            <w:tcW w:w="775" w:type="dxa"/>
            <w:tcBorders>
              <w:top w:val="single" w:sz="2" w:space="0" w:color="000000"/>
              <w:left w:val="single" w:sz="2" w:space="0" w:color="000000"/>
              <w:bottom w:val="single" w:sz="2" w:space="0" w:color="000000"/>
              <w:right w:val="single" w:sz="2" w:space="0" w:color="000000"/>
            </w:tcBorders>
            <w:vAlign w:val="center"/>
          </w:tcPr>
          <w:p w14:paraId="4EA6A43B" w14:textId="77777777" w:rsidR="00920B68" w:rsidRPr="00634E4C" w:rsidRDefault="00920B68" w:rsidP="00920B68">
            <w:pPr>
              <w:spacing w:line="259" w:lineRule="auto"/>
              <w:ind w:left="56"/>
              <w:jc w:val="center"/>
              <w:rPr>
                <w:rFonts w:asciiTheme="majorHAnsi" w:hAnsiTheme="majorHAnsi"/>
                <w:sz w:val="18"/>
              </w:rPr>
            </w:pPr>
            <w:r w:rsidRPr="0002410C">
              <w:rPr>
                <w:rFonts w:asciiTheme="majorHAnsi" w:hAnsiTheme="majorHAnsi"/>
                <w:b/>
                <w:sz w:val="18"/>
                <w:szCs w:val="18"/>
              </w:rPr>
              <w:t>536475</w:t>
            </w:r>
          </w:p>
        </w:tc>
        <w:tc>
          <w:tcPr>
            <w:tcW w:w="775" w:type="dxa"/>
            <w:tcBorders>
              <w:top w:val="single" w:sz="2" w:space="0" w:color="000000"/>
              <w:left w:val="single" w:sz="2" w:space="0" w:color="000000"/>
              <w:bottom w:val="single" w:sz="2" w:space="0" w:color="000000"/>
              <w:right w:val="single" w:sz="2" w:space="0" w:color="000000"/>
            </w:tcBorders>
            <w:vAlign w:val="center"/>
          </w:tcPr>
          <w:p w14:paraId="69F75681" w14:textId="77777777" w:rsidR="00920B68" w:rsidRPr="00634E4C" w:rsidRDefault="00920B68" w:rsidP="00920B68">
            <w:pPr>
              <w:spacing w:line="259" w:lineRule="auto"/>
              <w:ind w:left="56"/>
              <w:jc w:val="center"/>
              <w:rPr>
                <w:rFonts w:asciiTheme="majorHAnsi" w:hAnsiTheme="majorHAnsi"/>
                <w:sz w:val="18"/>
              </w:rPr>
            </w:pPr>
            <w:r w:rsidRPr="0002410C">
              <w:rPr>
                <w:rFonts w:asciiTheme="majorHAnsi" w:hAnsiTheme="majorHAnsi" w:cs="Calibri"/>
                <w:b/>
                <w:sz w:val="18"/>
                <w:szCs w:val="18"/>
              </w:rPr>
              <w:t>549005</w:t>
            </w:r>
          </w:p>
        </w:tc>
        <w:tc>
          <w:tcPr>
            <w:tcW w:w="776" w:type="dxa"/>
            <w:tcBorders>
              <w:top w:val="single" w:sz="2" w:space="0" w:color="000000"/>
              <w:left w:val="single" w:sz="2" w:space="0" w:color="000000"/>
              <w:bottom w:val="single" w:sz="2" w:space="0" w:color="000000"/>
              <w:right w:val="single" w:sz="2" w:space="0" w:color="000000"/>
            </w:tcBorders>
            <w:vAlign w:val="center"/>
          </w:tcPr>
          <w:p w14:paraId="50BE825B" w14:textId="77777777" w:rsidR="00920B68" w:rsidRPr="00634E4C" w:rsidRDefault="00920B68" w:rsidP="00920B68">
            <w:pPr>
              <w:spacing w:line="259" w:lineRule="auto"/>
              <w:ind w:left="55"/>
              <w:jc w:val="center"/>
              <w:rPr>
                <w:rFonts w:asciiTheme="majorHAnsi" w:hAnsiTheme="majorHAnsi"/>
                <w:sz w:val="18"/>
              </w:rPr>
            </w:pPr>
            <w:r w:rsidRPr="0002410C">
              <w:rPr>
                <w:rFonts w:asciiTheme="majorHAnsi" w:hAnsiTheme="majorHAnsi" w:cs="Calibri"/>
                <w:b/>
                <w:sz w:val="18"/>
                <w:szCs w:val="18"/>
              </w:rPr>
              <w:t>551391</w:t>
            </w:r>
          </w:p>
        </w:tc>
        <w:tc>
          <w:tcPr>
            <w:tcW w:w="775" w:type="dxa"/>
            <w:tcBorders>
              <w:top w:val="single" w:sz="2" w:space="0" w:color="000000"/>
              <w:left w:val="single" w:sz="2" w:space="0" w:color="000000"/>
              <w:bottom w:val="single" w:sz="2" w:space="0" w:color="000000"/>
              <w:right w:val="single" w:sz="2" w:space="0" w:color="000000"/>
            </w:tcBorders>
            <w:vAlign w:val="center"/>
          </w:tcPr>
          <w:p w14:paraId="379BC1B0" w14:textId="77777777" w:rsidR="00920B68" w:rsidRPr="00634E4C" w:rsidRDefault="00920B68" w:rsidP="00920B68">
            <w:pPr>
              <w:spacing w:line="259" w:lineRule="auto"/>
              <w:ind w:left="61"/>
              <w:jc w:val="center"/>
              <w:rPr>
                <w:rFonts w:asciiTheme="majorHAnsi" w:hAnsiTheme="majorHAnsi"/>
                <w:sz w:val="18"/>
              </w:rPr>
            </w:pPr>
            <w:r w:rsidRPr="0002410C">
              <w:rPr>
                <w:rFonts w:asciiTheme="majorHAnsi" w:hAnsiTheme="majorHAnsi" w:cs="Calibri"/>
                <w:b/>
                <w:sz w:val="18"/>
                <w:szCs w:val="18"/>
              </w:rPr>
              <w:t>507468</w:t>
            </w:r>
          </w:p>
        </w:tc>
        <w:tc>
          <w:tcPr>
            <w:tcW w:w="775" w:type="dxa"/>
            <w:tcBorders>
              <w:top w:val="single" w:sz="2" w:space="0" w:color="000000"/>
              <w:left w:val="single" w:sz="2" w:space="0" w:color="000000"/>
              <w:bottom w:val="single" w:sz="2" w:space="0" w:color="000000"/>
              <w:right w:val="single" w:sz="2" w:space="0" w:color="000000"/>
            </w:tcBorders>
            <w:vAlign w:val="center"/>
          </w:tcPr>
          <w:p w14:paraId="6D62549A" w14:textId="77777777" w:rsidR="00920B68" w:rsidRPr="00634E4C" w:rsidRDefault="00920B68" w:rsidP="00920B68">
            <w:pPr>
              <w:spacing w:line="259" w:lineRule="auto"/>
              <w:ind w:left="55"/>
              <w:jc w:val="center"/>
              <w:rPr>
                <w:rFonts w:asciiTheme="majorHAnsi" w:hAnsiTheme="majorHAnsi"/>
                <w:sz w:val="18"/>
              </w:rPr>
            </w:pPr>
            <w:r w:rsidRPr="0002410C">
              <w:rPr>
                <w:rFonts w:asciiTheme="majorHAnsi" w:hAnsiTheme="majorHAnsi" w:cs="Calibri"/>
                <w:b/>
                <w:sz w:val="18"/>
                <w:szCs w:val="18"/>
              </w:rPr>
              <w:t>457923</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05485B6" w14:textId="77777777" w:rsidR="00920B68" w:rsidRPr="00634E4C" w:rsidRDefault="00920B68" w:rsidP="00920B68">
            <w:pPr>
              <w:spacing w:line="259" w:lineRule="auto"/>
              <w:ind w:left="56"/>
              <w:jc w:val="center"/>
              <w:rPr>
                <w:rFonts w:asciiTheme="majorHAnsi" w:hAnsiTheme="majorHAnsi"/>
                <w:sz w:val="18"/>
              </w:rPr>
            </w:pPr>
            <w:r w:rsidRPr="0002410C">
              <w:rPr>
                <w:rFonts w:asciiTheme="majorHAnsi" w:hAnsiTheme="majorHAnsi" w:cs="Calibri"/>
                <w:b/>
                <w:sz w:val="18"/>
                <w:szCs w:val="18"/>
              </w:rPr>
              <w:t>434539</w:t>
            </w:r>
          </w:p>
        </w:tc>
        <w:tc>
          <w:tcPr>
            <w:tcW w:w="775" w:type="dxa"/>
            <w:tcBorders>
              <w:top w:val="single" w:sz="2" w:space="0" w:color="000000"/>
              <w:left w:val="single" w:sz="2" w:space="0" w:color="000000"/>
              <w:bottom w:val="single" w:sz="2" w:space="0" w:color="000000"/>
              <w:right w:val="single" w:sz="2" w:space="0" w:color="000000"/>
            </w:tcBorders>
            <w:vAlign w:val="center"/>
          </w:tcPr>
          <w:p w14:paraId="759A9B5D" w14:textId="77777777" w:rsidR="00920B68" w:rsidRPr="00364545" w:rsidRDefault="00920B68" w:rsidP="00920B68">
            <w:pPr>
              <w:spacing w:line="259" w:lineRule="auto"/>
              <w:ind w:left="56"/>
              <w:jc w:val="center"/>
              <w:rPr>
                <w:sz w:val="18"/>
                <w:szCs w:val="18"/>
              </w:rPr>
            </w:pPr>
            <w:r w:rsidRPr="00364545">
              <w:rPr>
                <w:sz w:val="18"/>
              </w:rPr>
              <w:t>398676</w:t>
            </w:r>
          </w:p>
        </w:tc>
        <w:tc>
          <w:tcPr>
            <w:tcW w:w="775" w:type="dxa"/>
            <w:tcBorders>
              <w:top w:val="single" w:sz="2" w:space="0" w:color="000000"/>
              <w:left w:val="single" w:sz="2" w:space="0" w:color="000000"/>
              <w:bottom w:val="single" w:sz="2" w:space="0" w:color="000000"/>
              <w:right w:val="single" w:sz="2" w:space="0" w:color="000000"/>
            </w:tcBorders>
            <w:vAlign w:val="center"/>
          </w:tcPr>
          <w:p w14:paraId="47472F8D" w14:textId="77777777" w:rsidR="00920B68" w:rsidRPr="00364545" w:rsidRDefault="00920B68" w:rsidP="00920B68">
            <w:pPr>
              <w:spacing w:line="259" w:lineRule="auto"/>
              <w:ind w:left="56"/>
              <w:jc w:val="center"/>
              <w:rPr>
                <w:sz w:val="18"/>
                <w:szCs w:val="18"/>
              </w:rPr>
            </w:pPr>
            <w:r w:rsidRPr="00364545">
              <w:rPr>
                <w:sz w:val="18"/>
              </w:rPr>
              <w:t>392095</w:t>
            </w:r>
          </w:p>
        </w:tc>
        <w:tc>
          <w:tcPr>
            <w:tcW w:w="776" w:type="dxa"/>
            <w:tcBorders>
              <w:top w:val="single" w:sz="2" w:space="0" w:color="000000"/>
              <w:left w:val="single" w:sz="2" w:space="0" w:color="000000"/>
              <w:bottom w:val="single" w:sz="2" w:space="0" w:color="000000"/>
              <w:right w:val="single" w:sz="2" w:space="0" w:color="000000"/>
            </w:tcBorders>
            <w:vAlign w:val="center"/>
          </w:tcPr>
          <w:p w14:paraId="10F81C4D" w14:textId="77777777" w:rsidR="00920B68" w:rsidRPr="00364545" w:rsidRDefault="00920B68" w:rsidP="00920B68">
            <w:pPr>
              <w:spacing w:line="259" w:lineRule="auto"/>
              <w:ind w:left="56"/>
              <w:jc w:val="center"/>
              <w:rPr>
                <w:sz w:val="18"/>
                <w:szCs w:val="18"/>
              </w:rPr>
            </w:pPr>
            <w:r w:rsidRPr="00364545">
              <w:rPr>
                <w:sz w:val="18"/>
              </w:rPr>
              <w:t>367049</w:t>
            </w:r>
          </w:p>
        </w:tc>
        <w:tc>
          <w:tcPr>
            <w:tcW w:w="775" w:type="dxa"/>
            <w:tcBorders>
              <w:top w:val="single" w:sz="2" w:space="0" w:color="000000"/>
              <w:left w:val="single" w:sz="2" w:space="0" w:color="000000"/>
              <w:bottom w:val="single" w:sz="2" w:space="0" w:color="000000"/>
              <w:right w:val="single" w:sz="2" w:space="0" w:color="000000"/>
            </w:tcBorders>
            <w:vAlign w:val="center"/>
          </w:tcPr>
          <w:p w14:paraId="196274EA" w14:textId="77777777" w:rsidR="00920B68" w:rsidRPr="00364545" w:rsidRDefault="00920B68" w:rsidP="00920B68">
            <w:pPr>
              <w:spacing w:line="259" w:lineRule="auto"/>
              <w:ind w:left="56"/>
              <w:jc w:val="center"/>
              <w:rPr>
                <w:sz w:val="18"/>
                <w:szCs w:val="18"/>
              </w:rPr>
            </w:pPr>
            <w:r w:rsidRPr="00364545">
              <w:rPr>
                <w:sz w:val="18"/>
              </w:rPr>
              <w:t>354446</w:t>
            </w:r>
          </w:p>
        </w:tc>
        <w:tc>
          <w:tcPr>
            <w:tcW w:w="776" w:type="dxa"/>
            <w:tcBorders>
              <w:top w:val="single" w:sz="2" w:space="0" w:color="000000"/>
              <w:left w:val="single" w:sz="2" w:space="0" w:color="000000"/>
              <w:bottom w:val="single" w:sz="2" w:space="0" w:color="000000"/>
              <w:right w:val="single" w:sz="2" w:space="0" w:color="000000"/>
            </w:tcBorders>
            <w:vAlign w:val="center"/>
          </w:tcPr>
          <w:p w14:paraId="712BFEA9" w14:textId="77777777" w:rsidR="00920B68" w:rsidRPr="00364545" w:rsidRDefault="00920B68" w:rsidP="00920B68">
            <w:pPr>
              <w:spacing w:line="259" w:lineRule="auto"/>
              <w:ind w:left="56"/>
              <w:jc w:val="center"/>
              <w:rPr>
                <w:sz w:val="18"/>
                <w:szCs w:val="18"/>
              </w:rPr>
            </w:pPr>
            <w:r w:rsidRPr="00364545">
              <w:rPr>
                <w:sz w:val="18"/>
              </w:rPr>
              <w:t>329653</w:t>
            </w:r>
          </w:p>
        </w:tc>
      </w:tr>
      <w:tr w:rsidR="00920B68" w:rsidRPr="00364545" w14:paraId="2F49F665" w14:textId="77777777" w:rsidTr="00920B68">
        <w:trPr>
          <w:trHeight w:val="345"/>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7DE01204" w14:textId="77777777" w:rsidR="00920B68" w:rsidRPr="00364545" w:rsidRDefault="00920B68" w:rsidP="00920B68">
            <w:pPr>
              <w:spacing w:line="259" w:lineRule="auto"/>
              <w:jc w:val="left"/>
            </w:pPr>
            <w:r w:rsidRPr="00364545">
              <w:rPr>
                <w:b/>
                <w:sz w:val="18"/>
              </w:rPr>
              <w:t xml:space="preserve">Ensemble (avec UTCF)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82021C9" w14:textId="77777777" w:rsidR="00920B68" w:rsidRPr="00364545" w:rsidRDefault="00920B68" w:rsidP="00920B68">
            <w:pPr>
              <w:spacing w:line="259" w:lineRule="auto"/>
              <w:ind w:left="55"/>
              <w:jc w:val="center"/>
            </w:pPr>
            <w:r>
              <w:rPr>
                <w:sz w:val="18"/>
                <w:szCs w:val="18"/>
              </w:rPr>
              <w:t>520100</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3BCD917" w14:textId="77777777" w:rsidR="00920B68" w:rsidRPr="00364545" w:rsidRDefault="00920B68" w:rsidP="00920B68">
            <w:pPr>
              <w:spacing w:line="259" w:lineRule="auto"/>
              <w:ind w:left="56"/>
              <w:jc w:val="center"/>
              <w:rPr>
                <w:sz w:val="18"/>
                <w:szCs w:val="18"/>
              </w:rPr>
            </w:pPr>
            <w:r>
              <w:rPr>
                <w:sz w:val="18"/>
                <w:szCs w:val="18"/>
              </w:rPr>
              <w:t>511596</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EE0FC42" w14:textId="77777777" w:rsidR="00920B68" w:rsidRPr="00364545" w:rsidRDefault="00920B68" w:rsidP="00920B68">
            <w:pPr>
              <w:spacing w:line="259" w:lineRule="auto"/>
              <w:ind w:left="56"/>
              <w:jc w:val="center"/>
            </w:pPr>
            <w:r>
              <w:rPr>
                <w:sz w:val="18"/>
                <w:szCs w:val="18"/>
              </w:rPr>
              <w:t>529296</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83A2C98" w14:textId="77777777" w:rsidR="00920B68" w:rsidRPr="00364545" w:rsidRDefault="00920B68" w:rsidP="00920B68">
            <w:pPr>
              <w:spacing w:line="259" w:lineRule="auto"/>
              <w:ind w:left="55"/>
              <w:jc w:val="center"/>
            </w:pPr>
            <w:r>
              <w:rPr>
                <w:sz w:val="18"/>
                <w:szCs w:val="18"/>
              </w:rPr>
              <w:t>504080</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ACD9B09" w14:textId="77777777" w:rsidR="00920B68" w:rsidRPr="00364545" w:rsidRDefault="00920B68" w:rsidP="00920B68">
            <w:pPr>
              <w:spacing w:line="259" w:lineRule="auto"/>
              <w:ind w:left="56"/>
              <w:jc w:val="center"/>
            </w:pPr>
            <w:r>
              <w:rPr>
                <w:sz w:val="18"/>
                <w:szCs w:val="18"/>
              </w:rPr>
              <w:t>469113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CC17D9D" w14:textId="77777777" w:rsidR="00920B68" w:rsidRPr="00364545" w:rsidRDefault="00920B68" w:rsidP="00920B68">
            <w:pPr>
              <w:spacing w:line="259" w:lineRule="auto"/>
              <w:ind w:left="55"/>
              <w:jc w:val="center"/>
            </w:pPr>
            <w:r>
              <w:rPr>
                <w:sz w:val="18"/>
                <w:szCs w:val="18"/>
              </w:rPr>
              <w:t>423346</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bottom"/>
          </w:tcPr>
          <w:p w14:paraId="15FCC59B" w14:textId="77777777" w:rsidR="00920B68" w:rsidRPr="00364545" w:rsidRDefault="00920B68" w:rsidP="00920B68">
            <w:pPr>
              <w:spacing w:line="259" w:lineRule="auto"/>
              <w:ind w:left="56"/>
              <w:jc w:val="center"/>
            </w:pPr>
            <w:r>
              <w:rPr>
                <w:sz w:val="18"/>
                <w:szCs w:val="18"/>
              </w:rPr>
              <w:t>422252</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358F6C" w14:textId="77777777" w:rsidR="00920B68" w:rsidRPr="00364545" w:rsidRDefault="00920B68" w:rsidP="00920B68">
            <w:pPr>
              <w:spacing w:line="259" w:lineRule="auto"/>
              <w:ind w:left="56"/>
              <w:jc w:val="center"/>
              <w:rPr>
                <w:sz w:val="18"/>
                <w:szCs w:val="18"/>
              </w:rPr>
            </w:pPr>
            <w:r w:rsidRPr="00364545">
              <w:rPr>
                <w:sz w:val="18"/>
              </w:rPr>
              <w:t>365838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ACBD9FC" w14:textId="77777777" w:rsidR="00920B68" w:rsidRPr="00364545" w:rsidRDefault="00920B68" w:rsidP="00920B68">
            <w:pPr>
              <w:spacing w:line="259" w:lineRule="auto"/>
              <w:ind w:left="56"/>
              <w:jc w:val="center"/>
              <w:rPr>
                <w:sz w:val="18"/>
                <w:szCs w:val="18"/>
              </w:rPr>
            </w:pPr>
            <w:r w:rsidRPr="00364545">
              <w:rPr>
                <w:sz w:val="18"/>
              </w:rPr>
              <w:t>363349</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976516A" w14:textId="77777777" w:rsidR="00920B68" w:rsidRPr="00364545" w:rsidRDefault="00920B68" w:rsidP="00920B68">
            <w:pPr>
              <w:spacing w:line="259" w:lineRule="auto"/>
              <w:ind w:left="56"/>
              <w:jc w:val="center"/>
              <w:rPr>
                <w:sz w:val="18"/>
                <w:szCs w:val="18"/>
              </w:rPr>
            </w:pPr>
            <w:r w:rsidRPr="00364545">
              <w:rPr>
                <w:sz w:val="18"/>
              </w:rPr>
              <w:t>340618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B1E4A89" w14:textId="77777777" w:rsidR="00920B68" w:rsidRPr="00364545" w:rsidRDefault="00920B68" w:rsidP="00920B68">
            <w:pPr>
              <w:spacing w:line="259" w:lineRule="auto"/>
              <w:ind w:left="56"/>
              <w:jc w:val="center"/>
              <w:rPr>
                <w:sz w:val="18"/>
                <w:szCs w:val="18"/>
              </w:rPr>
            </w:pPr>
            <w:r w:rsidRPr="00364545">
              <w:rPr>
                <w:sz w:val="18"/>
              </w:rPr>
              <w:t>332886</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41E73B6" w14:textId="77777777" w:rsidR="00920B68" w:rsidRPr="00364545" w:rsidRDefault="00920B68" w:rsidP="00920B68">
            <w:pPr>
              <w:spacing w:line="259" w:lineRule="auto"/>
              <w:ind w:left="56"/>
              <w:jc w:val="center"/>
              <w:rPr>
                <w:sz w:val="18"/>
                <w:szCs w:val="18"/>
              </w:rPr>
            </w:pPr>
            <w:r w:rsidRPr="00364545">
              <w:rPr>
                <w:sz w:val="18"/>
              </w:rPr>
              <w:t>317026</w:t>
            </w:r>
          </w:p>
        </w:tc>
      </w:tr>
      <w:tr w:rsidR="00920B68" w:rsidRPr="00364545" w14:paraId="7972FB92" w14:textId="77777777" w:rsidTr="00920B68">
        <w:trPr>
          <w:trHeight w:val="346"/>
        </w:trPr>
        <w:tc>
          <w:tcPr>
            <w:tcW w:w="1405" w:type="dxa"/>
            <w:tcBorders>
              <w:top w:val="single" w:sz="2" w:space="0" w:color="000000"/>
              <w:left w:val="single" w:sz="2" w:space="0" w:color="000000"/>
              <w:bottom w:val="single" w:sz="2" w:space="0" w:color="000000"/>
              <w:right w:val="single" w:sz="2" w:space="0" w:color="000000"/>
            </w:tcBorders>
            <w:shd w:val="clear" w:color="auto" w:fill="E5EAF3"/>
          </w:tcPr>
          <w:p w14:paraId="437E3C09" w14:textId="77777777" w:rsidR="00920B68" w:rsidRPr="00364545" w:rsidRDefault="00920B68" w:rsidP="00920B68">
            <w:pPr>
              <w:spacing w:line="259" w:lineRule="auto"/>
              <w:jc w:val="left"/>
            </w:pPr>
            <w:r w:rsidRPr="00364545">
              <w:rPr>
                <w:i/>
                <w:sz w:val="18"/>
              </w:rPr>
              <w:t xml:space="preserve">For reference: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CD1F9B6" w14:textId="77777777" w:rsidR="00920B68" w:rsidRPr="00364545" w:rsidRDefault="00920B68" w:rsidP="00920B68">
            <w:pPr>
              <w:spacing w:line="259" w:lineRule="auto"/>
              <w:ind w:left="18"/>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E65B027" w14:textId="77777777" w:rsidR="00920B68" w:rsidRPr="00364545" w:rsidRDefault="00920B68" w:rsidP="00920B68">
            <w:pPr>
              <w:spacing w:line="259" w:lineRule="auto"/>
              <w:ind w:left="20"/>
              <w:jc w:val="center"/>
              <w:rPr>
                <w:i/>
                <w:sz w:val="18"/>
              </w:rP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E23BDBC" w14:textId="77777777" w:rsidR="00920B68" w:rsidRPr="00364545" w:rsidRDefault="00920B68" w:rsidP="00920B68">
            <w:pPr>
              <w:spacing w:line="259" w:lineRule="auto"/>
              <w:ind w:left="20"/>
              <w:jc w:val="center"/>
            </w:pP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C32889F" w14:textId="77777777" w:rsidR="00920B68" w:rsidRPr="00364545" w:rsidRDefault="00920B68" w:rsidP="00920B68">
            <w:pPr>
              <w:spacing w:line="259" w:lineRule="auto"/>
              <w:ind w:left="18"/>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9B025DD" w14:textId="77777777" w:rsidR="00920B68" w:rsidRPr="00364545" w:rsidRDefault="00920B68" w:rsidP="00920B68">
            <w:pPr>
              <w:spacing w:line="259" w:lineRule="auto"/>
              <w:ind w:left="20"/>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5A94A8E" w14:textId="77777777" w:rsidR="00920B68" w:rsidRPr="00364545" w:rsidRDefault="00920B68" w:rsidP="00920B68">
            <w:pPr>
              <w:spacing w:line="259" w:lineRule="auto"/>
              <w:ind w:left="18"/>
              <w:jc w:val="center"/>
            </w:pP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A9DF710" w14:textId="77777777" w:rsidR="00920B68" w:rsidRPr="00364545" w:rsidRDefault="00920B68" w:rsidP="00920B68">
            <w:pPr>
              <w:spacing w:line="259" w:lineRule="auto"/>
              <w:ind w:left="20"/>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91BF39C" w14:textId="77777777" w:rsidR="00920B68" w:rsidRPr="00364545" w:rsidRDefault="00920B68" w:rsidP="00920B68">
            <w:pPr>
              <w:spacing w:line="259" w:lineRule="auto"/>
              <w:ind w:left="18"/>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05D7680" w14:textId="77777777" w:rsidR="00920B68" w:rsidRPr="00364545" w:rsidRDefault="00920B68" w:rsidP="00920B68">
            <w:pPr>
              <w:spacing w:line="259" w:lineRule="auto"/>
              <w:ind w:left="20"/>
              <w:jc w:val="center"/>
            </w:pP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C97C346" w14:textId="77777777" w:rsidR="00920B68" w:rsidRPr="00364545" w:rsidRDefault="00920B68" w:rsidP="00920B68">
            <w:pPr>
              <w:spacing w:line="259" w:lineRule="auto"/>
              <w:ind w:left="19"/>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52B25CF" w14:textId="77777777" w:rsidR="00920B68" w:rsidRPr="00364545" w:rsidRDefault="00920B68" w:rsidP="00920B68">
            <w:pPr>
              <w:spacing w:line="259" w:lineRule="auto"/>
              <w:ind w:left="19"/>
              <w:jc w:val="center"/>
              <w:rPr>
                <w:i/>
                <w:sz w:val="18"/>
              </w:rPr>
            </w:pP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3561BBD" w14:textId="77777777" w:rsidR="00920B68" w:rsidRPr="00364545" w:rsidRDefault="00920B68" w:rsidP="00920B68">
            <w:pPr>
              <w:spacing w:line="259" w:lineRule="auto"/>
              <w:ind w:left="19"/>
              <w:jc w:val="center"/>
              <w:rPr>
                <w:i/>
                <w:sz w:val="18"/>
              </w:rPr>
            </w:pPr>
          </w:p>
        </w:tc>
      </w:tr>
      <w:tr w:rsidR="00920B68" w:rsidRPr="00364545" w14:paraId="0E0568BF" w14:textId="77777777" w:rsidTr="00920B68">
        <w:trPr>
          <w:trHeight w:val="346"/>
        </w:trPr>
        <w:tc>
          <w:tcPr>
            <w:tcW w:w="1405" w:type="dxa"/>
            <w:tcBorders>
              <w:top w:val="single" w:sz="2" w:space="0" w:color="000000"/>
              <w:left w:val="single" w:sz="2" w:space="0" w:color="000000"/>
              <w:bottom w:val="single" w:sz="2" w:space="0" w:color="000000"/>
              <w:right w:val="single" w:sz="2" w:space="0" w:color="000000"/>
            </w:tcBorders>
            <w:shd w:val="clear" w:color="auto" w:fill="E5EAF3"/>
          </w:tcPr>
          <w:p w14:paraId="4B2A0F0B" w14:textId="77777777" w:rsidR="00920B68" w:rsidRPr="00364545" w:rsidRDefault="00920B68" w:rsidP="00920B68">
            <w:pPr>
              <w:spacing w:line="259" w:lineRule="auto"/>
              <w:jc w:val="left"/>
            </w:pPr>
            <w:r w:rsidRPr="00364545">
              <w:rPr>
                <w:i/>
                <w:sz w:val="18"/>
              </w:rPr>
              <w:t xml:space="preserve">International bunker emissions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78FEE57" w14:textId="77777777" w:rsidR="00920B68" w:rsidRPr="00364545" w:rsidRDefault="00920B68" w:rsidP="00920B68">
            <w:pPr>
              <w:spacing w:line="259" w:lineRule="auto"/>
              <w:ind w:left="56"/>
              <w:jc w:val="center"/>
              <w:rPr>
                <w:i/>
                <w:sz w:val="18"/>
                <w:szCs w:val="18"/>
              </w:rPr>
            </w:pPr>
            <w:r>
              <w:rPr>
                <w:sz w:val="18"/>
                <w:szCs w:val="18"/>
              </w:rPr>
              <w:t>16921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7B7552C" w14:textId="77777777" w:rsidR="00920B68" w:rsidRPr="00364545" w:rsidRDefault="00920B68" w:rsidP="00920B68">
            <w:pPr>
              <w:spacing w:line="259" w:lineRule="auto"/>
              <w:ind w:left="56"/>
              <w:jc w:val="center"/>
              <w:rPr>
                <w:i/>
                <w:sz w:val="18"/>
                <w:szCs w:val="18"/>
              </w:rPr>
            </w:pPr>
            <w:r>
              <w:rPr>
                <w:sz w:val="18"/>
                <w:szCs w:val="18"/>
              </w:rPr>
              <w:t>17908</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F4B6375" w14:textId="77777777" w:rsidR="00920B68" w:rsidRPr="00364545" w:rsidRDefault="00920B68" w:rsidP="00920B68">
            <w:pPr>
              <w:spacing w:line="259" w:lineRule="auto"/>
              <w:ind w:left="56"/>
              <w:jc w:val="center"/>
              <w:rPr>
                <w:i/>
                <w:sz w:val="18"/>
                <w:szCs w:val="18"/>
              </w:rPr>
            </w:pPr>
            <w:r>
              <w:rPr>
                <w:sz w:val="18"/>
                <w:szCs w:val="18"/>
              </w:rPr>
              <w:t>23807</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A335D9C" w14:textId="77777777" w:rsidR="00920B68" w:rsidRPr="00364545" w:rsidRDefault="00920B68" w:rsidP="00920B68">
            <w:pPr>
              <w:spacing w:line="259" w:lineRule="auto"/>
              <w:ind w:left="56"/>
              <w:jc w:val="center"/>
              <w:rPr>
                <w:i/>
                <w:sz w:val="18"/>
                <w:szCs w:val="18"/>
              </w:rPr>
            </w:pPr>
            <w:r>
              <w:rPr>
                <w:sz w:val="18"/>
                <w:szCs w:val="18"/>
              </w:rPr>
              <w:t>24733</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F9B2F45" w14:textId="77777777" w:rsidR="00920B68" w:rsidRPr="00364545" w:rsidRDefault="00920B68" w:rsidP="00920B68">
            <w:pPr>
              <w:spacing w:line="259" w:lineRule="auto"/>
              <w:ind w:left="56"/>
              <w:jc w:val="center"/>
              <w:rPr>
                <w:i/>
                <w:sz w:val="18"/>
                <w:szCs w:val="18"/>
              </w:rPr>
            </w:pPr>
            <w:r w:rsidRPr="00634E4C">
              <w:rPr>
                <w:sz w:val="18"/>
              </w:rPr>
              <w:t>24227</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F713ED0" w14:textId="77777777" w:rsidR="00920B68" w:rsidRPr="00364545" w:rsidRDefault="00920B68" w:rsidP="00920B68">
            <w:pPr>
              <w:spacing w:line="259" w:lineRule="auto"/>
              <w:ind w:left="56"/>
              <w:jc w:val="center"/>
              <w:rPr>
                <w:i/>
                <w:sz w:val="18"/>
                <w:szCs w:val="18"/>
              </w:rPr>
            </w:pPr>
            <w:r w:rsidRPr="00634E4C">
              <w:rPr>
                <w:sz w:val="18"/>
              </w:rPr>
              <w:t>23316</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68375BF" w14:textId="77777777" w:rsidR="00920B68" w:rsidRPr="00364545" w:rsidRDefault="00920B68" w:rsidP="00920B68">
            <w:pPr>
              <w:spacing w:line="259" w:lineRule="auto"/>
              <w:ind w:left="56"/>
              <w:jc w:val="center"/>
              <w:rPr>
                <w:i/>
                <w:sz w:val="18"/>
                <w:szCs w:val="18"/>
              </w:rPr>
            </w:pPr>
            <w:r w:rsidRPr="00634E4C">
              <w:rPr>
                <w:sz w:val="18"/>
              </w:rPr>
              <w:t>24791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C490578" w14:textId="77777777" w:rsidR="00920B68" w:rsidRPr="00364545" w:rsidRDefault="00920B68" w:rsidP="00920B68">
            <w:pPr>
              <w:spacing w:line="259" w:lineRule="auto"/>
              <w:ind w:left="56"/>
              <w:jc w:val="center"/>
              <w:rPr>
                <w:i/>
                <w:sz w:val="18"/>
                <w:szCs w:val="18"/>
              </w:rPr>
            </w:pPr>
            <w:r w:rsidRPr="00364545">
              <w:rPr>
                <w:i/>
                <w:sz w:val="18"/>
              </w:rPr>
              <w:t>9647</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8638157" w14:textId="77777777" w:rsidR="00920B68" w:rsidRPr="00364545" w:rsidRDefault="00920B68" w:rsidP="00920B68">
            <w:pPr>
              <w:spacing w:line="259" w:lineRule="auto"/>
              <w:ind w:left="56"/>
              <w:jc w:val="center"/>
              <w:rPr>
                <w:i/>
                <w:sz w:val="18"/>
                <w:szCs w:val="18"/>
              </w:rPr>
            </w:pPr>
            <w:r w:rsidRPr="00364545">
              <w:rPr>
                <w:i/>
                <w:sz w:val="18"/>
              </w:rPr>
              <w:t>23890</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C65E203" w14:textId="77777777" w:rsidR="00920B68" w:rsidRPr="00364545" w:rsidRDefault="00920B68" w:rsidP="00920B68">
            <w:pPr>
              <w:spacing w:line="259" w:lineRule="auto"/>
              <w:ind w:left="56"/>
              <w:jc w:val="center"/>
              <w:rPr>
                <w:i/>
                <w:sz w:val="18"/>
                <w:szCs w:val="18"/>
              </w:rPr>
            </w:pPr>
            <w:r w:rsidRPr="00364545">
              <w:rPr>
                <w:i/>
                <w:sz w:val="18"/>
              </w:rPr>
              <w:t>24424</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B9C6D25" w14:textId="77777777" w:rsidR="00920B68" w:rsidRPr="00364545" w:rsidRDefault="00920B68" w:rsidP="00920B68">
            <w:pPr>
              <w:spacing w:line="259" w:lineRule="auto"/>
              <w:ind w:left="56"/>
              <w:jc w:val="center"/>
              <w:rPr>
                <w:i/>
                <w:sz w:val="18"/>
                <w:szCs w:val="18"/>
              </w:rPr>
            </w:pPr>
            <w:r w:rsidRPr="00364545">
              <w:rPr>
                <w:i/>
                <w:sz w:val="18"/>
              </w:rPr>
              <w:t>24881</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B141F66" w14:textId="77777777" w:rsidR="00920B68" w:rsidRPr="00364545" w:rsidRDefault="00920B68" w:rsidP="00920B68">
            <w:pPr>
              <w:spacing w:line="259" w:lineRule="auto"/>
              <w:ind w:left="56"/>
              <w:jc w:val="center"/>
              <w:rPr>
                <w:i/>
                <w:sz w:val="18"/>
                <w:szCs w:val="18"/>
              </w:rPr>
            </w:pPr>
            <w:r w:rsidRPr="00364545">
              <w:rPr>
                <w:i/>
                <w:sz w:val="18"/>
              </w:rPr>
              <w:t>26319</w:t>
            </w:r>
          </w:p>
        </w:tc>
      </w:tr>
      <w:tr w:rsidR="00920B68" w:rsidRPr="00364545" w14:paraId="0C5278C9" w14:textId="77777777" w:rsidTr="00920B68">
        <w:trPr>
          <w:trHeight w:val="343"/>
        </w:trPr>
        <w:tc>
          <w:tcPr>
            <w:tcW w:w="1405" w:type="dxa"/>
            <w:tcBorders>
              <w:top w:val="single" w:sz="2" w:space="0" w:color="000000"/>
              <w:left w:val="single" w:sz="2" w:space="0" w:color="000000"/>
              <w:bottom w:val="single" w:sz="2" w:space="0" w:color="000000"/>
              <w:right w:val="single" w:sz="2" w:space="0" w:color="000000"/>
            </w:tcBorders>
            <w:shd w:val="clear" w:color="auto" w:fill="E5EAF3"/>
          </w:tcPr>
          <w:p w14:paraId="00900EF4" w14:textId="77777777" w:rsidR="00920B68" w:rsidRPr="00364545" w:rsidRDefault="00920B68" w:rsidP="00920B68">
            <w:pPr>
              <w:spacing w:line="259" w:lineRule="auto"/>
              <w:jc w:val="left"/>
            </w:pPr>
            <w:r w:rsidRPr="00364545">
              <w:rPr>
                <w:i/>
                <w:sz w:val="18"/>
              </w:rPr>
              <w:t xml:space="preserve">Aviation bunker emissions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19A5685" w14:textId="77777777" w:rsidR="00920B68" w:rsidRPr="00364545" w:rsidRDefault="00920B68" w:rsidP="00920B68">
            <w:pPr>
              <w:spacing w:line="259" w:lineRule="auto"/>
              <w:ind w:left="56"/>
              <w:jc w:val="center"/>
              <w:rPr>
                <w:i/>
                <w:sz w:val="18"/>
                <w:szCs w:val="18"/>
              </w:rPr>
            </w:pPr>
            <w:r>
              <w:rPr>
                <w:sz w:val="18"/>
                <w:szCs w:val="18"/>
              </w:rPr>
              <w:t>8880</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8F608C8" w14:textId="77777777" w:rsidR="00920B68" w:rsidRPr="00364545" w:rsidRDefault="00920B68" w:rsidP="00920B68">
            <w:pPr>
              <w:spacing w:line="259" w:lineRule="auto"/>
              <w:ind w:left="56"/>
              <w:jc w:val="center"/>
              <w:rPr>
                <w:i/>
                <w:sz w:val="18"/>
                <w:szCs w:val="18"/>
              </w:rPr>
            </w:pPr>
            <w:r>
              <w:rPr>
                <w:sz w:val="18"/>
                <w:szCs w:val="18"/>
              </w:rPr>
              <w:t>10709</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1BBA52D" w14:textId="77777777" w:rsidR="00920B68" w:rsidRPr="00364545" w:rsidRDefault="00920B68" w:rsidP="00920B68">
            <w:pPr>
              <w:spacing w:line="259" w:lineRule="auto"/>
              <w:ind w:left="56"/>
              <w:jc w:val="center"/>
              <w:rPr>
                <w:i/>
                <w:sz w:val="18"/>
                <w:szCs w:val="18"/>
              </w:rPr>
            </w:pPr>
            <w:r>
              <w:rPr>
                <w:sz w:val="18"/>
                <w:szCs w:val="18"/>
              </w:rPr>
              <w:t>14243</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6BCA099" w14:textId="77777777" w:rsidR="00920B68" w:rsidRPr="00364545" w:rsidRDefault="00920B68" w:rsidP="00920B68">
            <w:pPr>
              <w:spacing w:line="259" w:lineRule="auto"/>
              <w:ind w:left="56"/>
              <w:jc w:val="center"/>
              <w:rPr>
                <w:i/>
                <w:sz w:val="18"/>
                <w:szCs w:val="18"/>
              </w:rPr>
            </w:pPr>
            <w:r>
              <w:rPr>
                <w:sz w:val="18"/>
                <w:szCs w:val="18"/>
              </w:rPr>
              <w:t>15862</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D6A0FA8" w14:textId="77777777" w:rsidR="00920B68" w:rsidRPr="00364545" w:rsidRDefault="00920B68" w:rsidP="00920B68">
            <w:pPr>
              <w:spacing w:line="259" w:lineRule="auto"/>
              <w:ind w:left="56"/>
              <w:jc w:val="center"/>
              <w:rPr>
                <w:i/>
                <w:sz w:val="18"/>
                <w:szCs w:val="18"/>
              </w:rPr>
            </w:pPr>
            <w:r w:rsidRPr="00634E4C">
              <w:rPr>
                <w:sz w:val="18"/>
              </w:rPr>
              <w:t>16227</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8E78676" w14:textId="77777777" w:rsidR="00920B68" w:rsidRPr="00364545" w:rsidRDefault="00920B68" w:rsidP="00920B68">
            <w:pPr>
              <w:spacing w:line="259" w:lineRule="auto"/>
              <w:ind w:left="56"/>
              <w:jc w:val="center"/>
              <w:rPr>
                <w:i/>
                <w:sz w:val="18"/>
                <w:szCs w:val="18"/>
              </w:rPr>
            </w:pPr>
            <w:r w:rsidRPr="00634E4C">
              <w:rPr>
                <w:sz w:val="18"/>
              </w:rPr>
              <w:t>17705</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51E1BF5" w14:textId="77777777" w:rsidR="00920B68" w:rsidRPr="00364545" w:rsidRDefault="00920B68" w:rsidP="00920B68">
            <w:pPr>
              <w:spacing w:line="259" w:lineRule="auto"/>
              <w:ind w:left="56"/>
              <w:jc w:val="center"/>
              <w:rPr>
                <w:i/>
                <w:sz w:val="18"/>
                <w:szCs w:val="18"/>
              </w:rPr>
            </w:pPr>
            <w:r w:rsidRPr="00634E4C">
              <w:rPr>
                <w:sz w:val="18"/>
              </w:rPr>
              <w:t>19202</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F235D97" w14:textId="77777777" w:rsidR="00920B68" w:rsidRPr="00364545" w:rsidRDefault="00920B68" w:rsidP="00920B68">
            <w:pPr>
              <w:spacing w:line="259" w:lineRule="auto"/>
              <w:ind w:left="56"/>
              <w:jc w:val="center"/>
              <w:rPr>
                <w:i/>
                <w:sz w:val="18"/>
                <w:szCs w:val="18"/>
              </w:rPr>
            </w:pPr>
            <w:r w:rsidRPr="00364545">
              <w:rPr>
                <w:i/>
                <w:sz w:val="18"/>
              </w:rPr>
              <w:t>4898</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ACA7706" w14:textId="77777777" w:rsidR="00920B68" w:rsidRPr="00364545" w:rsidRDefault="00920B68" w:rsidP="00920B68">
            <w:pPr>
              <w:spacing w:line="259" w:lineRule="auto"/>
              <w:ind w:left="56"/>
              <w:jc w:val="center"/>
              <w:rPr>
                <w:i/>
                <w:sz w:val="18"/>
                <w:szCs w:val="18"/>
              </w:rPr>
            </w:pPr>
            <w:r w:rsidRPr="00364545">
              <w:rPr>
                <w:i/>
                <w:sz w:val="18"/>
              </w:rPr>
              <w:t>19148</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444DCC0" w14:textId="77777777" w:rsidR="00920B68" w:rsidRPr="00364545" w:rsidRDefault="00920B68" w:rsidP="00920B68">
            <w:pPr>
              <w:spacing w:line="259" w:lineRule="auto"/>
              <w:ind w:left="56"/>
              <w:jc w:val="center"/>
              <w:rPr>
                <w:i/>
                <w:sz w:val="18"/>
                <w:szCs w:val="18"/>
              </w:rPr>
            </w:pPr>
            <w:r w:rsidRPr="00364545">
              <w:rPr>
                <w:i/>
                <w:sz w:val="18"/>
              </w:rPr>
              <w:t>19698</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0D574BD" w14:textId="77777777" w:rsidR="00920B68" w:rsidRPr="00364545" w:rsidRDefault="00920B68" w:rsidP="00920B68">
            <w:pPr>
              <w:spacing w:line="259" w:lineRule="auto"/>
              <w:ind w:left="56"/>
              <w:jc w:val="center"/>
              <w:rPr>
                <w:i/>
                <w:sz w:val="18"/>
                <w:szCs w:val="18"/>
              </w:rPr>
            </w:pPr>
            <w:r w:rsidRPr="00364545">
              <w:rPr>
                <w:i/>
                <w:sz w:val="18"/>
              </w:rPr>
              <w:t>20165</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7EC38FA" w14:textId="77777777" w:rsidR="00920B68" w:rsidRPr="00364545" w:rsidRDefault="00920B68" w:rsidP="00920B68">
            <w:pPr>
              <w:spacing w:line="259" w:lineRule="auto"/>
              <w:ind w:left="56"/>
              <w:jc w:val="center"/>
              <w:rPr>
                <w:i/>
                <w:sz w:val="18"/>
                <w:szCs w:val="18"/>
              </w:rPr>
            </w:pPr>
            <w:r w:rsidRPr="00364545">
              <w:rPr>
                <w:i/>
                <w:sz w:val="18"/>
              </w:rPr>
              <w:t>21635</w:t>
            </w:r>
          </w:p>
        </w:tc>
      </w:tr>
      <w:tr w:rsidR="00920B68" w:rsidRPr="00364545" w14:paraId="7F316D1C" w14:textId="77777777" w:rsidTr="00920B68">
        <w:trPr>
          <w:trHeight w:val="345"/>
        </w:trPr>
        <w:tc>
          <w:tcPr>
            <w:tcW w:w="1405" w:type="dxa"/>
            <w:tcBorders>
              <w:top w:val="single" w:sz="2" w:space="0" w:color="000000"/>
              <w:left w:val="single" w:sz="2" w:space="0" w:color="000000"/>
              <w:bottom w:val="single" w:sz="2" w:space="0" w:color="000000"/>
              <w:right w:val="single" w:sz="2" w:space="0" w:color="000000"/>
            </w:tcBorders>
            <w:shd w:val="clear" w:color="auto" w:fill="E5EAF3"/>
          </w:tcPr>
          <w:p w14:paraId="52F05FB4" w14:textId="77777777" w:rsidR="00920B68" w:rsidRPr="00364545" w:rsidRDefault="00920B68" w:rsidP="00920B68">
            <w:pPr>
              <w:spacing w:line="259" w:lineRule="auto"/>
              <w:jc w:val="left"/>
            </w:pPr>
            <w:r w:rsidRPr="00364545">
              <w:rPr>
                <w:i/>
                <w:sz w:val="18"/>
              </w:rPr>
              <w:t xml:space="preserve">Maritime bunker emissions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A946E6E" w14:textId="77777777" w:rsidR="00920B68" w:rsidRPr="00364545" w:rsidRDefault="00920B68" w:rsidP="00920B68">
            <w:pPr>
              <w:spacing w:line="259" w:lineRule="auto"/>
              <w:ind w:left="56"/>
              <w:jc w:val="center"/>
              <w:rPr>
                <w:i/>
                <w:sz w:val="18"/>
                <w:szCs w:val="18"/>
              </w:rPr>
            </w:pPr>
            <w:r>
              <w:rPr>
                <w:sz w:val="18"/>
                <w:szCs w:val="18"/>
              </w:rPr>
              <w:t>8041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B5D5D55" w14:textId="77777777" w:rsidR="00920B68" w:rsidRPr="00364545" w:rsidRDefault="00920B68" w:rsidP="00920B68">
            <w:pPr>
              <w:spacing w:line="259" w:lineRule="auto"/>
              <w:ind w:left="56"/>
              <w:jc w:val="center"/>
              <w:rPr>
                <w:i/>
                <w:sz w:val="18"/>
                <w:szCs w:val="18"/>
              </w:rPr>
            </w:pPr>
            <w:r>
              <w:rPr>
                <w:sz w:val="18"/>
                <w:szCs w:val="18"/>
              </w:rPr>
              <w:t>7199</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7D26AE2" w14:textId="77777777" w:rsidR="00920B68" w:rsidRPr="00364545" w:rsidRDefault="00920B68" w:rsidP="00920B68">
            <w:pPr>
              <w:spacing w:line="259" w:lineRule="auto"/>
              <w:ind w:left="56"/>
              <w:jc w:val="center"/>
              <w:rPr>
                <w:i/>
                <w:sz w:val="18"/>
                <w:szCs w:val="18"/>
              </w:rPr>
            </w:pPr>
            <w:r>
              <w:rPr>
                <w:sz w:val="18"/>
                <w:szCs w:val="18"/>
              </w:rPr>
              <w:t>9564</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E5B343F" w14:textId="77777777" w:rsidR="00920B68" w:rsidRPr="00364545" w:rsidRDefault="00920B68" w:rsidP="00920B68">
            <w:pPr>
              <w:spacing w:line="259" w:lineRule="auto"/>
              <w:ind w:left="56"/>
              <w:jc w:val="center"/>
              <w:rPr>
                <w:i/>
                <w:sz w:val="18"/>
                <w:szCs w:val="18"/>
              </w:rPr>
            </w:pPr>
            <w:r w:rsidRPr="00634E4C">
              <w:rPr>
                <w:sz w:val="18"/>
              </w:rPr>
              <w:t>8871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BF02E0E" w14:textId="77777777" w:rsidR="00920B68" w:rsidRPr="00364545" w:rsidRDefault="00920B68" w:rsidP="00920B68">
            <w:pPr>
              <w:spacing w:line="259" w:lineRule="auto"/>
              <w:ind w:left="56"/>
              <w:jc w:val="center"/>
              <w:rPr>
                <w:i/>
                <w:sz w:val="18"/>
                <w:szCs w:val="18"/>
              </w:rPr>
            </w:pPr>
            <w:r w:rsidRPr="00634E4C">
              <w:rPr>
                <w:sz w:val="18"/>
              </w:rPr>
              <w:t>8001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8238867" w14:textId="77777777" w:rsidR="00920B68" w:rsidRPr="00364545" w:rsidRDefault="00920B68" w:rsidP="00920B68">
            <w:pPr>
              <w:spacing w:line="259" w:lineRule="auto"/>
              <w:ind w:left="56"/>
              <w:jc w:val="center"/>
              <w:rPr>
                <w:i/>
                <w:sz w:val="18"/>
                <w:szCs w:val="18"/>
              </w:rPr>
            </w:pPr>
            <w:r w:rsidRPr="00634E4C">
              <w:rPr>
                <w:sz w:val="18"/>
              </w:rPr>
              <w:t>5611</w:t>
            </w:r>
          </w:p>
        </w:tc>
        <w:tc>
          <w:tcPr>
            <w:tcW w:w="77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3634D5E6" w14:textId="77777777" w:rsidR="00920B68" w:rsidRPr="00364545" w:rsidRDefault="00920B68" w:rsidP="00920B68">
            <w:pPr>
              <w:spacing w:line="259" w:lineRule="auto"/>
              <w:ind w:left="56"/>
              <w:jc w:val="center"/>
              <w:rPr>
                <w:i/>
                <w:sz w:val="18"/>
                <w:szCs w:val="18"/>
              </w:rPr>
            </w:pPr>
            <w:r w:rsidRPr="00634E4C">
              <w:rPr>
                <w:sz w:val="18"/>
              </w:rPr>
              <w:t>5589</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3FEA369" w14:textId="77777777" w:rsidR="00920B68" w:rsidRPr="00364545" w:rsidRDefault="00920B68" w:rsidP="00920B68">
            <w:pPr>
              <w:spacing w:line="259" w:lineRule="auto"/>
              <w:ind w:left="56"/>
              <w:jc w:val="center"/>
              <w:rPr>
                <w:i/>
                <w:sz w:val="18"/>
                <w:szCs w:val="18"/>
              </w:rPr>
            </w:pPr>
            <w:r w:rsidRPr="00364545">
              <w:rPr>
                <w:i/>
                <w:sz w:val="18"/>
              </w:rPr>
              <w:t>4750</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ACFB83A" w14:textId="77777777" w:rsidR="00920B68" w:rsidRPr="00364545" w:rsidRDefault="00920B68" w:rsidP="00920B68">
            <w:pPr>
              <w:spacing w:line="259" w:lineRule="auto"/>
              <w:ind w:left="56"/>
              <w:jc w:val="center"/>
              <w:rPr>
                <w:i/>
                <w:sz w:val="18"/>
                <w:szCs w:val="18"/>
              </w:rPr>
            </w:pPr>
            <w:r w:rsidRPr="00364545">
              <w:rPr>
                <w:i/>
                <w:sz w:val="18"/>
              </w:rPr>
              <w:t>4742</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DDB750C" w14:textId="77777777" w:rsidR="00920B68" w:rsidRPr="00364545" w:rsidRDefault="00920B68" w:rsidP="00920B68">
            <w:pPr>
              <w:spacing w:line="259" w:lineRule="auto"/>
              <w:ind w:left="56"/>
              <w:jc w:val="center"/>
              <w:rPr>
                <w:i/>
                <w:sz w:val="18"/>
                <w:szCs w:val="18"/>
              </w:rPr>
            </w:pPr>
            <w:r w:rsidRPr="00364545">
              <w:rPr>
                <w:i/>
                <w:sz w:val="18"/>
              </w:rPr>
              <w:t>4726</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725F718" w14:textId="77777777" w:rsidR="00920B68" w:rsidRPr="00364545" w:rsidRDefault="00920B68" w:rsidP="00920B68">
            <w:pPr>
              <w:spacing w:line="259" w:lineRule="auto"/>
              <w:ind w:left="56"/>
              <w:jc w:val="center"/>
              <w:rPr>
                <w:i/>
                <w:sz w:val="18"/>
                <w:szCs w:val="18"/>
              </w:rPr>
            </w:pPr>
            <w:r w:rsidRPr="00364545">
              <w:rPr>
                <w:i/>
                <w:sz w:val="18"/>
              </w:rPr>
              <w:t>4716</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685343A" w14:textId="77777777" w:rsidR="00920B68" w:rsidRPr="00364545" w:rsidRDefault="00920B68" w:rsidP="00920B68">
            <w:pPr>
              <w:spacing w:line="259" w:lineRule="auto"/>
              <w:ind w:left="56"/>
              <w:jc w:val="center"/>
              <w:rPr>
                <w:i/>
                <w:sz w:val="18"/>
                <w:szCs w:val="18"/>
              </w:rPr>
            </w:pPr>
            <w:r w:rsidRPr="00364545">
              <w:rPr>
                <w:i/>
                <w:sz w:val="18"/>
              </w:rPr>
              <w:t>4685</w:t>
            </w:r>
          </w:p>
        </w:tc>
      </w:tr>
    </w:tbl>
    <w:p w14:paraId="2633B56C" w14:textId="77777777" w:rsidR="00920B68" w:rsidRPr="00364545" w:rsidRDefault="00920B68" w:rsidP="00920B68">
      <w:pPr>
        <w:pStyle w:val="Default"/>
        <w:rPr>
          <w:sz w:val="16"/>
          <w:szCs w:val="16"/>
        </w:rPr>
      </w:pPr>
      <w:r w:rsidRPr="00364545">
        <w:rPr>
          <w:i/>
          <w:sz w:val="16"/>
        </w:rPr>
        <w:t xml:space="preserve">Reading the table: Energy = category CRF1; industrial processes and solvents = category CRF2 and 3; agriculture (non-energy) = category CRF4; waste treatment = category CRF 6. </w:t>
      </w:r>
    </w:p>
    <w:p w14:paraId="28C3B997" w14:textId="77777777" w:rsidR="00920B68" w:rsidRPr="00364545" w:rsidRDefault="00920B68" w:rsidP="00920B68">
      <w:pPr>
        <w:pStyle w:val="Caption"/>
      </w:pPr>
      <w:r w:rsidRPr="00364545">
        <w:t xml:space="preserve">Table </w:t>
      </w:r>
      <w:fldSimple w:instr=" SEQ Tableau \* ARABIC ">
        <w:r w:rsidRPr="00364545">
          <w:rPr>
            <w:noProof/>
          </w:rPr>
          <w:t>13</w:t>
        </w:r>
      </w:fldSimple>
      <w:r w:rsidRPr="00364545">
        <w:t>: GHG emissions projections by sector of activity (in ktCO</w:t>
      </w:r>
      <w:r w:rsidRPr="00364545">
        <w:rPr>
          <w:vertAlign w:val="subscript"/>
        </w:rPr>
        <w:t>2e</w:t>
      </w:r>
      <w:r w:rsidRPr="00364545">
        <w:t>) in the Kyoto scope in the AME scenario (with existing measures)</w:t>
      </w:r>
    </w:p>
    <w:p w14:paraId="77B3A906" w14:textId="77777777" w:rsidR="00920B68" w:rsidRPr="00364545" w:rsidRDefault="00920B68" w:rsidP="00920B68">
      <w:pPr>
        <w:pStyle w:val="Caption"/>
      </w:pPr>
      <w:r w:rsidRPr="00364545">
        <w:t>Source: UNFCCC inventory, Citepa/MTE, 202</w:t>
      </w:r>
      <w:r>
        <w:t>2</w:t>
      </w:r>
      <w:r w:rsidRPr="00364545">
        <w:t xml:space="preserve"> submission and MTE emission projections, 2021</w:t>
      </w:r>
    </w:p>
    <w:p w14:paraId="42683CD9" w14:textId="77777777" w:rsidR="00920B68" w:rsidRPr="00364545" w:rsidRDefault="00920B68" w:rsidP="00920B68">
      <w:pPr>
        <w:rPr>
          <w:sz w:val="18"/>
          <w:szCs w:val="18"/>
        </w:rPr>
      </w:pPr>
    </w:p>
    <w:p w14:paraId="33F31970" w14:textId="77777777" w:rsidR="00920B68" w:rsidRPr="00364545" w:rsidRDefault="00920B68" w:rsidP="00920B68">
      <w:pPr>
        <w:rPr>
          <w:i/>
          <w:iCs/>
          <w:sz w:val="16"/>
          <w:szCs w:val="16"/>
        </w:rPr>
      </w:pPr>
    </w:p>
    <w:p w14:paraId="1023B7E8" w14:textId="77777777" w:rsidR="00920B68" w:rsidRPr="00364545" w:rsidRDefault="00920B68" w:rsidP="00920B68">
      <w:pPr>
        <w:rPr>
          <w:sz w:val="18"/>
          <w:szCs w:val="18"/>
        </w:rPr>
      </w:pPr>
    </w:p>
    <w:p w14:paraId="4552E711" w14:textId="77777777" w:rsidR="00920B68" w:rsidRPr="00364545" w:rsidRDefault="00920B68" w:rsidP="00920B68">
      <w:pPr>
        <w:rPr>
          <w:sz w:val="18"/>
          <w:szCs w:val="18"/>
        </w:rPr>
      </w:pPr>
    </w:p>
    <w:p w14:paraId="18776253" w14:textId="77777777" w:rsidR="00920B68" w:rsidRPr="00364545" w:rsidRDefault="00920B68" w:rsidP="00920B68">
      <w:pPr>
        <w:rPr>
          <w:sz w:val="18"/>
          <w:szCs w:val="18"/>
        </w:rPr>
      </w:pPr>
    </w:p>
    <w:p w14:paraId="3703DA40" w14:textId="77777777" w:rsidR="00920B68" w:rsidRPr="00364545" w:rsidRDefault="00920B68" w:rsidP="00920B68">
      <w:pPr>
        <w:jc w:val="center"/>
        <w:rPr>
          <w:sz w:val="18"/>
          <w:szCs w:val="18"/>
        </w:rPr>
      </w:pPr>
    </w:p>
    <w:p w14:paraId="29D8A9C2" w14:textId="77777777" w:rsidR="00920B68" w:rsidRDefault="00920B68" w:rsidP="00920B68">
      <w:pPr>
        <w:pStyle w:val="Caption"/>
      </w:pPr>
    </w:p>
    <w:p w14:paraId="77F54F84" w14:textId="77777777" w:rsidR="00920B68" w:rsidRDefault="00920B68" w:rsidP="00920B68">
      <w:pPr>
        <w:pStyle w:val="Caption"/>
        <w:jc w:val="center"/>
      </w:pPr>
      <w:r>
        <w:rPr>
          <w:noProof/>
          <w:lang w:val="fr-FR"/>
        </w:rPr>
        <w:drawing>
          <wp:inline distT="0" distB="0" distL="0" distR="0" wp14:anchorId="78CA0D80" wp14:editId="7A74EFB7">
            <wp:extent cx="6205855" cy="3183467"/>
            <wp:effectExtent l="0" t="0" r="4445" b="0"/>
            <wp:docPr id="28712" name="Graphique 287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F86534" w14:textId="77777777" w:rsidR="00920B68" w:rsidRPr="00364545" w:rsidRDefault="00920B68" w:rsidP="00920B68">
      <w:pPr>
        <w:pStyle w:val="Caption"/>
      </w:pPr>
      <w:r w:rsidRPr="00364545">
        <w:t xml:space="preserve">Figure </w:t>
      </w:r>
      <w:fldSimple w:instr=" SEQ Figure \* ARABIC ">
        <w:r w:rsidRPr="00364545">
          <w:rPr>
            <w:noProof/>
          </w:rPr>
          <w:t>54</w:t>
        </w:r>
      </w:fldSimple>
      <w:r w:rsidRPr="00364545">
        <w:t>: Projection by sector in ktCO</w:t>
      </w:r>
      <w:r w:rsidRPr="00364545">
        <w:rPr>
          <w:vertAlign w:val="subscript"/>
        </w:rPr>
        <w:t>2</w:t>
      </w:r>
      <w:r w:rsidRPr="00364545">
        <w:t xml:space="preserve">e, Kyoto format, WEM scenario </w:t>
      </w:r>
    </w:p>
    <w:p w14:paraId="0C4F4540" w14:textId="77777777" w:rsidR="00920B68" w:rsidRPr="00364545" w:rsidRDefault="00920B68" w:rsidP="00920B68">
      <w:pPr>
        <w:pStyle w:val="Caption"/>
      </w:pPr>
      <w:r w:rsidRPr="00364545">
        <w:t>Source: UN</w:t>
      </w:r>
      <w:r>
        <w:t>FCCC inventory, Citepa/MTES, 2022</w:t>
      </w:r>
      <w:r w:rsidRPr="00364545">
        <w:t xml:space="preserve"> submission and</w:t>
      </w:r>
      <w:r>
        <w:t xml:space="preserve"> MTES emission projections, 2021</w:t>
      </w:r>
    </w:p>
    <w:p w14:paraId="5820550E" w14:textId="77777777" w:rsidR="00920B68" w:rsidRPr="00364545" w:rsidRDefault="00920B68" w:rsidP="00920B68">
      <w:pPr>
        <w:rPr>
          <w:sz w:val="18"/>
          <w:szCs w:val="18"/>
        </w:rPr>
      </w:pPr>
    </w:p>
    <w:p w14:paraId="6B6BEBC0" w14:textId="77777777" w:rsidR="00920B68" w:rsidRPr="00364545" w:rsidRDefault="00920B68" w:rsidP="00920B68">
      <w:pPr>
        <w:pStyle w:val="titreencadre"/>
        <w:numPr>
          <w:ilvl w:val="3"/>
          <w:numId w:val="108"/>
        </w:numPr>
        <w:spacing w:before="120" w:after="60" w:line="240" w:lineRule="auto"/>
      </w:pPr>
      <w:r w:rsidRPr="00364545">
        <w:t>AMS 2018</w:t>
      </w:r>
    </w:p>
    <w:tbl>
      <w:tblPr>
        <w:tblStyle w:val="TableGrid0"/>
        <w:tblW w:w="10708" w:type="dxa"/>
        <w:tblInd w:w="10" w:type="dxa"/>
        <w:tblLayout w:type="fixed"/>
        <w:tblCellMar>
          <w:top w:w="40" w:type="dxa"/>
          <w:left w:w="28" w:type="dxa"/>
          <w:right w:w="3" w:type="dxa"/>
        </w:tblCellMar>
        <w:tblLook w:val="04A0" w:firstRow="1" w:lastRow="0" w:firstColumn="1" w:lastColumn="0" w:noHBand="0" w:noVBand="1"/>
      </w:tblPr>
      <w:tblGrid>
        <w:gridCol w:w="1404"/>
        <w:gridCol w:w="775"/>
        <w:gridCol w:w="775"/>
        <w:gridCol w:w="775"/>
        <w:gridCol w:w="776"/>
        <w:gridCol w:w="775"/>
        <w:gridCol w:w="776"/>
        <w:gridCol w:w="775"/>
        <w:gridCol w:w="775"/>
        <w:gridCol w:w="775"/>
        <w:gridCol w:w="776"/>
        <w:gridCol w:w="775"/>
        <w:gridCol w:w="776"/>
      </w:tblGrid>
      <w:tr w:rsidR="00920B68" w:rsidRPr="00364545" w14:paraId="069DFEEE" w14:textId="77777777" w:rsidTr="00920B68">
        <w:trPr>
          <w:trHeight w:val="400"/>
        </w:trPr>
        <w:tc>
          <w:tcPr>
            <w:tcW w:w="1404" w:type="dxa"/>
            <w:tcBorders>
              <w:top w:val="single" w:sz="2" w:space="0" w:color="000000"/>
              <w:left w:val="single" w:sz="2" w:space="0" w:color="000000"/>
              <w:bottom w:val="single" w:sz="2" w:space="0" w:color="000000"/>
              <w:right w:val="single" w:sz="2" w:space="0" w:color="000000"/>
            </w:tcBorders>
            <w:shd w:val="clear" w:color="auto" w:fill="6D2A78"/>
          </w:tcPr>
          <w:p w14:paraId="264013A5" w14:textId="77777777" w:rsidR="00920B68" w:rsidRPr="00364545" w:rsidRDefault="00920B68" w:rsidP="00920B68">
            <w:pPr>
              <w:spacing w:line="259" w:lineRule="auto"/>
              <w:rPr>
                <w:b/>
              </w:rPr>
            </w:pPr>
            <w:r w:rsidRPr="00364545">
              <w:rPr>
                <w:b/>
                <w:color w:val="FFFFFF" w:themeColor="background1"/>
              </w:rPr>
              <w:t>AMS 2018</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033E7431" w14:textId="77777777" w:rsidR="00920B68" w:rsidRPr="00364545" w:rsidRDefault="00920B68" w:rsidP="00920B68">
            <w:pPr>
              <w:spacing w:line="259" w:lineRule="auto"/>
              <w:ind w:right="28"/>
              <w:jc w:val="center"/>
            </w:pPr>
            <w:r w:rsidRPr="00364545">
              <w:rPr>
                <w:b/>
                <w:color w:val="FFFFFF"/>
                <w:sz w:val="18"/>
              </w:rPr>
              <w:t xml:space="preserve">1990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0DFC27B6" w14:textId="77777777" w:rsidR="00920B68" w:rsidRPr="00364545" w:rsidRDefault="00920B68" w:rsidP="00920B68">
            <w:pPr>
              <w:spacing w:line="259" w:lineRule="auto"/>
              <w:ind w:right="26"/>
              <w:jc w:val="center"/>
              <w:rPr>
                <w:b/>
                <w:color w:val="FFFFFF"/>
                <w:sz w:val="18"/>
              </w:rPr>
            </w:pPr>
            <w:r w:rsidRPr="00364545">
              <w:rPr>
                <w:b/>
                <w:color w:val="FFFFFF"/>
                <w:sz w:val="18"/>
              </w:rPr>
              <w:t>1995</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1D8C3588" w14:textId="77777777" w:rsidR="00920B68" w:rsidRPr="00364545" w:rsidRDefault="00920B68" w:rsidP="00920B68">
            <w:pPr>
              <w:spacing w:line="259" w:lineRule="auto"/>
              <w:ind w:right="26"/>
              <w:jc w:val="center"/>
            </w:pPr>
            <w:r w:rsidRPr="00364545">
              <w:rPr>
                <w:b/>
                <w:color w:val="FFFFFF"/>
                <w:sz w:val="18"/>
              </w:rPr>
              <w:t xml:space="preserve">2000 </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26EE66AB" w14:textId="77777777" w:rsidR="00920B68" w:rsidRPr="00364545" w:rsidRDefault="00920B68" w:rsidP="00920B68">
            <w:pPr>
              <w:spacing w:line="259" w:lineRule="auto"/>
              <w:ind w:right="28"/>
              <w:jc w:val="center"/>
            </w:pPr>
            <w:r w:rsidRPr="00364545">
              <w:rPr>
                <w:b/>
                <w:color w:val="FFFFFF"/>
                <w:sz w:val="18"/>
              </w:rPr>
              <w:t xml:space="preserve">2005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22E573CE" w14:textId="77777777" w:rsidR="00920B68" w:rsidRPr="00364545" w:rsidRDefault="00920B68" w:rsidP="00920B68">
            <w:pPr>
              <w:spacing w:line="259" w:lineRule="auto"/>
              <w:ind w:right="26"/>
              <w:jc w:val="center"/>
            </w:pPr>
            <w:r w:rsidRPr="00364545">
              <w:rPr>
                <w:b/>
                <w:color w:val="FFFFFF"/>
                <w:sz w:val="18"/>
              </w:rPr>
              <w:t xml:space="preserve">2010 </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57987CD4" w14:textId="77777777" w:rsidR="00920B68" w:rsidRPr="00364545" w:rsidRDefault="00920B68" w:rsidP="00920B68">
            <w:pPr>
              <w:spacing w:line="259" w:lineRule="auto"/>
              <w:ind w:right="28"/>
              <w:jc w:val="center"/>
            </w:pPr>
            <w:r w:rsidRPr="00364545">
              <w:rPr>
                <w:b/>
                <w:color w:val="FFFFFF"/>
                <w:sz w:val="18"/>
              </w:rPr>
              <w:t xml:space="preserve">2015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0FF9A670" w14:textId="77777777" w:rsidR="00920B68" w:rsidRPr="00364545" w:rsidRDefault="00920B68" w:rsidP="00920B68">
            <w:pPr>
              <w:spacing w:line="259" w:lineRule="auto"/>
              <w:ind w:right="28"/>
              <w:jc w:val="center"/>
              <w:rPr>
                <w:b/>
                <w:color w:val="FFFFFF"/>
                <w:sz w:val="18"/>
              </w:rPr>
            </w:pPr>
            <w:r>
              <w:rPr>
                <w:b/>
                <w:color w:val="FFFFFF"/>
                <w:sz w:val="18"/>
              </w:rPr>
              <w:t>2019</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7772CCDC" w14:textId="77777777" w:rsidR="00920B68" w:rsidRPr="00364545" w:rsidRDefault="00920B68" w:rsidP="00920B68">
            <w:pPr>
              <w:spacing w:line="259" w:lineRule="auto"/>
              <w:ind w:right="28"/>
              <w:jc w:val="center"/>
            </w:pPr>
            <w:r w:rsidRPr="00364545">
              <w:rPr>
                <w:b/>
                <w:color w:val="FFFFFF"/>
                <w:sz w:val="18"/>
              </w:rPr>
              <w:t xml:space="preserve">2020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0A29FA47" w14:textId="77777777" w:rsidR="00920B68" w:rsidRPr="00364545" w:rsidRDefault="00920B68" w:rsidP="00920B68">
            <w:pPr>
              <w:spacing w:line="259" w:lineRule="auto"/>
              <w:ind w:right="26"/>
              <w:jc w:val="center"/>
            </w:pPr>
            <w:r w:rsidRPr="00364545">
              <w:rPr>
                <w:b/>
                <w:color w:val="FFFFFF"/>
                <w:sz w:val="18"/>
              </w:rPr>
              <w:t>2025</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07732E11" w14:textId="77777777" w:rsidR="00920B68" w:rsidRPr="00364545" w:rsidRDefault="00920B68" w:rsidP="00920B68">
            <w:pPr>
              <w:spacing w:line="259" w:lineRule="auto"/>
              <w:ind w:right="27"/>
              <w:jc w:val="center"/>
            </w:pPr>
            <w:r w:rsidRPr="00364545">
              <w:rPr>
                <w:b/>
                <w:color w:val="FFFFFF"/>
                <w:sz w:val="18"/>
              </w:rPr>
              <w:t xml:space="preserve">2030 </w:t>
            </w:r>
          </w:p>
        </w:tc>
        <w:tc>
          <w:tcPr>
            <w:tcW w:w="775" w:type="dxa"/>
            <w:tcBorders>
              <w:top w:val="single" w:sz="2" w:space="0" w:color="000000"/>
              <w:left w:val="single" w:sz="2" w:space="0" w:color="000000"/>
              <w:bottom w:val="single" w:sz="2" w:space="0" w:color="000000"/>
              <w:right w:val="single" w:sz="2" w:space="0" w:color="000000"/>
            </w:tcBorders>
            <w:shd w:val="clear" w:color="auto" w:fill="6D2A78"/>
          </w:tcPr>
          <w:p w14:paraId="68BB0576" w14:textId="77777777" w:rsidR="00920B68" w:rsidRPr="00364545" w:rsidRDefault="00920B68" w:rsidP="00920B68">
            <w:pPr>
              <w:spacing w:line="259" w:lineRule="auto"/>
              <w:ind w:right="27"/>
              <w:jc w:val="center"/>
              <w:rPr>
                <w:b/>
                <w:color w:val="FFFFFF"/>
                <w:sz w:val="18"/>
              </w:rPr>
            </w:pPr>
            <w:r w:rsidRPr="00364545">
              <w:rPr>
                <w:b/>
                <w:color w:val="FFFFFF"/>
                <w:sz w:val="18"/>
              </w:rPr>
              <w:t>2035</w:t>
            </w:r>
          </w:p>
        </w:tc>
        <w:tc>
          <w:tcPr>
            <w:tcW w:w="776" w:type="dxa"/>
            <w:tcBorders>
              <w:top w:val="single" w:sz="2" w:space="0" w:color="000000"/>
              <w:left w:val="single" w:sz="2" w:space="0" w:color="000000"/>
              <w:bottom w:val="single" w:sz="2" w:space="0" w:color="000000"/>
              <w:right w:val="single" w:sz="2" w:space="0" w:color="000000"/>
            </w:tcBorders>
            <w:shd w:val="clear" w:color="auto" w:fill="6D2A78"/>
          </w:tcPr>
          <w:p w14:paraId="69CD5E0D" w14:textId="77777777" w:rsidR="00920B68" w:rsidRPr="00364545" w:rsidRDefault="00920B68" w:rsidP="00920B68">
            <w:pPr>
              <w:spacing w:line="259" w:lineRule="auto"/>
              <w:ind w:right="27"/>
              <w:jc w:val="center"/>
              <w:rPr>
                <w:b/>
                <w:color w:val="FFFFFF"/>
                <w:sz w:val="18"/>
              </w:rPr>
            </w:pPr>
            <w:r w:rsidRPr="00364545">
              <w:rPr>
                <w:b/>
                <w:color w:val="FFFFFF"/>
                <w:sz w:val="18"/>
              </w:rPr>
              <w:t>2050</w:t>
            </w:r>
          </w:p>
        </w:tc>
      </w:tr>
      <w:tr w:rsidR="00920B68" w:rsidRPr="00364545" w14:paraId="738FD5E2" w14:textId="77777777" w:rsidTr="00920B68">
        <w:trPr>
          <w:trHeight w:val="347"/>
        </w:trPr>
        <w:tc>
          <w:tcPr>
            <w:tcW w:w="1404" w:type="dxa"/>
            <w:tcBorders>
              <w:top w:val="single" w:sz="2" w:space="0" w:color="000000"/>
              <w:left w:val="single" w:sz="2" w:space="0" w:color="000000"/>
              <w:bottom w:val="single" w:sz="2" w:space="0" w:color="000000"/>
              <w:right w:val="single" w:sz="2" w:space="0" w:color="000000"/>
            </w:tcBorders>
          </w:tcPr>
          <w:p w14:paraId="76499AA5" w14:textId="77777777" w:rsidR="00920B68" w:rsidRPr="00364545" w:rsidRDefault="00920B68" w:rsidP="00920B68">
            <w:pPr>
              <w:spacing w:line="259" w:lineRule="auto"/>
            </w:pPr>
            <w:r w:rsidRPr="00364545">
              <w:rPr>
                <w:sz w:val="18"/>
              </w:rPr>
              <w:t xml:space="preserve"> </w:t>
            </w:r>
          </w:p>
        </w:tc>
        <w:tc>
          <w:tcPr>
            <w:tcW w:w="5427" w:type="dxa"/>
            <w:gridSpan w:val="7"/>
            <w:tcBorders>
              <w:top w:val="single" w:sz="2" w:space="0" w:color="000000"/>
              <w:left w:val="single" w:sz="2" w:space="0" w:color="000000"/>
              <w:bottom w:val="single" w:sz="2" w:space="0" w:color="000000"/>
              <w:right w:val="single" w:sz="2" w:space="0" w:color="000000"/>
            </w:tcBorders>
            <w:shd w:val="clear" w:color="auto" w:fill="auto"/>
          </w:tcPr>
          <w:p w14:paraId="00BE8FE6" w14:textId="77777777" w:rsidR="00920B68" w:rsidRPr="00634E4C" w:rsidRDefault="00920B68" w:rsidP="00920B68">
            <w:pPr>
              <w:spacing w:line="259" w:lineRule="auto"/>
              <w:ind w:left="75"/>
              <w:jc w:val="center"/>
              <w:rPr>
                <w:b/>
                <w:color w:val="6D2A78"/>
                <w:sz w:val="18"/>
              </w:rPr>
            </w:pPr>
            <w:r w:rsidRPr="00364545">
              <w:rPr>
                <w:b/>
                <w:color w:val="6D2A78"/>
                <w:sz w:val="18"/>
              </w:rPr>
              <w:t>Observed</w:t>
            </w:r>
          </w:p>
        </w:tc>
        <w:tc>
          <w:tcPr>
            <w:tcW w:w="3877" w:type="dxa"/>
            <w:gridSpan w:val="5"/>
            <w:tcBorders>
              <w:top w:val="single" w:sz="2" w:space="0" w:color="000000"/>
              <w:left w:val="single" w:sz="2" w:space="0" w:color="000000"/>
              <w:bottom w:val="single" w:sz="2" w:space="0" w:color="000000"/>
              <w:right w:val="single" w:sz="2" w:space="0" w:color="000000"/>
            </w:tcBorders>
          </w:tcPr>
          <w:p w14:paraId="29A32A05" w14:textId="77777777" w:rsidR="00920B68" w:rsidRPr="00364545" w:rsidRDefault="00920B68" w:rsidP="00920B68">
            <w:pPr>
              <w:spacing w:line="259" w:lineRule="auto"/>
              <w:ind w:left="75"/>
              <w:jc w:val="center"/>
              <w:rPr>
                <w:b/>
                <w:color w:val="6D2A78"/>
                <w:sz w:val="18"/>
              </w:rPr>
            </w:pPr>
            <w:r w:rsidRPr="00364545">
              <w:rPr>
                <w:b/>
                <w:color w:val="6D2A78"/>
                <w:sz w:val="18"/>
              </w:rPr>
              <w:t>Projected</w:t>
            </w:r>
          </w:p>
        </w:tc>
      </w:tr>
      <w:tr w:rsidR="00920B68" w:rsidRPr="00364545" w14:paraId="662AECBA" w14:textId="77777777" w:rsidTr="00920B68">
        <w:trPr>
          <w:trHeight w:val="344"/>
        </w:trPr>
        <w:tc>
          <w:tcPr>
            <w:tcW w:w="1404" w:type="dxa"/>
            <w:tcBorders>
              <w:top w:val="single" w:sz="2" w:space="0" w:color="000000"/>
              <w:left w:val="single" w:sz="2" w:space="0" w:color="000000"/>
              <w:bottom w:val="single" w:sz="2" w:space="0" w:color="000000"/>
              <w:right w:val="single" w:sz="2" w:space="0" w:color="000000"/>
            </w:tcBorders>
            <w:shd w:val="clear" w:color="auto" w:fill="ECE6E2"/>
          </w:tcPr>
          <w:p w14:paraId="700D4329" w14:textId="77777777" w:rsidR="00920B68" w:rsidRPr="00364545" w:rsidRDefault="00920B68" w:rsidP="00920B68">
            <w:pPr>
              <w:spacing w:line="259" w:lineRule="auto"/>
            </w:pPr>
            <w:r w:rsidRPr="00364545">
              <w:rPr>
                <w:sz w:val="18"/>
              </w:rPr>
              <w:t xml:space="preserve">Energy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7D66E76" w14:textId="77777777" w:rsidR="00920B68" w:rsidRPr="00364545" w:rsidRDefault="00920B68" w:rsidP="00920B68">
            <w:pPr>
              <w:spacing w:line="259" w:lineRule="auto"/>
              <w:ind w:left="55"/>
              <w:jc w:val="center"/>
            </w:pPr>
            <w:r>
              <w:rPr>
                <w:sz w:val="18"/>
                <w:szCs w:val="18"/>
              </w:rPr>
              <w:t>367272</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58745F" w14:textId="77777777" w:rsidR="00920B68" w:rsidRPr="00364545" w:rsidRDefault="00920B68" w:rsidP="00920B68">
            <w:pPr>
              <w:spacing w:line="259" w:lineRule="auto"/>
              <w:ind w:left="56"/>
              <w:jc w:val="center"/>
              <w:rPr>
                <w:highlight w:val="yellow"/>
              </w:rPr>
            </w:pPr>
            <w:r>
              <w:rPr>
                <w:sz w:val="18"/>
                <w:szCs w:val="18"/>
              </w:rPr>
              <w:t>366079</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4750946" w14:textId="77777777" w:rsidR="00920B68" w:rsidRPr="00364545" w:rsidRDefault="00920B68" w:rsidP="00920B68">
            <w:pPr>
              <w:spacing w:line="259" w:lineRule="auto"/>
              <w:ind w:left="56"/>
              <w:jc w:val="center"/>
              <w:rPr>
                <w:highlight w:val="yellow"/>
              </w:rPr>
            </w:pPr>
            <w:r>
              <w:rPr>
                <w:sz w:val="18"/>
                <w:szCs w:val="18"/>
              </w:rPr>
              <w:t>381989</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8F19513" w14:textId="77777777" w:rsidR="00920B68" w:rsidRPr="00364545" w:rsidRDefault="00920B68" w:rsidP="00920B68">
            <w:pPr>
              <w:spacing w:line="259" w:lineRule="auto"/>
              <w:ind w:left="55"/>
              <w:jc w:val="center"/>
              <w:rPr>
                <w:highlight w:val="yellow"/>
              </w:rPr>
            </w:pPr>
            <w:r>
              <w:rPr>
                <w:sz w:val="18"/>
                <w:szCs w:val="18"/>
              </w:rPr>
              <w:t>390391</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6F0E127" w14:textId="77777777" w:rsidR="00920B68" w:rsidRPr="00364545" w:rsidRDefault="00920B68" w:rsidP="00920B68">
            <w:pPr>
              <w:spacing w:line="259" w:lineRule="auto"/>
              <w:ind w:left="56"/>
              <w:jc w:val="center"/>
            </w:pPr>
            <w:r>
              <w:rPr>
                <w:sz w:val="18"/>
                <w:szCs w:val="18"/>
              </w:rPr>
              <w:t>357711</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1FA7A8C" w14:textId="77777777" w:rsidR="00920B68" w:rsidRPr="00364545" w:rsidRDefault="00920B68" w:rsidP="00920B68">
            <w:pPr>
              <w:spacing w:line="259" w:lineRule="auto"/>
              <w:ind w:left="55"/>
              <w:jc w:val="center"/>
            </w:pPr>
            <w:r>
              <w:rPr>
                <w:sz w:val="18"/>
                <w:szCs w:val="18"/>
              </w:rPr>
              <w:t>313634</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13C1D7C" w14:textId="77777777" w:rsidR="00920B68" w:rsidRPr="00364545" w:rsidRDefault="00920B68" w:rsidP="00920B68">
            <w:pPr>
              <w:spacing w:line="259" w:lineRule="auto"/>
              <w:ind w:left="56"/>
              <w:jc w:val="center"/>
              <w:rPr>
                <w:rFonts w:ascii="Calibri" w:hAnsi="Calibri"/>
                <w:color w:val="000000"/>
                <w:sz w:val="20"/>
              </w:rPr>
            </w:pPr>
            <w:r>
              <w:rPr>
                <w:sz w:val="18"/>
                <w:szCs w:val="18"/>
              </w:rPr>
              <w:t>297313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A43E29C"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305017</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95935DE"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253350</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E744C28"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203515</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9A7173"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151385</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5FF173A"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-5007</w:t>
            </w:r>
          </w:p>
        </w:tc>
      </w:tr>
      <w:tr w:rsidR="00920B68" w:rsidRPr="00364545" w14:paraId="28020696" w14:textId="77777777" w:rsidTr="00920B68">
        <w:trPr>
          <w:trHeight w:val="419"/>
        </w:trPr>
        <w:tc>
          <w:tcPr>
            <w:tcW w:w="1404" w:type="dxa"/>
            <w:tcBorders>
              <w:top w:val="single" w:sz="2" w:space="0" w:color="000000"/>
              <w:left w:val="single" w:sz="2" w:space="0" w:color="000000"/>
              <w:bottom w:val="single" w:sz="2" w:space="0" w:color="000000"/>
              <w:right w:val="single" w:sz="2" w:space="0" w:color="000000"/>
            </w:tcBorders>
          </w:tcPr>
          <w:p w14:paraId="17C8818D" w14:textId="77777777" w:rsidR="00920B68" w:rsidRPr="00364545" w:rsidRDefault="00920B68" w:rsidP="00920B68">
            <w:pPr>
              <w:spacing w:line="259" w:lineRule="auto"/>
            </w:pPr>
            <w:r w:rsidRPr="00364545">
              <w:rPr>
                <w:sz w:val="18"/>
              </w:rPr>
              <w:t xml:space="preserve">Industrial processes, solvents and other products </w:t>
            </w:r>
          </w:p>
        </w:tc>
        <w:tc>
          <w:tcPr>
            <w:tcW w:w="775" w:type="dxa"/>
            <w:tcBorders>
              <w:top w:val="single" w:sz="2" w:space="0" w:color="000000"/>
              <w:left w:val="single" w:sz="2" w:space="0" w:color="000000"/>
              <w:bottom w:val="single" w:sz="2" w:space="0" w:color="000000"/>
              <w:right w:val="single" w:sz="2" w:space="0" w:color="000000"/>
            </w:tcBorders>
            <w:vAlign w:val="center"/>
          </w:tcPr>
          <w:p w14:paraId="021EB9DF" w14:textId="77777777" w:rsidR="00920B68" w:rsidRPr="00364545" w:rsidRDefault="00920B68" w:rsidP="00920B68">
            <w:pPr>
              <w:spacing w:line="259" w:lineRule="auto"/>
              <w:ind w:left="106"/>
              <w:jc w:val="center"/>
            </w:pPr>
            <w:r>
              <w:rPr>
                <w:sz w:val="18"/>
                <w:szCs w:val="18"/>
              </w:rPr>
              <w:t>78729</w:t>
            </w:r>
          </w:p>
        </w:tc>
        <w:tc>
          <w:tcPr>
            <w:tcW w:w="775" w:type="dxa"/>
            <w:tcBorders>
              <w:top w:val="single" w:sz="2" w:space="0" w:color="000000"/>
              <w:left w:val="single" w:sz="2" w:space="0" w:color="000000"/>
              <w:bottom w:val="single" w:sz="2" w:space="0" w:color="000000"/>
              <w:right w:val="single" w:sz="2" w:space="0" w:color="000000"/>
            </w:tcBorders>
            <w:vAlign w:val="center"/>
          </w:tcPr>
          <w:p w14:paraId="6FCD439A" w14:textId="77777777" w:rsidR="00920B68" w:rsidRPr="00364545" w:rsidRDefault="00920B68" w:rsidP="00920B68">
            <w:pPr>
              <w:spacing w:line="259" w:lineRule="auto"/>
              <w:ind w:left="107"/>
              <w:jc w:val="center"/>
              <w:rPr>
                <w:highlight w:val="yellow"/>
              </w:rPr>
            </w:pPr>
            <w:r>
              <w:rPr>
                <w:sz w:val="18"/>
                <w:szCs w:val="18"/>
              </w:rPr>
              <w:t>71997</w:t>
            </w:r>
          </w:p>
        </w:tc>
        <w:tc>
          <w:tcPr>
            <w:tcW w:w="775" w:type="dxa"/>
            <w:tcBorders>
              <w:top w:val="single" w:sz="2" w:space="0" w:color="000000"/>
              <w:left w:val="single" w:sz="2" w:space="0" w:color="000000"/>
              <w:bottom w:val="single" w:sz="2" w:space="0" w:color="000000"/>
              <w:right w:val="single" w:sz="2" w:space="0" w:color="000000"/>
            </w:tcBorders>
            <w:vAlign w:val="center"/>
          </w:tcPr>
          <w:p w14:paraId="30A74F81" w14:textId="77777777" w:rsidR="00920B68" w:rsidRPr="00364545" w:rsidRDefault="00920B68" w:rsidP="00920B68">
            <w:pPr>
              <w:spacing w:line="259" w:lineRule="auto"/>
              <w:ind w:left="107"/>
              <w:jc w:val="center"/>
              <w:rPr>
                <w:highlight w:val="yellow"/>
              </w:rPr>
            </w:pPr>
            <w:r>
              <w:rPr>
                <w:sz w:val="18"/>
                <w:szCs w:val="18"/>
              </w:rPr>
              <w:t>64668</w:t>
            </w:r>
          </w:p>
        </w:tc>
        <w:tc>
          <w:tcPr>
            <w:tcW w:w="776" w:type="dxa"/>
            <w:tcBorders>
              <w:top w:val="single" w:sz="2" w:space="0" w:color="000000"/>
              <w:left w:val="single" w:sz="2" w:space="0" w:color="000000"/>
              <w:bottom w:val="single" w:sz="2" w:space="0" w:color="000000"/>
              <w:right w:val="single" w:sz="2" w:space="0" w:color="000000"/>
            </w:tcBorders>
            <w:vAlign w:val="center"/>
          </w:tcPr>
          <w:p w14:paraId="1DA1C947" w14:textId="77777777" w:rsidR="00920B68" w:rsidRPr="00364545" w:rsidRDefault="00920B68" w:rsidP="00920B68">
            <w:pPr>
              <w:spacing w:line="259" w:lineRule="auto"/>
              <w:ind w:left="106"/>
              <w:jc w:val="center"/>
              <w:rPr>
                <w:highlight w:val="yellow"/>
              </w:rPr>
            </w:pPr>
            <w:r>
              <w:rPr>
                <w:sz w:val="18"/>
                <w:szCs w:val="18"/>
              </w:rPr>
              <w:t>63620</w:t>
            </w:r>
          </w:p>
        </w:tc>
        <w:tc>
          <w:tcPr>
            <w:tcW w:w="775" w:type="dxa"/>
            <w:tcBorders>
              <w:top w:val="single" w:sz="2" w:space="0" w:color="000000"/>
              <w:left w:val="single" w:sz="2" w:space="0" w:color="000000"/>
              <w:bottom w:val="single" w:sz="2" w:space="0" w:color="000000"/>
              <w:right w:val="single" w:sz="2" w:space="0" w:color="000000"/>
            </w:tcBorders>
            <w:vAlign w:val="center"/>
          </w:tcPr>
          <w:p w14:paraId="62B37239" w14:textId="77777777" w:rsidR="00920B68" w:rsidRPr="00364545" w:rsidRDefault="00920B68" w:rsidP="00920B68">
            <w:pPr>
              <w:spacing w:line="259" w:lineRule="auto"/>
              <w:ind w:left="107"/>
              <w:jc w:val="center"/>
            </w:pPr>
            <w:r>
              <w:rPr>
                <w:sz w:val="18"/>
                <w:szCs w:val="18"/>
              </w:rPr>
              <w:t>53798</w:t>
            </w:r>
          </w:p>
        </w:tc>
        <w:tc>
          <w:tcPr>
            <w:tcW w:w="776" w:type="dxa"/>
            <w:tcBorders>
              <w:top w:val="single" w:sz="2" w:space="0" w:color="000000"/>
              <w:left w:val="single" w:sz="2" w:space="0" w:color="000000"/>
              <w:bottom w:val="single" w:sz="2" w:space="0" w:color="000000"/>
              <w:right w:val="single" w:sz="2" w:space="0" w:color="000000"/>
            </w:tcBorders>
            <w:vAlign w:val="center"/>
          </w:tcPr>
          <w:p w14:paraId="1931CED9" w14:textId="77777777" w:rsidR="00920B68" w:rsidRPr="00364545" w:rsidRDefault="00920B68" w:rsidP="00920B68">
            <w:pPr>
              <w:spacing w:line="259" w:lineRule="auto"/>
              <w:ind w:left="105"/>
              <w:jc w:val="center"/>
            </w:pPr>
            <w:r>
              <w:rPr>
                <w:sz w:val="18"/>
                <w:szCs w:val="18"/>
              </w:rPr>
              <w:t>50664</w:t>
            </w:r>
          </w:p>
        </w:tc>
        <w:tc>
          <w:tcPr>
            <w:tcW w:w="775" w:type="dxa"/>
            <w:tcBorders>
              <w:top w:val="single" w:sz="2" w:space="0" w:color="000000"/>
              <w:left w:val="single" w:sz="2" w:space="0" w:color="000000"/>
              <w:bottom w:val="single" w:sz="2" w:space="0" w:color="000000"/>
              <w:right w:val="single" w:sz="2" w:space="0" w:color="000000"/>
            </w:tcBorders>
            <w:vAlign w:val="center"/>
          </w:tcPr>
          <w:p w14:paraId="26D92204" w14:textId="77777777" w:rsidR="00920B68" w:rsidRPr="00364545" w:rsidRDefault="00920B68" w:rsidP="00920B68">
            <w:pPr>
              <w:spacing w:line="259" w:lineRule="auto"/>
              <w:ind w:left="56"/>
              <w:jc w:val="center"/>
              <w:rPr>
                <w:rFonts w:ascii="Calibri" w:hAnsi="Calibri"/>
                <w:color w:val="000000"/>
                <w:sz w:val="20"/>
              </w:rPr>
            </w:pPr>
            <w:r>
              <w:rPr>
                <w:sz w:val="18"/>
                <w:szCs w:val="18"/>
              </w:rPr>
              <w:t>46564</w:t>
            </w:r>
          </w:p>
        </w:tc>
        <w:tc>
          <w:tcPr>
            <w:tcW w:w="775" w:type="dxa"/>
            <w:tcBorders>
              <w:top w:val="single" w:sz="2" w:space="0" w:color="000000"/>
              <w:left w:val="single" w:sz="2" w:space="0" w:color="000000"/>
              <w:bottom w:val="single" w:sz="2" w:space="0" w:color="000000"/>
              <w:right w:val="single" w:sz="2" w:space="0" w:color="000000"/>
            </w:tcBorders>
            <w:vAlign w:val="center"/>
          </w:tcPr>
          <w:p w14:paraId="72FABC5B"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41371</w:t>
            </w:r>
          </w:p>
        </w:tc>
        <w:tc>
          <w:tcPr>
            <w:tcW w:w="775" w:type="dxa"/>
            <w:tcBorders>
              <w:top w:val="single" w:sz="2" w:space="0" w:color="000000"/>
              <w:left w:val="single" w:sz="2" w:space="0" w:color="000000"/>
              <w:bottom w:val="single" w:sz="2" w:space="0" w:color="000000"/>
              <w:right w:val="single" w:sz="2" w:space="0" w:color="000000"/>
            </w:tcBorders>
            <w:vAlign w:val="center"/>
          </w:tcPr>
          <w:p w14:paraId="1818E526"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32979</w:t>
            </w:r>
          </w:p>
        </w:tc>
        <w:tc>
          <w:tcPr>
            <w:tcW w:w="776" w:type="dxa"/>
            <w:tcBorders>
              <w:top w:val="single" w:sz="2" w:space="0" w:color="000000"/>
              <w:left w:val="single" w:sz="2" w:space="0" w:color="000000"/>
              <w:bottom w:val="single" w:sz="2" w:space="0" w:color="000000"/>
              <w:right w:val="single" w:sz="2" w:space="0" w:color="000000"/>
            </w:tcBorders>
            <w:vAlign w:val="center"/>
          </w:tcPr>
          <w:p w14:paraId="0E1BA079"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27368</w:t>
            </w:r>
          </w:p>
        </w:tc>
        <w:tc>
          <w:tcPr>
            <w:tcW w:w="775" w:type="dxa"/>
            <w:tcBorders>
              <w:top w:val="single" w:sz="2" w:space="0" w:color="000000"/>
              <w:left w:val="single" w:sz="2" w:space="0" w:color="000000"/>
              <w:bottom w:val="single" w:sz="2" w:space="0" w:color="000000"/>
              <w:right w:val="single" w:sz="2" w:space="0" w:color="000000"/>
            </w:tcBorders>
            <w:vAlign w:val="center"/>
          </w:tcPr>
          <w:p w14:paraId="54E8083D"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24409</w:t>
            </w:r>
          </w:p>
        </w:tc>
        <w:tc>
          <w:tcPr>
            <w:tcW w:w="776" w:type="dxa"/>
            <w:tcBorders>
              <w:top w:val="single" w:sz="2" w:space="0" w:color="000000"/>
              <w:left w:val="single" w:sz="2" w:space="0" w:color="000000"/>
              <w:bottom w:val="single" w:sz="2" w:space="0" w:color="000000"/>
              <w:right w:val="single" w:sz="2" w:space="0" w:color="000000"/>
            </w:tcBorders>
            <w:vAlign w:val="center"/>
          </w:tcPr>
          <w:p w14:paraId="6490F489"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15534</w:t>
            </w:r>
          </w:p>
        </w:tc>
      </w:tr>
      <w:tr w:rsidR="00920B68" w:rsidRPr="00364545" w14:paraId="05AF81D1" w14:textId="77777777" w:rsidTr="00920B68">
        <w:trPr>
          <w:trHeight w:val="344"/>
        </w:trPr>
        <w:tc>
          <w:tcPr>
            <w:tcW w:w="1404" w:type="dxa"/>
            <w:tcBorders>
              <w:top w:val="single" w:sz="2" w:space="0" w:color="000000"/>
              <w:left w:val="single" w:sz="2" w:space="0" w:color="000000"/>
              <w:bottom w:val="single" w:sz="2" w:space="0" w:color="000000"/>
              <w:right w:val="single" w:sz="2" w:space="0" w:color="000000"/>
            </w:tcBorders>
            <w:shd w:val="clear" w:color="auto" w:fill="ECE6E2"/>
          </w:tcPr>
          <w:p w14:paraId="70C361A9" w14:textId="77777777" w:rsidR="00920B68" w:rsidRPr="00364545" w:rsidRDefault="00920B68" w:rsidP="00920B68">
            <w:pPr>
              <w:spacing w:line="259" w:lineRule="auto"/>
            </w:pPr>
            <w:r w:rsidRPr="00364545">
              <w:rPr>
                <w:sz w:val="18"/>
              </w:rPr>
              <w:t xml:space="preserve">Agriculture (excluding energy)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28680F1" w14:textId="77777777" w:rsidR="00920B68" w:rsidRPr="00364545" w:rsidRDefault="00920B68" w:rsidP="00920B68">
            <w:pPr>
              <w:spacing w:line="259" w:lineRule="auto"/>
              <w:ind w:left="106"/>
              <w:jc w:val="center"/>
            </w:pPr>
            <w:r>
              <w:rPr>
                <w:sz w:val="18"/>
                <w:szCs w:val="18"/>
              </w:rPr>
              <w:t>80803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D0D4A6F" w14:textId="77777777" w:rsidR="00920B68" w:rsidRPr="00364545" w:rsidRDefault="00920B68" w:rsidP="00920B68">
            <w:pPr>
              <w:spacing w:line="259" w:lineRule="auto"/>
              <w:ind w:left="107"/>
              <w:jc w:val="center"/>
              <w:rPr>
                <w:highlight w:val="yellow"/>
              </w:rPr>
            </w:pPr>
            <w:r>
              <w:rPr>
                <w:sz w:val="18"/>
                <w:szCs w:val="18"/>
              </w:rPr>
              <w:t>78281</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1ED5699" w14:textId="77777777" w:rsidR="00920B68" w:rsidRPr="00364545" w:rsidRDefault="00920B68" w:rsidP="00920B68">
            <w:pPr>
              <w:spacing w:line="259" w:lineRule="auto"/>
              <w:ind w:left="107"/>
              <w:jc w:val="center"/>
              <w:rPr>
                <w:highlight w:val="yellow"/>
              </w:rPr>
            </w:pPr>
            <w:r>
              <w:rPr>
                <w:sz w:val="18"/>
                <w:szCs w:val="18"/>
              </w:rPr>
              <w:t>81292</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91FEFFE" w14:textId="77777777" w:rsidR="00920B68" w:rsidRPr="00364545" w:rsidRDefault="00920B68" w:rsidP="00920B68">
            <w:pPr>
              <w:spacing w:line="259" w:lineRule="auto"/>
              <w:ind w:left="106"/>
              <w:jc w:val="center"/>
              <w:rPr>
                <w:highlight w:val="yellow"/>
              </w:rPr>
            </w:pPr>
            <w:r>
              <w:rPr>
                <w:sz w:val="18"/>
                <w:szCs w:val="18"/>
              </w:rPr>
              <w:t>76018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946B6E5" w14:textId="77777777" w:rsidR="00920B68" w:rsidRPr="00364545" w:rsidRDefault="00920B68" w:rsidP="00920B68">
            <w:pPr>
              <w:spacing w:line="259" w:lineRule="auto"/>
              <w:ind w:left="107"/>
              <w:jc w:val="center"/>
            </w:pPr>
            <w:r>
              <w:rPr>
                <w:sz w:val="18"/>
                <w:szCs w:val="18"/>
              </w:rPr>
              <w:t>75203</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8E33DF0" w14:textId="77777777" w:rsidR="00920B68" w:rsidRPr="00364545" w:rsidRDefault="00920B68" w:rsidP="00920B68">
            <w:pPr>
              <w:spacing w:line="259" w:lineRule="auto"/>
              <w:ind w:left="106"/>
              <w:jc w:val="center"/>
            </w:pPr>
            <w:r>
              <w:rPr>
                <w:sz w:val="18"/>
                <w:szCs w:val="18"/>
              </w:rPr>
              <w:t>75720</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0CC1CB7" w14:textId="77777777" w:rsidR="00920B68" w:rsidRPr="00364545" w:rsidRDefault="00920B68" w:rsidP="00920B68">
            <w:pPr>
              <w:spacing w:line="259" w:lineRule="auto"/>
              <w:ind w:left="56"/>
              <w:jc w:val="center"/>
              <w:rPr>
                <w:rFonts w:ascii="Calibri" w:hAnsi="Calibri"/>
                <w:color w:val="000000"/>
                <w:sz w:val="20"/>
              </w:rPr>
            </w:pPr>
            <w:r>
              <w:rPr>
                <w:sz w:val="18"/>
                <w:szCs w:val="18"/>
              </w:rPr>
              <w:t>72498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1769456"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73646</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258AD3"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69007</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44B837D"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65227</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0002D27"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62117</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D0E35F"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47831</w:t>
            </w:r>
          </w:p>
        </w:tc>
      </w:tr>
      <w:tr w:rsidR="00920B68" w:rsidRPr="00364545" w14:paraId="19FA2672" w14:textId="77777777" w:rsidTr="00920B68">
        <w:trPr>
          <w:trHeight w:val="347"/>
        </w:trPr>
        <w:tc>
          <w:tcPr>
            <w:tcW w:w="1404" w:type="dxa"/>
            <w:tcBorders>
              <w:top w:val="single" w:sz="2" w:space="0" w:color="000000"/>
              <w:left w:val="single" w:sz="2" w:space="0" w:color="000000"/>
              <w:bottom w:val="single" w:sz="2" w:space="0" w:color="000000"/>
              <w:right w:val="single" w:sz="2" w:space="0" w:color="000000"/>
            </w:tcBorders>
          </w:tcPr>
          <w:p w14:paraId="3913DB49" w14:textId="77777777" w:rsidR="00920B68" w:rsidRPr="00364545" w:rsidRDefault="00920B68" w:rsidP="00920B68">
            <w:pPr>
              <w:spacing w:line="259" w:lineRule="auto"/>
            </w:pPr>
            <w:r w:rsidRPr="00364545">
              <w:rPr>
                <w:sz w:val="18"/>
              </w:rPr>
              <w:t xml:space="preserve">LULUCF </w:t>
            </w:r>
          </w:p>
        </w:tc>
        <w:tc>
          <w:tcPr>
            <w:tcW w:w="775" w:type="dxa"/>
            <w:tcBorders>
              <w:top w:val="single" w:sz="2" w:space="0" w:color="000000"/>
              <w:left w:val="single" w:sz="2" w:space="0" w:color="000000"/>
              <w:bottom w:val="single" w:sz="2" w:space="0" w:color="000000"/>
              <w:right w:val="single" w:sz="2" w:space="0" w:color="000000"/>
            </w:tcBorders>
            <w:vAlign w:val="center"/>
          </w:tcPr>
          <w:p w14:paraId="49D04760" w14:textId="77777777" w:rsidR="00920B68" w:rsidRPr="00364545" w:rsidRDefault="00920B68" w:rsidP="00920B68">
            <w:pPr>
              <w:spacing w:line="259" w:lineRule="auto"/>
              <w:ind w:left="50"/>
              <w:jc w:val="center"/>
            </w:pPr>
            <w:r w:rsidRPr="00634E4C">
              <w:rPr>
                <w:sz w:val="18"/>
              </w:rPr>
              <w:t>-</w:t>
            </w:r>
            <w:r>
              <w:rPr>
                <w:sz w:val="18"/>
                <w:szCs w:val="18"/>
              </w:rPr>
              <w:t>23986</w:t>
            </w:r>
          </w:p>
        </w:tc>
        <w:tc>
          <w:tcPr>
            <w:tcW w:w="775" w:type="dxa"/>
            <w:tcBorders>
              <w:top w:val="single" w:sz="2" w:space="0" w:color="000000"/>
              <w:left w:val="single" w:sz="2" w:space="0" w:color="000000"/>
              <w:bottom w:val="single" w:sz="2" w:space="0" w:color="000000"/>
              <w:right w:val="single" w:sz="2" w:space="0" w:color="000000"/>
            </w:tcBorders>
            <w:vAlign w:val="center"/>
          </w:tcPr>
          <w:p w14:paraId="564F0F22" w14:textId="77777777" w:rsidR="00920B68" w:rsidRPr="00364545" w:rsidRDefault="00920B68" w:rsidP="00920B68">
            <w:pPr>
              <w:spacing w:line="259" w:lineRule="auto"/>
              <w:ind w:left="52"/>
              <w:jc w:val="center"/>
              <w:rPr>
                <w:highlight w:val="yellow"/>
              </w:rPr>
            </w:pPr>
            <w:r w:rsidRPr="00634E4C">
              <w:rPr>
                <w:sz w:val="18"/>
              </w:rPr>
              <w:t>-</w:t>
            </w:r>
            <w:r>
              <w:rPr>
                <w:sz w:val="18"/>
                <w:szCs w:val="18"/>
              </w:rPr>
              <w:t>24879</w:t>
            </w:r>
          </w:p>
        </w:tc>
        <w:tc>
          <w:tcPr>
            <w:tcW w:w="775" w:type="dxa"/>
            <w:tcBorders>
              <w:top w:val="single" w:sz="2" w:space="0" w:color="000000"/>
              <w:left w:val="single" w:sz="2" w:space="0" w:color="000000"/>
              <w:bottom w:val="single" w:sz="2" w:space="0" w:color="000000"/>
              <w:right w:val="single" w:sz="2" w:space="0" w:color="000000"/>
            </w:tcBorders>
            <w:vAlign w:val="center"/>
          </w:tcPr>
          <w:p w14:paraId="32045C5A" w14:textId="77777777" w:rsidR="00920B68" w:rsidRPr="00364545" w:rsidRDefault="00920B68" w:rsidP="00920B68">
            <w:pPr>
              <w:spacing w:line="259" w:lineRule="auto"/>
              <w:ind w:left="52"/>
              <w:jc w:val="center"/>
              <w:rPr>
                <w:highlight w:val="yellow"/>
              </w:rPr>
            </w:pPr>
            <w:r w:rsidRPr="00634E4C">
              <w:rPr>
                <w:sz w:val="18"/>
              </w:rPr>
              <w:t>-</w:t>
            </w:r>
            <w:r>
              <w:rPr>
                <w:sz w:val="18"/>
                <w:szCs w:val="18"/>
              </w:rPr>
              <w:t>19709</w:t>
            </w:r>
          </w:p>
        </w:tc>
        <w:tc>
          <w:tcPr>
            <w:tcW w:w="776" w:type="dxa"/>
            <w:tcBorders>
              <w:top w:val="single" w:sz="2" w:space="0" w:color="000000"/>
              <w:left w:val="single" w:sz="2" w:space="0" w:color="000000"/>
              <w:bottom w:val="single" w:sz="2" w:space="0" w:color="000000"/>
              <w:right w:val="single" w:sz="2" w:space="0" w:color="000000"/>
            </w:tcBorders>
            <w:vAlign w:val="center"/>
          </w:tcPr>
          <w:p w14:paraId="6C57A9BB" w14:textId="77777777" w:rsidR="00920B68" w:rsidRPr="00364545" w:rsidRDefault="00920B68" w:rsidP="00920B68">
            <w:pPr>
              <w:spacing w:line="259" w:lineRule="auto"/>
              <w:ind w:left="50"/>
              <w:jc w:val="center"/>
              <w:rPr>
                <w:highlight w:val="yellow"/>
              </w:rPr>
            </w:pPr>
            <w:r w:rsidRPr="00634E4C">
              <w:rPr>
                <w:sz w:val="18"/>
              </w:rPr>
              <w:t>-</w:t>
            </w:r>
            <w:r>
              <w:rPr>
                <w:sz w:val="18"/>
                <w:szCs w:val="18"/>
              </w:rPr>
              <w:t>47311</w:t>
            </w:r>
          </w:p>
        </w:tc>
        <w:tc>
          <w:tcPr>
            <w:tcW w:w="775" w:type="dxa"/>
            <w:tcBorders>
              <w:top w:val="single" w:sz="2" w:space="0" w:color="000000"/>
              <w:left w:val="single" w:sz="2" w:space="0" w:color="000000"/>
              <w:bottom w:val="single" w:sz="2" w:space="0" w:color="000000"/>
              <w:right w:val="single" w:sz="2" w:space="0" w:color="000000"/>
            </w:tcBorders>
            <w:vAlign w:val="center"/>
          </w:tcPr>
          <w:p w14:paraId="7A175E3F" w14:textId="77777777" w:rsidR="00920B68" w:rsidRPr="00364545" w:rsidRDefault="00920B68" w:rsidP="00920B68">
            <w:pPr>
              <w:spacing w:line="259" w:lineRule="auto"/>
              <w:ind w:left="52"/>
              <w:jc w:val="center"/>
            </w:pPr>
            <w:r w:rsidRPr="00634E4C">
              <w:rPr>
                <w:sz w:val="18"/>
              </w:rPr>
              <w:t>-</w:t>
            </w:r>
            <w:r>
              <w:rPr>
                <w:sz w:val="18"/>
                <w:szCs w:val="18"/>
              </w:rPr>
              <w:t>38355</w:t>
            </w:r>
          </w:p>
        </w:tc>
        <w:tc>
          <w:tcPr>
            <w:tcW w:w="776" w:type="dxa"/>
            <w:tcBorders>
              <w:top w:val="single" w:sz="2" w:space="0" w:color="000000"/>
              <w:left w:val="single" w:sz="2" w:space="0" w:color="000000"/>
              <w:bottom w:val="single" w:sz="2" w:space="0" w:color="000000"/>
              <w:right w:val="single" w:sz="2" w:space="0" w:color="000000"/>
            </w:tcBorders>
            <w:vAlign w:val="center"/>
          </w:tcPr>
          <w:p w14:paraId="6D8785B4" w14:textId="77777777" w:rsidR="00920B68" w:rsidRPr="00364545" w:rsidRDefault="00920B68" w:rsidP="00920B68">
            <w:pPr>
              <w:spacing w:line="259" w:lineRule="auto"/>
              <w:ind w:left="50"/>
              <w:jc w:val="center"/>
            </w:pPr>
            <w:r w:rsidRPr="00634E4C">
              <w:rPr>
                <w:sz w:val="18"/>
              </w:rPr>
              <w:t>-</w:t>
            </w:r>
            <w:r>
              <w:rPr>
                <w:sz w:val="18"/>
                <w:szCs w:val="18"/>
              </w:rPr>
              <w:t>34577</w:t>
            </w:r>
          </w:p>
        </w:tc>
        <w:tc>
          <w:tcPr>
            <w:tcW w:w="775" w:type="dxa"/>
            <w:tcBorders>
              <w:top w:val="single" w:sz="2" w:space="0" w:color="000000"/>
              <w:left w:val="single" w:sz="2" w:space="0" w:color="000000"/>
              <w:bottom w:val="single" w:sz="2" w:space="0" w:color="000000"/>
              <w:right w:val="single" w:sz="2" w:space="0" w:color="000000"/>
            </w:tcBorders>
            <w:vAlign w:val="center"/>
          </w:tcPr>
          <w:p w14:paraId="03213D1C" w14:textId="77777777" w:rsidR="00920B68" w:rsidRPr="00364545" w:rsidRDefault="00920B68" w:rsidP="00920B68">
            <w:pPr>
              <w:spacing w:line="259" w:lineRule="auto"/>
              <w:ind w:left="56"/>
              <w:jc w:val="center"/>
              <w:rPr>
                <w:rFonts w:ascii="Calibri" w:hAnsi="Calibri"/>
                <w:color w:val="000000"/>
                <w:sz w:val="20"/>
              </w:rPr>
            </w:pPr>
            <w:r>
              <w:rPr>
                <w:sz w:val="18"/>
                <w:szCs w:val="18"/>
              </w:rPr>
              <w:t>-12288</w:t>
            </w:r>
          </w:p>
        </w:tc>
        <w:tc>
          <w:tcPr>
            <w:tcW w:w="775" w:type="dxa"/>
            <w:tcBorders>
              <w:top w:val="single" w:sz="2" w:space="0" w:color="000000"/>
              <w:left w:val="single" w:sz="2" w:space="0" w:color="000000"/>
              <w:bottom w:val="single" w:sz="2" w:space="0" w:color="000000"/>
              <w:right w:val="single" w:sz="2" w:space="0" w:color="000000"/>
            </w:tcBorders>
            <w:vAlign w:val="center"/>
          </w:tcPr>
          <w:p w14:paraId="2D32123F"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-38995</w:t>
            </w:r>
          </w:p>
        </w:tc>
        <w:tc>
          <w:tcPr>
            <w:tcW w:w="775" w:type="dxa"/>
            <w:tcBorders>
              <w:top w:val="single" w:sz="2" w:space="0" w:color="000000"/>
              <w:left w:val="single" w:sz="2" w:space="0" w:color="000000"/>
              <w:bottom w:val="single" w:sz="2" w:space="0" w:color="000000"/>
              <w:right w:val="single" w:sz="2" w:space="0" w:color="000000"/>
            </w:tcBorders>
            <w:vAlign w:val="center"/>
          </w:tcPr>
          <w:p w14:paraId="74F2C1C5"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-37671</w:t>
            </w:r>
          </w:p>
        </w:tc>
        <w:tc>
          <w:tcPr>
            <w:tcW w:w="776" w:type="dxa"/>
            <w:tcBorders>
              <w:top w:val="single" w:sz="2" w:space="0" w:color="000000"/>
              <w:left w:val="single" w:sz="2" w:space="0" w:color="000000"/>
              <w:bottom w:val="single" w:sz="2" w:space="0" w:color="000000"/>
              <w:right w:val="single" w:sz="2" w:space="0" w:color="000000"/>
            </w:tcBorders>
            <w:vAlign w:val="center"/>
          </w:tcPr>
          <w:p w14:paraId="20008CF8"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-40160</w:t>
            </w:r>
          </w:p>
        </w:tc>
        <w:tc>
          <w:tcPr>
            <w:tcW w:w="775" w:type="dxa"/>
            <w:tcBorders>
              <w:top w:val="single" w:sz="2" w:space="0" w:color="000000"/>
              <w:left w:val="single" w:sz="2" w:space="0" w:color="000000"/>
              <w:bottom w:val="single" w:sz="2" w:space="0" w:color="000000"/>
              <w:right w:val="single" w:sz="2" w:space="0" w:color="000000"/>
            </w:tcBorders>
            <w:vAlign w:val="center"/>
          </w:tcPr>
          <w:p w14:paraId="502CB6DF"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-45205</w:t>
            </w:r>
          </w:p>
        </w:tc>
        <w:tc>
          <w:tcPr>
            <w:tcW w:w="776" w:type="dxa"/>
            <w:tcBorders>
              <w:top w:val="single" w:sz="2" w:space="0" w:color="000000"/>
              <w:left w:val="single" w:sz="2" w:space="0" w:color="000000"/>
              <w:bottom w:val="single" w:sz="2" w:space="0" w:color="000000"/>
              <w:right w:val="single" w:sz="2" w:space="0" w:color="000000"/>
            </w:tcBorders>
            <w:vAlign w:val="center"/>
          </w:tcPr>
          <w:p w14:paraId="5E706C5D"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-67148</w:t>
            </w:r>
          </w:p>
        </w:tc>
      </w:tr>
      <w:tr w:rsidR="00920B68" w:rsidRPr="00364545" w14:paraId="4CDB5573" w14:textId="77777777" w:rsidTr="00920B68">
        <w:trPr>
          <w:trHeight w:val="344"/>
        </w:trPr>
        <w:tc>
          <w:tcPr>
            <w:tcW w:w="1404" w:type="dxa"/>
            <w:tcBorders>
              <w:top w:val="single" w:sz="2" w:space="0" w:color="000000"/>
              <w:left w:val="single" w:sz="2" w:space="0" w:color="000000"/>
              <w:bottom w:val="single" w:sz="2" w:space="0" w:color="000000"/>
              <w:right w:val="single" w:sz="2" w:space="0" w:color="000000"/>
            </w:tcBorders>
            <w:shd w:val="clear" w:color="auto" w:fill="ECE6E2"/>
          </w:tcPr>
          <w:p w14:paraId="2CA1A427" w14:textId="77777777" w:rsidR="00920B68" w:rsidRPr="00364545" w:rsidRDefault="00920B68" w:rsidP="00920B68">
            <w:pPr>
              <w:spacing w:line="259" w:lineRule="auto"/>
            </w:pPr>
            <w:r w:rsidRPr="00364545">
              <w:rPr>
                <w:sz w:val="18"/>
              </w:rPr>
              <w:t xml:space="preserve">Waste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023439C" w14:textId="77777777" w:rsidR="00920B68" w:rsidRPr="00364545" w:rsidRDefault="00920B68" w:rsidP="00920B68">
            <w:pPr>
              <w:spacing w:line="259" w:lineRule="auto"/>
              <w:ind w:left="106"/>
              <w:jc w:val="center"/>
            </w:pPr>
            <w:r>
              <w:rPr>
                <w:sz w:val="18"/>
                <w:szCs w:val="18"/>
              </w:rPr>
              <w:t>17283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3E59089" w14:textId="77777777" w:rsidR="00920B68" w:rsidRPr="00364545" w:rsidRDefault="00920B68" w:rsidP="00920B68">
            <w:pPr>
              <w:spacing w:line="259" w:lineRule="auto"/>
              <w:ind w:left="107"/>
              <w:jc w:val="center"/>
              <w:rPr>
                <w:highlight w:val="yellow"/>
              </w:rPr>
            </w:pPr>
            <w:r>
              <w:rPr>
                <w:sz w:val="18"/>
                <w:szCs w:val="18"/>
              </w:rPr>
              <w:t>20118</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8E6C1F1" w14:textId="77777777" w:rsidR="00920B68" w:rsidRPr="00364545" w:rsidRDefault="00920B68" w:rsidP="00920B68">
            <w:pPr>
              <w:spacing w:line="259" w:lineRule="auto"/>
              <w:ind w:left="107"/>
              <w:jc w:val="center"/>
              <w:rPr>
                <w:highlight w:val="yellow"/>
              </w:rPr>
            </w:pPr>
            <w:r>
              <w:rPr>
                <w:sz w:val="18"/>
                <w:szCs w:val="18"/>
              </w:rPr>
              <w:t>21056</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7AB2339" w14:textId="77777777" w:rsidR="00920B68" w:rsidRPr="00364545" w:rsidRDefault="00920B68" w:rsidP="00920B68">
            <w:pPr>
              <w:spacing w:line="259" w:lineRule="auto"/>
              <w:ind w:left="106"/>
              <w:jc w:val="center"/>
              <w:rPr>
                <w:highlight w:val="yellow"/>
              </w:rPr>
            </w:pPr>
            <w:r>
              <w:rPr>
                <w:sz w:val="18"/>
                <w:szCs w:val="18"/>
              </w:rPr>
              <w:t>21362</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B733864" w14:textId="77777777" w:rsidR="00920B68" w:rsidRPr="00364545" w:rsidRDefault="00920B68" w:rsidP="00920B68">
            <w:pPr>
              <w:spacing w:line="259" w:lineRule="auto"/>
              <w:ind w:left="107"/>
              <w:jc w:val="center"/>
            </w:pPr>
            <w:r>
              <w:rPr>
                <w:sz w:val="18"/>
                <w:szCs w:val="18"/>
              </w:rPr>
              <w:t>20756</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E4749BD" w14:textId="77777777" w:rsidR="00920B68" w:rsidRPr="00364545" w:rsidRDefault="00920B68" w:rsidP="00920B68">
            <w:pPr>
              <w:spacing w:line="259" w:lineRule="auto"/>
              <w:ind w:left="106"/>
              <w:jc w:val="center"/>
            </w:pPr>
            <w:r>
              <w:rPr>
                <w:sz w:val="18"/>
                <w:szCs w:val="18"/>
              </w:rPr>
              <w:t>17905</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FE4C9B4" w14:textId="77777777" w:rsidR="00920B68" w:rsidRPr="00364545" w:rsidRDefault="00920B68" w:rsidP="00920B68">
            <w:pPr>
              <w:spacing w:line="259" w:lineRule="auto"/>
              <w:ind w:left="56"/>
              <w:jc w:val="center"/>
              <w:rPr>
                <w:rFonts w:ascii="Calibri" w:hAnsi="Calibri"/>
                <w:color w:val="000000"/>
                <w:sz w:val="20"/>
              </w:rPr>
            </w:pPr>
            <w:r>
              <w:rPr>
                <w:sz w:val="18"/>
                <w:szCs w:val="18"/>
              </w:rPr>
              <w:t>18165</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71AC38D"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14345</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8CCC4CC"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12325</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2A6B861"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10983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0FC14CB"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9786</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1B66207" w14:textId="77777777" w:rsidR="00920B68" w:rsidRPr="00634E4C" w:rsidRDefault="00920B68" w:rsidP="00920B68">
            <w:pPr>
              <w:spacing w:line="259" w:lineRule="auto"/>
              <w:ind w:left="56"/>
              <w:jc w:val="center"/>
              <w:rPr>
                <w:rFonts w:asciiTheme="majorHAnsi" w:hAnsiTheme="majorHAnsi"/>
                <w:sz w:val="18"/>
              </w:rPr>
            </w:pPr>
            <w:r w:rsidRPr="00634E4C">
              <w:rPr>
                <w:rFonts w:asciiTheme="majorHAnsi" w:hAnsiTheme="majorHAnsi"/>
                <w:color w:val="000000"/>
                <w:sz w:val="18"/>
              </w:rPr>
              <w:t>6193</w:t>
            </w:r>
          </w:p>
        </w:tc>
      </w:tr>
      <w:tr w:rsidR="00920B68" w:rsidRPr="00364545" w14:paraId="52621BB9" w14:textId="77777777" w:rsidTr="00920B68">
        <w:trPr>
          <w:trHeight w:val="344"/>
        </w:trPr>
        <w:tc>
          <w:tcPr>
            <w:tcW w:w="1404" w:type="dxa"/>
            <w:tcBorders>
              <w:top w:val="single" w:sz="2" w:space="0" w:color="000000"/>
              <w:left w:val="single" w:sz="2" w:space="0" w:color="000000"/>
              <w:bottom w:val="single" w:sz="2" w:space="0" w:color="000000"/>
              <w:right w:val="single" w:sz="2" w:space="0" w:color="000000"/>
            </w:tcBorders>
          </w:tcPr>
          <w:p w14:paraId="1569EB62" w14:textId="77777777" w:rsidR="00920B68" w:rsidRPr="00364545" w:rsidRDefault="00920B68" w:rsidP="00920B68">
            <w:pPr>
              <w:spacing w:line="259" w:lineRule="auto"/>
            </w:pPr>
            <w:r w:rsidRPr="00364545">
              <w:rPr>
                <w:b/>
                <w:sz w:val="18"/>
              </w:rPr>
              <w:t xml:space="preserve">Ensemble (hors UTCF) </w:t>
            </w:r>
          </w:p>
        </w:tc>
        <w:tc>
          <w:tcPr>
            <w:tcW w:w="775" w:type="dxa"/>
            <w:tcBorders>
              <w:top w:val="single" w:sz="2" w:space="0" w:color="000000"/>
              <w:left w:val="single" w:sz="2" w:space="0" w:color="000000"/>
              <w:bottom w:val="single" w:sz="2" w:space="0" w:color="000000"/>
              <w:right w:val="single" w:sz="2" w:space="0" w:color="000000"/>
            </w:tcBorders>
            <w:vAlign w:val="center"/>
          </w:tcPr>
          <w:p w14:paraId="1B77C77A" w14:textId="77777777" w:rsidR="00920B68" w:rsidRPr="00364545" w:rsidRDefault="00920B68" w:rsidP="00920B68">
            <w:pPr>
              <w:spacing w:line="259" w:lineRule="auto"/>
              <w:ind w:left="55"/>
              <w:jc w:val="center"/>
              <w:rPr>
                <w:b/>
              </w:rPr>
            </w:pPr>
            <w:r w:rsidRPr="0002410C">
              <w:rPr>
                <w:rFonts w:asciiTheme="majorHAnsi" w:hAnsiTheme="majorHAnsi"/>
                <w:b/>
                <w:sz w:val="18"/>
                <w:szCs w:val="18"/>
              </w:rPr>
              <w:t>544086</w:t>
            </w:r>
          </w:p>
        </w:tc>
        <w:tc>
          <w:tcPr>
            <w:tcW w:w="775" w:type="dxa"/>
            <w:tcBorders>
              <w:top w:val="single" w:sz="2" w:space="0" w:color="000000"/>
              <w:left w:val="single" w:sz="2" w:space="0" w:color="000000"/>
              <w:bottom w:val="single" w:sz="2" w:space="0" w:color="000000"/>
              <w:right w:val="single" w:sz="2" w:space="0" w:color="000000"/>
            </w:tcBorders>
            <w:vAlign w:val="center"/>
          </w:tcPr>
          <w:p w14:paraId="5D2C41A0" w14:textId="77777777" w:rsidR="00920B68" w:rsidRPr="00364545" w:rsidRDefault="00920B68" w:rsidP="00920B68">
            <w:pPr>
              <w:spacing w:line="259" w:lineRule="auto"/>
              <w:ind w:left="56"/>
              <w:jc w:val="center"/>
              <w:rPr>
                <w:b/>
                <w:highlight w:val="yellow"/>
              </w:rPr>
            </w:pPr>
            <w:r w:rsidRPr="0002410C">
              <w:rPr>
                <w:rFonts w:asciiTheme="majorHAnsi" w:hAnsiTheme="majorHAnsi"/>
                <w:b/>
                <w:sz w:val="18"/>
                <w:szCs w:val="18"/>
              </w:rPr>
              <w:t>536475</w:t>
            </w:r>
          </w:p>
        </w:tc>
        <w:tc>
          <w:tcPr>
            <w:tcW w:w="775" w:type="dxa"/>
            <w:tcBorders>
              <w:top w:val="single" w:sz="2" w:space="0" w:color="000000"/>
              <w:left w:val="single" w:sz="2" w:space="0" w:color="000000"/>
              <w:bottom w:val="single" w:sz="2" w:space="0" w:color="000000"/>
              <w:right w:val="single" w:sz="2" w:space="0" w:color="000000"/>
            </w:tcBorders>
            <w:vAlign w:val="center"/>
          </w:tcPr>
          <w:p w14:paraId="05DE7AB5" w14:textId="77777777" w:rsidR="00920B68" w:rsidRPr="00364545" w:rsidRDefault="00920B68" w:rsidP="00920B68">
            <w:pPr>
              <w:spacing w:line="259" w:lineRule="auto"/>
              <w:ind w:left="56"/>
              <w:jc w:val="center"/>
              <w:rPr>
                <w:b/>
                <w:highlight w:val="yellow"/>
              </w:rPr>
            </w:pPr>
            <w:r w:rsidRPr="0002410C">
              <w:rPr>
                <w:rFonts w:asciiTheme="majorHAnsi" w:hAnsiTheme="majorHAnsi" w:cs="Calibri"/>
                <w:b/>
                <w:sz w:val="18"/>
                <w:szCs w:val="18"/>
              </w:rPr>
              <w:t>549005</w:t>
            </w:r>
          </w:p>
        </w:tc>
        <w:tc>
          <w:tcPr>
            <w:tcW w:w="776" w:type="dxa"/>
            <w:tcBorders>
              <w:top w:val="single" w:sz="2" w:space="0" w:color="000000"/>
              <w:left w:val="single" w:sz="2" w:space="0" w:color="000000"/>
              <w:bottom w:val="single" w:sz="2" w:space="0" w:color="000000"/>
              <w:right w:val="single" w:sz="2" w:space="0" w:color="000000"/>
            </w:tcBorders>
            <w:vAlign w:val="center"/>
          </w:tcPr>
          <w:p w14:paraId="43163497" w14:textId="77777777" w:rsidR="00920B68" w:rsidRPr="00364545" w:rsidRDefault="00920B68" w:rsidP="00920B68">
            <w:pPr>
              <w:spacing w:line="259" w:lineRule="auto"/>
              <w:ind w:left="55"/>
              <w:jc w:val="center"/>
              <w:rPr>
                <w:b/>
                <w:highlight w:val="yellow"/>
              </w:rPr>
            </w:pPr>
            <w:r w:rsidRPr="0002410C">
              <w:rPr>
                <w:rFonts w:asciiTheme="majorHAnsi" w:hAnsiTheme="majorHAnsi" w:cs="Calibri"/>
                <w:b/>
                <w:sz w:val="18"/>
                <w:szCs w:val="18"/>
              </w:rPr>
              <w:t>551391</w:t>
            </w:r>
          </w:p>
        </w:tc>
        <w:tc>
          <w:tcPr>
            <w:tcW w:w="775" w:type="dxa"/>
            <w:tcBorders>
              <w:top w:val="single" w:sz="2" w:space="0" w:color="000000"/>
              <w:left w:val="single" w:sz="2" w:space="0" w:color="000000"/>
              <w:bottom w:val="single" w:sz="2" w:space="0" w:color="000000"/>
              <w:right w:val="single" w:sz="2" w:space="0" w:color="000000"/>
            </w:tcBorders>
            <w:vAlign w:val="center"/>
          </w:tcPr>
          <w:p w14:paraId="45EC5F98" w14:textId="77777777" w:rsidR="00920B68" w:rsidRPr="00364545" w:rsidRDefault="00920B68" w:rsidP="00920B68">
            <w:pPr>
              <w:spacing w:line="259" w:lineRule="auto"/>
              <w:ind w:left="61"/>
              <w:jc w:val="center"/>
              <w:rPr>
                <w:b/>
              </w:rPr>
            </w:pPr>
            <w:r w:rsidRPr="0002410C">
              <w:rPr>
                <w:rFonts w:asciiTheme="majorHAnsi" w:hAnsiTheme="majorHAnsi" w:cs="Calibri"/>
                <w:b/>
                <w:sz w:val="18"/>
                <w:szCs w:val="18"/>
              </w:rPr>
              <w:t>507468</w:t>
            </w:r>
          </w:p>
        </w:tc>
        <w:tc>
          <w:tcPr>
            <w:tcW w:w="776" w:type="dxa"/>
            <w:tcBorders>
              <w:top w:val="single" w:sz="2" w:space="0" w:color="000000"/>
              <w:left w:val="single" w:sz="2" w:space="0" w:color="000000"/>
              <w:bottom w:val="single" w:sz="2" w:space="0" w:color="000000"/>
              <w:right w:val="single" w:sz="2" w:space="0" w:color="000000"/>
            </w:tcBorders>
            <w:vAlign w:val="center"/>
          </w:tcPr>
          <w:p w14:paraId="181C22C9" w14:textId="77777777" w:rsidR="00920B68" w:rsidRPr="00364545" w:rsidRDefault="00920B68" w:rsidP="00920B68">
            <w:pPr>
              <w:spacing w:line="259" w:lineRule="auto"/>
              <w:ind w:left="55"/>
              <w:jc w:val="center"/>
              <w:rPr>
                <w:b/>
              </w:rPr>
            </w:pPr>
            <w:r w:rsidRPr="0002410C">
              <w:rPr>
                <w:rFonts w:asciiTheme="majorHAnsi" w:hAnsiTheme="majorHAnsi" w:cs="Calibri"/>
                <w:b/>
                <w:sz w:val="18"/>
                <w:szCs w:val="18"/>
              </w:rPr>
              <w:t>457923</w:t>
            </w:r>
          </w:p>
        </w:tc>
        <w:tc>
          <w:tcPr>
            <w:tcW w:w="775" w:type="dxa"/>
            <w:tcBorders>
              <w:top w:val="single" w:sz="2" w:space="0" w:color="000000"/>
              <w:left w:val="single" w:sz="2" w:space="0" w:color="000000"/>
              <w:bottom w:val="single" w:sz="2" w:space="0" w:color="000000"/>
              <w:right w:val="single" w:sz="2" w:space="0" w:color="000000"/>
            </w:tcBorders>
            <w:vAlign w:val="center"/>
          </w:tcPr>
          <w:p w14:paraId="0A6F4753" w14:textId="77777777" w:rsidR="00920B68" w:rsidRPr="00364545" w:rsidRDefault="00920B68" w:rsidP="00920B68">
            <w:pPr>
              <w:spacing w:line="259" w:lineRule="auto"/>
              <w:ind w:left="56"/>
              <w:jc w:val="center"/>
              <w:rPr>
                <w:rFonts w:ascii="Calibri" w:hAnsi="Calibri"/>
                <w:b/>
                <w:color w:val="000000"/>
                <w:sz w:val="20"/>
              </w:rPr>
            </w:pPr>
            <w:r w:rsidRPr="0002410C">
              <w:rPr>
                <w:rFonts w:asciiTheme="majorHAnsi" w:hAnsiTheme="majorHAnsi" w:cs="Calibri"/>
                <w:b/>
                <w:sz w:val="18"/>
                <w:szCs w:val="18"/>
              </w:rPr>
              <w:t>434539</w:t>
            </w:r>
          </w:p>
        </w:tc>
        <w:tc>
          <w:tcPr>
            <w:tcW w:w="775" w:type="dxa"/>
            <w:tcBorders>
              <w:top w:val="single" w:sz="2" w:space="0" w:color="000000"/>
              <w:left w:val="single" w:sz="2" w:space="0" w:color="000000"/>
              <w:bottom w:val="single" w:sz="2" w:space="0" w:color="000000"/>
              <w:right w:val="single" w:sz="2" w:space="0" w:color="000000"/>
            </w:tcBorders>
            <w:vAlign w:val="center"/>
          </w:tcPr>
          <w:p w14:paraId="6A0FE782"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434378</w:t>
            </w:r>
          </w:p>
        </w:tc>
        <w:tc>
          <w:tcPr>
            <w:tcW w:w="775" w:type="dxa"/>
            <w:tcBorders>
              <w:top w:val="single" w:sz="2" w:space="0" w:color="000000"/>
              <w:left w:val="single" w:sz="2" w:space="0" w:color="000000"/>
              <w:bottom w:val="single" w:sz="2" w:space="0" w:color="000000"/>
              <w:right w:val="single" w:sz="2" w:space="0" w:color="000000"/>
            </w:tcBorders>
            <w:vAlign w:val="center"/>
          </w:tcPr>
          <w:p w14:paraId="7F315471"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367661</w:t>
            </w:r>
          </w:p>
        </w:tc>
        <w:tc>
          <w:tcPr>
            <w:tcW w:w="776" w:type="dxa"/>
            <w:tcBorders>
              <w:top w:val="single" w:sz="2" w:space="0" w:color="000000"/>
              <w:left w:val="single" w:sz="2" w:space="0" w:color="000000"/>
              <w:bottom w:val="single" w:sz="2" w:space="0" w:color="000000"/>
              <w:right w:val="single" w:sz="2" w:space="0" w:color="000000"/>
            </w:tcBorders>
            <w:vAlign w:val="center"/>
          </w:tcPr>
          <w:p w14:paraId="22817AAC"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307094</w:t>
            </w:r>
          </w:p>
        </w:tc>
        <w:tc>
          <w:tcPr>
            <w:tcW w:w="775" w:type="dxa"/>
            <w:tcBorders>
              <w:top w:val="single" w:sz="2" w:space="0" w:color="000000"/>
              <w:left w:val="single" w:sz="2" w:space="0" w:color="000000"/>
              <w:bottom w:val="single" w:sz="2" w:space="0" w:color="000000"/>
              <w:right w:val="single" w:sz="2" w:space="0" w:color="000000"/>
            </w:tcBorders>
            <w:vAlign w:val="center"/>
          </w:tcPr>
          <w:p w14:paraId="5C4BE9A1"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247697</w:t>
            </w:r>
          </w:p>
        </w:tc>
        <w:tc>
          <w:tcPr>
            <w:tcW w:w="776" w:type="dxa"/>
            <w:tcBorders>
              <w:top w:val="single" w:sz="2" w:space="0" w:color="000000"/>
              <w:left w:val="single" w:sz="2" w:space="0" w:color="000000"/>
              <w:bottom w:val="single" w:sz="2" w:space="0" w:color="000000"/>
              <w:right w:val="single" w:sz="2" w:space="0" w:color="000000"/>
            </w:tcBorders>
            <w:vAlign w:val="center"/>
          </w:tcPr>
          <w:p w14:paraId="674EBAD3"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64551</w:t>
            </w:r>
          </w:p>
        </w:tc>
      </w:tr>
      <w:tr w:rsidR="00920B68" w:rsidRPr="00364545" w14:paraId="0B46AA41" w14:textId="77777777" w:rsidTr="00920B68">
        <w:trPr>
          <w:trHeight w:val="345"/>
        </w:trPr>
        <w:tc>
          <w:tcPr>
            <w:tcW w:w="1404" w:type="dxa"/>
            <w:tcBorders>
              <w:top w:val="single" w:sz="2" w:space="0" w:color="000000"/>
              <w:left w:val="single" w:sz="2" w:space="0" w:color="000000"/>
              <w:bottom w:val="single" w:sz="2" w:space="0" w:color="000000"/>
              <w:right w:val="single" w:sz="2" w:space="0" w:color="000000"/>
            </w:tcBorders>
            <w:shd w:val="clear" w:color="auto" w:fill="ECE6E2"/>
          </w:tcPr>
          <w:p w14:paraId="18CE77B4" w14:textId="77777777" w:rsidR="00920B68" w:rsidRPr="00364545" w:rsidRDefault="00920B68" w:rsidP="00920B68">
            <w:pPr>
              <w:spacing w:line="259" w:lineRule="auto"/>
            </w:pPr>
            <w:r w:rsidRPr="00364545">
              <w:rPr>
                <w:b/>
                <w:sz w:val="18"/>
              </w:rPr>
              <w:t xml:space="preserve">Ensemble (avec UTCF) </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D2F2A8" w14:textId="77777777" w:rsidR="00920B68" w:rsidRPr="0002410C" w:rsidRDefault="00920B68" w:rsidP="00920B68">
            <w:pPr>
              <w:spacing w:line="259" w:lineRule="auto"/>
              <w:ind w:left="55"/>
              <w:jc w:val="center"/>
              <w:rPr>
                <w:b/>
              </w:rPr>
            </w:pPr>
            <w:r w:rsidRPr="0002410C">
              <w:rPr>
                <w:b/>
                <w:sz w:val="18"/>
                <w:szCs w:val="18"/>
              </w:rPr>
              <w:t>520100</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EB3EEB3" w14:textId="77777777" w:rsidR="00920B68" w:rsidRPr="0002410C" w:rsidRDefault="00920B68" w:rsidP="00920B68">
            <w:pPr>
              <w:spacing w:line="259" w:lineRule="auto"/>
              <w:ind w:left="56"/>
              <w:jc w:val="center"/>
              <w:rPr>
                <w:b/>
                <w:highlight w:val="yellow"/>
              </w:rPr>
            </w:pPr>
            <w:r w:rsidRPr="0002410C">
              <w:rPr>
                <w:b/>
                <w:sz w:val="18"/>
                <w:szCs w:val="18"/>
              </w:rPr>
              <w:t>511596</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7D91070" w14:textId="77777777" w:rsidR="00920B68" w:rsidRPr="0002410C" w:rsidRDefault="00920B68" w:rsidP="00920B68">
            <w:pPr>
              <w:spacing w:line="259" w:lineRule="auto"/>
              <w:ind w:left="56"/>
              <w:jc w:val="center"/>
              <w:rPr>
                <w:b/>
                <w:highlight w:val="yellow"/>
              </w:rPr>
            </w:pPr>
            <w:r w:rsidRPr="0002410C">
              <w:rPr>
                <w:b/>
                <w:sz w:val="18"/>
                <w:szCs w:val="18"/>
              </w:rPr>
              <w:t>529296</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D585022" w14:textId="77777777" w:rsidR="00920B68" w:rsidRPr="0002410C" w:rsidRDefault="00920B68" w:rsidP="00920B68">
            <w:pPr>
              <w:spacing w:line="259" w:lineRule="auto"/>
              <w:ind w:left="55"/>
              <w:jc w:val="center"/>
              <w:rPr>
                <w:b/>
                <w:highlight w:val="yellow"/>
              </w:rPr>
            </w:pPr>
            <w:r w:rsidRPr="0002410C">
              <w:rPr>
                <w:b/>
                <w:sz w:val="18"/>
                <w:szCs w:val="18"/>
              </w:rPr>
              <w:t>504080</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0071213" w14:textId="77777777" w:rsidR="00920B68" w:rsidRPr="0002410C" w:rsidRDefault="00920B68" w:rsidP="00920B68">
            <w:pPr>
              <w:spacing w:line="259" w:lineRule="auto"/>
              <w:ind w:left="56"/>
              <w:jc w:val="center"/>
              <w:rPr>
                <w:b/>
              </w:rPr>
            </w:pPr>
            <w:r w:rsidRPr="0002410C">
              <w:rPr>
                <w:b/>
                <w:sz w:val="18"/>
                <w:szCs w:val="18"/>
              </w:rPr>
              <w:t>469113</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A4D480E" w14:textId="77777777" w:rsidR="00920B68" w:rsidRPr="0002410C" w:rsidRDefault="00920B68" w:rsidP="00920B68">
            <w:pPr>
              <w:spacing w:line="259" w:lineRule="auto"/>
              <w:ind w:left="55"/>
              <w:jc w:val="center"/>
              <w:rPr>
                <w:b/>
              </w:rPr>
            </w:pPr>
            <w:r w:rsidRPr="0002410C">
              <w:rPr>
                <w:b/>
                <w:sz w:val="18"/>
                <w:szCs w:val="18"/>
              </w:rPr>
              <w:t>423346</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D2232B" w14:textId="77777777" w:rsidR="00920B68" w:rsidRPr="0002410C" w:rsidRDefault="00920B68" w:rsidP="00920B68">
            <w:pPr>
              <w:spacing w:line="259" w:lineRule="auto"/>
              <w:ind w:left="56"/>
              <w:jc w:val="center"/>
              <w:rPr>
                <w:rFonts w:ascii="Calibri" w:hAnsi="Calibri"/>
                <w:b/>
                <w:color w:val="000000"/>
                <w:sz w:val="20"/>
              </w:rPr>
            </w:pPr>
            <w:r w:rsidRPr="0002410C">
              <w:rPr>
                <w:b/>
                <w:sz w:val="18"/>
                <w:szCs w:val="18"/>
              </w:rPr>
              <w:t>422252</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59BF98B"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395383</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BC129EE"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329989</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726088"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266934</w:t>
            </w:r>
          </w:p>
        </w:tc>
        <w:tc>
          <w:tcPr>
            <w:tcW w:w="7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AEE2FC6"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202492</w:t>
            </w:r>
          </w:p>
        </w:tc>
        <w:tc>
          <w:tcPr>
            <w:tcW w:w="77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EABAE33" w14:textId="77777777" w:rsidR="00920B68" w:rsidRPr="00634E4C" w:rsidRDefault="00920B68" w:rsidP="00920B68">
            <w:pPr>
              <w:spacing w:line="259" w:lineRule="auto"/>
              <w:ind w:left="56"/>
              <w:jc w:val="center"/>
              <w:rPr>
                <w:rFonts w:asciiTheme="majorHAnsi" w:hAnsiTheme="majorHAnsi"/>
                <w:b/>
                <w:sz w:val="18"/>
              </w:rPr>
            </w:pPr>
            <w:r w:rsidRPr="00634E4C">
              <w:rPr>
                <w:rFonts w:asciiTheme="majorHAnsi" w:hAnsiTheme="majorHAnsi"/>
                <w:b/>
                <w:color w:val="000000"/>
                <w:sz w:val="18"/>
              </w:rPr>
              <w:t>-2597</w:t>
            </w:r>
          </w:p>
        </w:tc>
      </w:tr>
      <w:tr w:rsidR="00920B68" w:rsidRPr="00364545" w14:paraId="3976A05A" w14:textId="77777777" w:rsidTr="00920B68">
        <w:trPr>
          <w:trHeight w:val="346"/>
        </w:trPr>
        <w:tc>
          <w:tcPr>
            <w:tcW w:w="1404" w:type="dxa"/>
            <w:tcBorders>
              <w:top w:val="single" w:sz="2" w:space="0" w:color="000000"/>
              <w:left w:val="single" w:sz="2" w:space="0" w:color="000000"/>
              <w:bottom w:val="single" w:sz="2" w:space="0" w:color="000000"/>
              <w:right w:val="single" w:sz="2" w:space="0" w:color="000000"/>
            </w:tcBorders>
            <w:shd w:val="clear" w:color="auto" w:fill="E5EAF3"/>
          </w:tcPr>
          <w:p w14:paraId="30FE3D48" w14:textId="77777777" w:rsidR="00920B68" w:rsidRPr="00364545" w:rsidRDefault="00920B68" w:rsidP="00920B68">
            <w:pPr>
              <w:spacing w:line="259" w:lineRule="auto"/>
            </w:pPr>
            <w:r w:rsidRPr="00364545">
              <w:rPr>
                <w:i/>
                <w:sz w:val="18"/>
              </w:rPr>
              <w:t xml:space="preserve">For reference: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481B971" w14:textId="77777777" w:rsidR="00920B68" w:rsidRPr="00364545" w:rsidRDefault="00920B68" w:rsidP="00920B68">
            <w:pPr>
              <w:spacing w:line="259" w:lineRule="auto"/>
              <w:ind w:left="18"/>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FB3E611" w14:textId="77777777" w:rsidR="00920B68" w:rsidRPr="00364545" w:rsidRDefault="00920B68" w:rsidP="00920B68">
            <w:pPr>
              <w:spacing w:line="259" w:lineRule="auto"/>
              <w:ind w:left="20"/>
              <w:jc w:val="center"/>
              <w:rPr>
                <w:highlight w:val="yellow"/>
              </w:rP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38DCEA0" w14:textId="77777777" w:rsidR="00920B68" w:rsidRPr="00364545" w:rsidRDefault="00920B68" w:rsidP="00920B68">
            <w:pPr>
              <w:spacing w:line="259" w:lineRule="auto"/>
              <w:ind w:left="20"/>
              <w:jc w:val="center"/>
              <w:rPr>
                <w:highlight w:val="yellow"/>
              </w:rPr>
            </w:pP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23CAFAA" w14:textId="77777777" w:rsidR="00920B68" w:rsidRPr="00364545" w:rsidRDefault="00920B68" w:rsidP="00920B68">
            <w:pPr>
              <w:spacing w:line="259" w:lineRule="auto"/>
              <w:ind w:left="18"/>
              <w:jc w:val="center"/>
              <w:rPr>
                <w:highlight w:val="yellow"/>
              </w:rP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D2BB092" w14:textId="77777777" w:rsidR="00920B68" w:rsidRPr="00364545" w:rsidRDefault="00920B68" w:rsidP="00920B68">
            <w:pPr>
              <w:spacing w:line="259" w:lineRule="auto"/>
              <w:ind w:left="20"/>
              <w:jc w:val="center"/>
            </w:pP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021CA80" w14:textId="77777777" w:rsidR="00920B68" w:rsidRPr="00364545" w:rsidRDefault="00920B68" w:rsidP="00920B68">
            <w:pPr>
              <w:spacing w:line="259" w:lineRule="auto"/>
              <w:ind w:left="18"/>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B626BD6" w14:textId="77777777" w:rsidR="00920B68" w:rsidRPr="00364545" w:rsidRDefault="00920B68" w:rsidP="00920B68">
            <w:pPr>
              <w:spacing w:line="259" w:lineRule="auto"/>
              <w:ind w:left="18"/>
              <w:jc w:val="cente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9CFDAB1" w14:textId="77777777" w:rsidR="00920B68" w:rsidRPr="00634E4C" w:rsidRDefault="00920B68" w:rsidP="00920B68">
            <w:pPr>
              <w:spacing w:line="259" w:lineRule="auto"/>
              <w:ind w:left="18"/>
              <w:jc w:val="center"/>
              <w:rPr>
                <w:rFonts w:asciiTheme="majorHAnsi" w:hAnsiTheme="majorHAnsi"/>
                <w:sz w:val="18"/>
              </w:rP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6058C24" w14:textId="77777777" w:rsidR="00920B68" w:rsidRPr="00634E4C" w:rsidRDefault="00920B68" w:rsidP="00920B68">
            <w:pPr>
              <w:spacing w:line="259" w:lineRule="auto"/>
              <w:ind w:left="20"/>
              <w:jc w:val="center"/>
              <w:rPr>
                <w:rFonts w:asciiTheme="majorHAnsi" w:hAnsiTheme="majorHAnsi"/>
                <w:sz w:val="18"/>
              </w:rPr>
            </w:pP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DDE4B18" w14:textId="77777777" w:rsidR="00920B68" w:rsidRPr="00634E4C" w:rsidRDefault="00920B68" w:rsidP="00920B68">
            <w:pPr>
              <w:spacing w:line="259" w:lineRule="auto"/>
              <w:ind w:left="19"/>
              <w:jc w:val="center"/>
              <w:rPr>
                <w:rFonts w:asciiTheme="majorHAnsi" w:hAnsiTheme="majorHAnsi"/>
                <w:sz w:val="18"/>
              </w:rPr>
            </w:pP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3F3C809" w14:textId="77777777" w:rsidR="00920B68" w:rsidRPr="00634E4C" w:rsidRDefault="00920B68" w:rsidP="00920B68">
            <w:pPr>
              <w:spacing w:line="259" w:lineRule="auto"/>
              <w:ind w:left="19"/>
              <w:jc w:val="center"/>
              <w:rPr>
                <w:rFonts w:asciiTheme="majorHAnsi" w:hAnsiTheme="majorHAnsi"/>
                <w:i/>
                <w:sz w:val="18"/>
              </w:rPr>
            </w:pP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A4DE5D3" w14:textId="77777777" w:rsidR="00920B68" w:rsidRPr="00294AB8" w:rsidRDefault="00920B68" w:rsidP="00920B68">
            <w:pPr>
              <w:spacing w:line="259" w:lineRule="auto"/>
              <w:ind w:left="19"/>
              <w:jc w:val="center"/>
              <w:rPr>
                <w:rFonts w:asciiTheme="majorHAnsi" w:hAnsiTheme="majorHAnsi"/>
                <w:i/>
                <w:sz w:val="18"/>
                <w:szCs w:val="18"/>
              </w:rPr>
            </w:pPr>
          </w:p>
        </w:tc>
      </w:tr>
      <w:tr w:rsidR="00920B68" w:rsidRPr="00364545" w14:paraId="7A0B937F" w14:textId="77777777" w:rsidTr="00920B68">
        <w:trPr>
          <w:trHeight w:val="346"/>
        </w:trPr>
        <w:tc>
          <w:tcPr>
            <w:tcW w:w="1404" w:type="dxa"/>
            <w:tcBorders>
              <w:top w:val="single" w:sz="2" w:space="0" w:color="000000"/>
              <w:left w:val="single" w:sz="2" w:space="0" w:color="000000"/>
              <w:bottom w:val="single" w:sz="2" w:space="0" w:color="000000"/>
              <w:right w:val="single" w:sz="2" w:space="0" w:color="000000"/>
            </w:tcBorders>
            <w:shd w:val="clear" w:color="auto" w:fill="E5EAF3"/>
          </w:tcPr>
          <w:p w14:paraId="16F2683A" w14:textId="77777777" w:rsidR="00920B68" w:rsidRPr="00364545" w:rsidRDefault="00920B68" w:rsidP="00920B68">
            <w:pPr>
              <w:spacing w:line="259" w:lineRule="auto"/>
            </w:pPr>
            <w:r w:rsidRPr="00364545">
              <w:rPr>
                <w:i/>
                <w:sz w:val="18"/>
              </w:rPr>
              <w:t xml:space="preserve">International bunker emissions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C953024" w14:textId="77777777" w:rsidR="00920B68" w:rsidRPr="00364545" w:rsidRDefault="00920B68" w:rsidP="00920B68">
            <w:pPr>
              <w:spacing w:line="259" w:lineRule="auto"/>
              <w:ind w:left="56"/>
              <w:jc w:val="center"/>
              <w:rPr>
                <w:i/>
                <w:sz w:val="18"/>
                <w:szCs w:val="18"/>
              </w:rPr>
            </w:pPr>
            <w:r>
              <w:rPr>
                <w:sz w:val="18"/>
                <w:szCs w:val="18"/>
              </w:rPr>
              <w:t>16921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264C253" w14:textId="77777777" w:rsidR="00920B68" w:rsidRPr="00364545" w:rsidRDefault="00920B68" w:rsidP="00920B68">
            <w:pPr>
              <w:spacing w:line="259" w:lineRule="auto"/>
              <w:ind w:left="56"/>
              <w:jc w:val="center"/>
              <w:rPr>
                <w:i/>
                <w:sz w:val="18"/>
                <w:szCs w:val="18"/>
                <w:highlight w:val="yellow"/>
              </w:rPr>
            </w:pPr>
            <w:r>
              <w:rPr>
                <w:sz w:val="18"/>
                <w:szCs w:val="18"/>
              </w:rPr>
              <w:t>17908</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E7FBDB2" w14:textId="77777777" w:rsidR="00920B68" w:rsidRPr="00364545" w:rsidRDefault="00920B68" w:rsidP="00920B68">
            <w:pPr>
              <w:spacing w:line="259" w:lineRule="auto"/>
              <w:ind w:left="56"/>
              <w:jc w:val="center"/>
              <w:rPr>
                <w:i/>
                <w:sz w:val="18"/>
                <w:szCs w:val="18"/>
                <w:highlight w:val="yellow"/>
              </w:rPr>
            </w:pPr>
            <w:r>
              <w:rPr>
                <w:sz w:val="18"/>
                <w:szCs w:val="18"/>
              </w:rPr>
              <w:t>23807</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59D43CF" w14:textId="77777777" w:rsidR="00920B68" w:rsidRPr="00364545" w:rsidRDefault="00920B68" w:rsidP="00920B68">
            <w:pPr>
              <w:spacing w:line="259" w:lineRule="auto"/>
              <w:ind w:left="56"/>
              <w:jc w:val="center"/>
              <w:rPr>
                <w:i/>
                <w:sz w:val="18"/>
                <w:szCs w:val="18"/>
                <w:highlight w:val="yellow"/>
              </w:rPr>
            </w:pPr>
            <w:r>
              <w:rPr>
                <w:sz w:val="18"/>
                <w:szCs w:val="18"/>
              </w:rPr>
              <w:t>24733</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D3F367D" w14:textId="77777777" w:rsidR="00920B68" w:rsidRPr="00364545" w:rsidRDefault="00920B68" w:rsidP="00920B68">
            <w:pPr>
              <w:spacing w:line="259" w:lineRule="auto"/>
              <w:ind w:left="56"/>
              <w:jc w:val="center"/>
              <w:rPr>
                <w:i/>
                <w:sz w:val="18"/>
                <w:szCs w:val="18"/>
              </w:rPr>
            </w:pPr>
            <w:r>
              <w:rPr>
                <w:sz w:val="18"/>
                <w:szCs w:val="18"/>
              </w:rPr>
              <w:t>24227</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D1A2E87" w14:textId="77777777" w:rsidR="00920B68" w:rsidRPr="00364545" w:rsidRDefault="00920B68" w:rsidP="00920B68">
            <w:pPr>
              <w:spacing w:line="259" w:lineRule="auto"/>
              <w:ind w:left="56"/>
              <w:jc w:val="center"/>
              <w:rPr>
                <w:i/>
                <w:sz w:val="18"/>
                <w:szCs w:val="18"/>
              </w:rPr>
            </w:pPr>
            <w:r>
              <w:rPr>
                <w:sz w:val="18"/>
                <w:szCs w:val="18"/>
              </w:rPr>
              <w:t>23316</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077D812" w14:textId="77777777" w:rsidR="00920B68" w:rsidRPr="00364545" w:rsidRDefault="00920B68" w:rsidP="00920B68">
            <w:pPr>
              <w:spacing w:line="259" w:lineRule="auto"/>
              <w:ind w:left="56"/>
              <w:jc w:val="center"/>
              <w:rPr>
                <w:rFonts w:ascii="Calibri" w:hAnsi="Calibri"/>
                <w:color w:val="000000"/>
                <w:sz w:val="20"/>
              </w:rPr>
            </w:pPr>
            <w:r>
              <w:rPr>
                <w:sz w:val="18"/>
                <w:szCs w:val="18"/>
              </w:rPr>
              <w:t>24791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0A8FB04"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24784</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DB27F14"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26995</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3C1E5B4"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29299</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095F027"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26287</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32ABFC3"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13459</w:t>
            </w:r>
          </w:p>
        </w:tc>
      </w:tr>
      <w:tr w:rsidR="00920B68" w:rsidRPr="00364545" w14:paraId="77C9E2AC" w14:textId="77777777" w:rsidTr="00920B68">
        <w:trPr>
          <w:trHeight w:val="343"/>
        </w:trPr>
        <w:tc>
          <w:tcPr>
            <w:tcW w:w="1404" w:type="dxa"/>
            <w:tcBorders>
              <w:top w:val="single" w:sz="2" w:space="0" w:color="000000"/>
              <w:left w:val="single" w:sz="2" w:space="0" w:color="000000"/>
              <w:bottom w:val="single" w:sz="2" w:space="0" w:color="000000"/>
              <w:right w:val="single" w:sz="2" w:space="0" w:color="000000"/>
            </w:tcBorders>
            <w:shd w:val="clear" w:color="auto" w:fill="E5EAF3"/>
          </w:tcPr>
          <w:p w14:paraId="2926726A" w14:textId="77777777" w:rsidR="00920B68" w:rsidRPr="00364545" w:rsidRDefault="00920B68" w:rsidP="00920B68">
            <w:pPr>
              <w:spacing w:line="259" w:lineRule="auto"/>
            </w:pPr>
            <w:r w:rsidRPr="00364545">
              <w:rPr>
                <w:i/>
                <w:sz w:val="18"/>
              </w:rPr>
              <w:t xml:space="preserve">Aviation bunker emissions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30008FA" w14:textId="77777777" w:rsidR="00920B68" w:rsidRPr="00364545" w:rsidRDefault="00920B68" w:rsidP="00920B68">
            <w:pPr>
              <w:spacing w:line="259" w:lineRule="auto"/>
              <w:ind w:left="56"/>
              <w:jc w:val="center"/>
              <w:rPr>
                <w:i/>
                <w:sz w:val="18"/>
                <w:szCs w:val="18"/>
              </w:rPr>
            </w:pPr>
            <w:r>
              <w:rPr>
                <w:sz w:val="18"/>
                <w:szCs w:val="18"/>
              </w:rPr>
              <w:t>8880</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36528B2" w14:textId="77777777" w:rsidR="00920B68" w:rsidRPr="00364545" w:rsidRDefault="00920B68" w:rsidP="00920B68">
            <w:pPr>
              <w:spacing w:line="259" w:lineRule="auto"/>
              <w:ind w:left="56"/>
              <w:jc w:val="center"/>
              <w:rPr>
                <w:i/>
                <w:sz w:val="18"/>
                <w:szCs w:val="18"/>
                <w:highlight w:val="yellow"/>
              </w:rPr>
            </w:pPr>
            <w:r>
              <w:rPr>
                <w:sz w:val="18"/>
                <w:szCs w:val="18"/>
              </w:rPr>
              <w:t>10709</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AD7389E" w14:textId="77777777" w:rsidR="00920B68" w:rsidRPr="00364545" w:rsidRDefault="00920B68" w:rsidP="00920B68">
            <w:pPr>
              <w:spacing w:line="259" w:lineRule="auto"/>
              <w:ind w:left="56"/>
              <w:jc w:val="center"/>
              <w:rPr>
                <w:i/>
                <w:sz w:val="18"/>
                <w:szCs w:val="18"/>
                <w:highlight w:val="yellow"/>
              </w:rPr>
            </w:pPr>
            <w:r>
              <w:rPr>
                <w:sz w:val="18"/>
                <w:szCs w:val="18"/>
              </w:rPr>
              <w:t>14243</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DA3B3ED" w14:textId="77777777" w:rsidR="00920B68" w:rsidRPr="00364545" w:rsidRDefault="00920B68" w:rsidP="00920B68">
            <w:pPr>
              <w:spacing w:line="259" w:lineRule="auto"/>
              <w:ind w:left="56"/>
              <w:jc w:val="center"/>
              <w:rPr>
                <w:i/>
                <w:sz w:val="18"/>
                <w:szCs w:val="18"/>
                <w:highlight w:val="yellow"/>
              </w:rPr>
            </w:pPr>
            <w:r>
              <w:rPr>
                <w:sz w:val="18"/>
                <w:szCs w:val="18"/>
              </w:rPr>
              <w:t>15862</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0C3A8396" w14:textId="77777777" w:rsidR="00920B68" w:rsidRPr="00364545" w:rsidRDefault="00920B68" w:rsidP="00920B68">
            <w:pPr>
              <w:spacing w:line="259" w:lineRule="auto"/>
              <w:ind w:left="56"/>
              <w:jc w:val="center"/>
              <w:rPr>
                <w:i/>
                <w:sz w:val="18"/>
                <w:szCs w:val="18"/>
              </w:rPr>
            </w:pPr>
            <w:r>
              <w:rPr>
                <w:sz w:val="18"/>
                <w:szCs w:val="18"/>
              </w:rPr>
              <w:t>16227</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BD6C7F7" w14:textId="77777777" w:rsidR="00920B68" w:rsidRPr="00364545" w:rsidRDefault="00920B68" w:rsidP="00920B68">
            <w:pPr>
              <w:spacing w:line="259" w:lineRule="auto"/>
              <w:ind w:left="56"/>
              <w:jc w:val="center"/>
              <w:rPr>
                <w:i/>
                <w:sz w:val="18"/>
                <w:szCs w:val="18"/>
              </w:rPr>
            </w:pPr>
            <w:r>
              <w:rPr>
                <w:sz w:val="18"/>
                <w:szCs w:val="18"/>
              </w:rPr>
              <w:t>17705</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9C22A98" w14:textId="77777777" w:rsidR="00920B68" w:rsidRPr="00364545" w:rsidRDefault="00920B68" w:rsidP="00920B68">
            <w:pPr>
              <w:spacing w:line="259" w:lineRule="auto"/>
              <w:ind w:left="56"/>
              <w:jc w:val="center"/>
              <w:rPr>
                <w:rFonts w:ascii="Calibri" w:hAnsi="Calibri"/>
                <w:color w:val="000000"/>
                <w:sz w:val="20"/>
              </w:rPr>
            </w:pPr>
            <w:r>
              <w:rPr>
                <w:sz w:val="18"/>
                <w:szCs w:val="18"/>
              </w:rPr>
              <w:t>19202</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8E8D738"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17005</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7955C8E"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19084</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80C8BED"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21396</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460E2DC"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18692</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33EBCAA5"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11003</w:t>
            </w:r>
          </w:p>
        </w:tc>
      </w:tr>
      <w:tr w:rsidR="00920B68" w:rsidRPr="00364545" w14:paraId="67E4CCAA" w14:textId="77777777" w:rsidTr="00920B68">
        <w:trPr>
          <w:trHeight w:val="345"/>
        </w:trPr>
        <w:tc>
          <w:tcPr>
            <w:tcW w:w="1404" w:type="dxa"/>
            <w:tcBorders>
              <w:top w:val="single" w:sz="2" w:space="0" w:color="000000"/>
              <w:left w:val="single" w:sz="2" w:space="0" w:color="000000"/>
              <w:bottom w:val="single" w:sz="2" w:space="0" w:color="000000"/>
              <w:right w:val="single" w:sz="2" w:space="0" w:color="000000"/>
            </w:tcBorders>
            <w:shd w:val="clear" w:color="auto" w:fill="E5EAF3"/>
          </w:tcPr>
          <w:p w14:paraId="1709CC4F" w14:textId="77777777" w:rsidR="00920B68" w:rsidRPr="00364545" w:rsidRDefault="00920B68" w:rsidP="00920B68">
            <w:pPr>
              <w:spacing w:line="259" w:lineRule="auto"/>
            </w:pPr>
            <w:r w:rsidRPr="00364545">
              <w:rPr>
                <w:i/>
                <w:sz w:val="18"/>
              </w:rPr>
              <w:t xml:space="preserve">Maritime bunker emissions </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DEFB4DC" w14:textId="77777777" w:rsidR="00920B68" w:rsidRPr="00364545" w:rsidRDefault="00920B68" w:rsidP="00920B68">
            <w:pPr>
              <w:spacing w:line="259" w:lineRule="auto"/>
              <w:ind w:left="56"/>
              <w:jc w:val="center"/>
              <w:rPr>
                <w:i/>
                <w:sz w:val="18"/>
                <w:szCs w:val="18"/>
              </w:rPr>
            </w:pPr>
            <w:r>
              <w:rPr>
                <w:sz w:val="18"/>
                <w:szCs w:val="18"/>
              </w:rPr>
              <w:t>8041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FFA44AD" w14:textId="77777777" w:rsidR="00920B68" w:rsidRPr="00364545" w:rsidRDefault="00920B68" w:rsidP="00920B68">
            <w:pPr>
              <w:spacing w:line="259" w:lineRule="auto"/>
              <w:ind w:left="56"/>
              <w:jc w:val="center"/>
              <w:rPr>
                <w:i/>
                <w:sz w:val="18"/>
                <w:szCs w:val="18"/>
                <w:highlight w:val="yellow"/>
              </w:rPr>
            </w:pPr>
            <w:r>
              <w:rPr>
                <w:sz w:val="18"/>
                <w:szCs w:val="18"/>
              </w:rPr>
              <w:t>7199</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F2951ED" w14:textId="77777777" w:rsidR="00920B68" w:rsidRPr="00364545" w:rsidRDefault="00920B68" w:rsidP="00920B68">
            <w:pPr>
              <w:spacing w:line="259" w:lineRule="auto"/>
              <w:ind w:left="56"/>
              <w:jc w:val="center"/>
              <w:rPr>
                <w:i/>
                <w:sz w:val="18"/>
                <w:szCs w:val="18"/>
                <w:highlight w:val="yellow"/>
              </w:rPr>
            </w:pPr>
            <w:r>
              <w:rPr>
                <w:sz w:val="18"/>
                <w:szCs w:val="18"/>
              </w:rPr>
              <w:t>9564</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4F38C9F6" w14:textId="77777777" w:rsidR="00920B68" w:rsidRPr="00364545" w:rsidRDefault="00920B68" w:rsidP="00920B68">
            <w:pPr>
              <w:spacing w:line="259" w:lineRule="auto"/>
              <w:ind w:left="56"/>
              <w:jc w:val="center"/>
              <w:rPr>
                <w:i/>
                <w:sz w:val="18"/>
                <w:szCs w:val="18"/>
                <w:highlight w:val="yellow"/>
              </w:rPr>
            </w:pPr>
            <w:r>
              <w:rPr>
                <w:sz w:val="18"/>
                <w:szCs w:val="18"/>
              </w:rPr>
              <w:t>8871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50A8CC8A" w14:textId="77777777" w:rsidR="00920B68" w:rsidRPr="00364545" w:rsidRDefault="00920B68" w:rsidP="00920B68">
            <w:pPr>
              <w:spacing w:line="259" w:lineRule="auto"/>
              <w:ind w:left="56"/>
              <w:jc w:val="center"/>
              <w:rPr>
                <w:i/>
                <w:sz w:val="18"/>
                <w:szCs w:val="18"/>
              </w:rPr>
            </w:pPr>
            <w:r>
              <w:rPr>
                <w:sz w:val="18"/>
                <w:szCs w:val="18"/>
              </w:rPr>
              <w:t>8001</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6BBB2BB" w14:textId="77777777" w:rsidR="00920B68" w:rsidRPr="00364545" w:rsidRDefault="00920B68" w:rsidP="00920B68">
            <w:pPr>
              <w:spacing w:line="259" w:lineRule="auto"/>
              <w:ind w:left="56"/>
              <w:jc w:val="center"/>
              <w:rPr>
                <w:i/>
                <w:sz w:val="18"/>
                <w:szCs w:val="18"/>
              </w:rPr>
            </w:pPr>
            <w:r>
              <w:rPr>
                <w:sz w:val="18"/>
                <w:szCs w:val="18"/>
              </w:rPr>
              <w:t>5611</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9C49FA8" w14:textId="77777777" w:rsidR="00920B68" w:rsidRPr="00364545" w:rsidRDefault="00920B68" w:rsidP="00920B68">
            <w:pPr>
              <w:spacing w:line="259" w:lineRule="auto"/>
              <w:ind w:left="56"/>
              <w:jc w:val="center"/>
              <w:rPr>
                <w:rFonts w:ascii="Calibri" w:hAnsi="Calibri"/>
                <w:color w:val="000000"/>
                <w:sz w:val="20"/>
              </w:rPr>
            </w:pPr>
            <w:r>
              <w:rPr>
                <w:sz w:val="18"/>
                <w:szCs w:val="18"/>
              </w:rPr>
              <w:t>5589</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272D9CEA"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7778</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BE98F48"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7911</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6A2A8190"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7903</w:t>
            </w:r>
          </w:p>
        </w:tc>
        <w:tc>
          <w:tcPr>
            <w:tcW w:w="775"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7BB96B4B"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7595</w:t>
            </w:r>
          </w:p>
        </w:tc>
        <w:tc>
          <w:tcPr>
            <w:tcW w:w="776" w:type="dxa"/>
            <w:tcBorders>
              <w:top w:val="single" w:sz="2" w:space="0" w:color="000000"/>
              <w:left w:val="single" w:sz="2" w:space="0" w:color="000000"/>
              <w:bottom w:val="single" w:sz="2" w:space="0" w:color="000000"/>
              <w:right w:val="single" w:sz="2" w:space="0" w:color="000000"/>
            </w:tcBorders>
            <w:shd w:val="clear" w:color="auto" w:fill="E5EAF3"/>
            <w:vAlign w:val="center"/>
          </w:tcPr>
          <w:p w14:paraId="1356115D" w14:textId="77777777" w:rsidR="00920B68" w:rsidRPr="00634E4C" w:rsidRDefault="00920B68" w:rsidP="00920B68">
            <w:pPr>
              <w:spacing w:line="259" w:lineRule="auto"/>
              <w:ind w:left="56"/>
              <w:jc w:val="center"/>
              <w:rPr>
                <w:rFonts w:asciiTheme="majorHAnsi" w:hAnsiTheme="majorHAnsi"/>
                <w:i/>
                <w:sz w:val="18"/>
              </w:rPr>
            </w:pPr>
            <w:r w:rsidRPr="00634E4C">
              <w:rPr>
                <w:rFonts w:asciiTheme="majorHAnsi" w:hAnsiTheme="majorHAnsi"/>
                <w:color w:val="000000"/>
                <w:sz w:val="18"/>
              </w:rPr>
              <w:t>2456</w:t>
            </w:r>
          </w:p>
        </w:tc>
      </w:tr>
    </w:tbl>
    <w:p w14:paraId="4F8C7238" w14:textId="77777777" w:rsidR="00920B68" w:rsidRPr="00364545" w:rsidRDefault="00920B68" w:rsidP="00920B68">
      <w:pPr>
        <w:pStyle w:val="Default"/>
        <w:rPr>
          <w:sz w:val="16"/>
          <w:szCs w:val="16"/>
        </w:rPr>
      </w:pPr>
      <w:r w:rsidRPr="00364545">
        <w:rPr>
          <w:i/>
          <w:sz w:val="16"/>
        </w:rPr>
        <w:t xml:space="preserve">Reading the table: Energy = category CRF1; industrial processes and solvents = category CRF2 and 3; agriculture (non-energy) = category CRF4; waste treatment = category CRF 6. </w:t>
      </w:r>
    </w:p>
    <w:p w14:paraId="5A06ADBA" w14:textId="77777777" w:rsidR="00920B68" w:rsidRPr="00364545" w:rsidRDefault="00920B68" w:rsidP="00920B68">
      <w:pPr>
        <w:pStyle w:val="Caption"/>
      </w:pPr>
      <w:r w:rsidRPr="00364545">
        <w:t xml:space="preserve">Table </w:t>
      </w:r>
      <w:fldSimple w:instr=" SEQ Tableau \* ARABIC ">
        <w:r w:rsidRPr="00364545">
          <w:rPr>
            <w:noProof/>
          </w:rPr>
          <w:t>14</w:t>
        </w:r>
      </w:fldSimple>
      <w:r w:rsidRPr="00364545">
        <w:t>: GHG emissions projections by sector of activity (in ktCO</w:t>
      </w:r>
      <w:r w:rsidRPr="00364545">
        <w:rPr>
          <w:vertAlign w:val="subscript"/>
        </w:rPr>
        <w:t>2e</w:t>
      </w:r>
      <w:r w:rsidRPr="00364545">
        <w:t>) in the Kyoto scope in the AMS scenario (with additional measures)</w:t>
      </w:r>
    </w:p>
    <w:p w14:paraId="4D439B2D" w14:textId="77777777" w:rsidR="00920B68" w:rsidRDefault="00920B68" w:rsidP="00920B68">
      <w:pPr>
        <w:pStyle w:val="Caption"/>
      </w:pPr>
      <w:r w:rsidRPr="00364545">
        <w:t>Source: U</w:t>
      </w:r>
      <w:r>
        <w:t>NFCCC inventory, Citepa/MTE, 2022</w:t>
      </w:r>
      <w:r w:rsidRPr="00364545">
        <w:t xml:space="preserve"> submission and MTE emission projections, 2018</w:t>
      </w:r>
    </w:p>
    <w:p w14:paraId="35A4E8B0" w14:textId="77777777" w:rsidR="00920B68" w:rsidRPr="00364545" w:rsidRDefault="00920B68" w:rsidP="00920B68">
      <w:pPr>
        <w:jc w:val="center"/>
      </w:pPr>
      <w:r>
        <w:rPr>
          <w:noProof/>
          <w:lang w:val="fr-FR"/>
        </w:rPr>
        <w:drawing>
          <wp:inline distT="0" distB="0" distL="0" distR="0" wp14:anchorId="731D485F" wp14:editId="456E5F52">
            <wp:extent cx="6172200" cy="2904067"/>
            <wp:effectExtent l="0" t="0" r="0" b="0"/>
            <wp:docPr id="28682" name="Graphique 286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27F6B87" w14:textId="77777777" w:rsidR="00920B68" w:rsidRPr="00364545" w:rsidRDefault="00920B68" w:rsidP="00920B68">
      <w:pPr>
        <w:pStyle w:val="Caption"/>
      </w:pPr>
      <w:r w:rsidRPr="00364545">
        <w:t xml:space="preserve">Figure </w:t>
      </w:r>
      <w:fldSimple w:instr=" SEQ Figure \* ARABIC ">
        <w:r w:rsidRPr="00364545">
          <w:rPr>
            <w:noProof/>
          </w:rPr>
          <w:t>55</w:t>
        </w:r>
      </w:fldSimple>
      <w:r w:rsidRPr="00364545">
        <w:t>: Projection by sector in ktCO</w:t>
      </w:r>
      <w:r w:rsidRPr="00364545">
        <w:rPr>
          <w:vertAlign w:val="subscript"/>
        </w:rPr>
        <w:t>2e</w:t>
      </w:r>
      <w:r w:rsidRPr="00364545">
        <w:t>, in the Kyoto format, AMS 2018 scenario</w:t>
      </w:r>
    </w:p>
    <w:p w14:paraId="3D4CC760" w14:textId="77777777" w:rsidR="00920B68" w:rsidRPr="00364545" w:rsidRDefault="00920B68" w:rsidP="00920B68">
      <w:pPr>
        <w:pStyle w:val="Caption"/>
      </w:pPr>
      <w:r w:rsidRPr="00364545">
        <w:t>Source: UNF</w:t>
      </w:r>
      <w:r>
        <w:t>CCC inventory, Citepa/MTES, 2022</w:t>
      </w:r>
      <w:r w:rsidRPr="00364545">
        <w:t xml:space="preserve"> submission and MTES emission projections, 2018</w:t>
      </w:r>
    </w:p>
    <w:p w14:paraId="45898398" w14:textId="77777777" w:rsidR="00920B68" w:rsidRPr="00364545" w:rsidRDefault="00920B68" w:rsidP="00920B68"/>
    <w:p w14:paraId="478A3044" w14:textId="77777777" w:rsidR="00920B68" w:rsidRPr="00364545" w:rsidRDefault="00920B68" w:rsidP="00920B68">
      <w:pPr>
        <w:pStyle w:val="Titre4niveau4"/>
        <w:numPr>
          <w:ilvl w:val="2"/>
          <w:numId w:val="108"/>
        </w:numPr>
        <w:spacing w:before="240"/>
      </w:pPr>
      <w:r w:rsidRPr="00364545">
        <w:t xml:space="preserve">Details of the energy sector categories </w:t>
      </w:r>
    </w:p>
    <w:p w14:paraId="1B6A7693" w14:textId="77777777" w:rsidR="00920B68" w:rsidRPr="00364545" w:rsidRDefault="00920B68" w:rsidP="00920B68">
      <w:pPr>
        <w:pStyle w:val="titreencadre"/>
        <w:numPr>
          <w:ilvl w:val="3"/>
          <w:numId w:val="108"/>
        </w:numPr>
        <w:spacing w:before="120" w:after="60" w:line="240" w:lineRule="auto"/>
      </w:pPr>
      <w:r w:rsidRPr="00364545">
        <w:t>AME 2021</w:t>
      </w:r>
    </w:p>
    <w:tbl>
      <w:tblPr>
        <w:tblStyle w:val="TableGrid0"/>
        <w:tblW w:w="10259" w:type="dxa"/>
        <w:tblInd w:w="10" w:type="dxa"/>
        <w:tblLayout w:type="fixed"/>
        <w:tblCellMar>
          <w:top w:w="40" w:type="dxa"/>
          <w:left w:w="28" w:type="dxa"/>
          <w:right w:w="1" w:type="dxa"/>
        </w:tblCellMar>
        <w:tblLook w:val="04A0" w:firstRow="1" w:lastRow="0" w:firstColumn="1" w:lastColumn="0" w:noHBand="0" w:noVBand="1"/>
      </w:tblPr>
      <w:tblGrid>
        <w:gridCol w:w="1328"/>
        <w:gridCol w:w="714"/>
        <w:gridCol w:w="759"/>
        <w:gridCol w:w="759"/>
        <w:gridCol w:w="805"/>
        <w:gridCol w:w="803"/>
        <w:gridCol w:w="670"/>
        <w:gridCol w:w="803"/>
        <w:gridCol w:w="783"/>
        <w:gridCol w:w="692"/>
        <w:gridCol w:w="803"/>
        <w:gridCol w:w="670"/>
        <w:gridCol w:w="670"/>
      </w:tblGrid>
      <w:tr w:rsidR="00920B68" w:rsidRPr="00364545" w14:paraId="00B3C082" w14:textId="77777777" w:rsidTr="00920B68">
        <w:trPr>
          <w:trHeight w:val="380"/>
        </w:trPr>
        <w:tc>
          <w:tcPr>
            <w:tcW w:w="1328" w:type="dxa"/>
            <w:tcBorders>
              <w:top w:val="single" w:sz="2" w:space="0" w:color="000000"/>
              <w:left w:val="single" w:sz="2" w:space="0" w:color="000000"/>
              <w:bottom w:val="single" w:sz="2" w:space="0" w:color="000000"/>
              <w:right w:val="single" w:sz="2" w:space="0" w:color="000000"/>
            </w:tcBorders>
            <w:shd w:val="clear" w:color="auto" w:fill="6D2A78"/>
          </w:tcPr>
          <w:p w14:paraId="5E539F05" w14:textId="77777777" w:rsidR="00920B68" w:rsidRPr="00364545" w:rsidRDefault="00920B68" w:rsidP="00920B68">
            <w:r w:rsidRPr="00364545">
              <w:t>AME 2021</w:t>
            </w:r>
          </w:p>
        </w:tc>
        <w:tc>
          <w:tcPr>
            <w:tcW w:w="714" w:type="dxa"/>
            <w:tcBorders>
              <w:top w:val="single" w:sz="2" w:space="0" w:color="000000"/>
              <w:left w:val="single" w:sz="2" w:space="0" w:color="000000"/>
              <w:bottom w:val="single" w:sz="2" w:space="0" w:color="000000"/>
              <w:right w:val="single" w:sz="2" w:space="0" w:color="000000"/>
            </w:tcBorders>
            <w:shd w:val="clear" w:color="auto" w:fill="6D2A78"/>
          </w:tcPr>
          <w:p w14:paraId="490876CE" w14:textId="77777777" w:rsidR="00920B68" w:rsidRPr="00364545" w:rsidRDefault="00920B68" w:rsidP="00920B68">
            <w:pPr>
              <w:spacing w:line="259" w:lineRule="auto"/>
              <w:ind w:right="27"/>
              <w:jc w:val="center"/>
            </w:pPr>
            <w:r w:rsidRPr="00364545">
              <w:rPr>
                <w:b/>
                <w:color w:val="FFFFFF"/>
                <w:sz w:val="18"/>
              </w:rPr>
              <w:t xml:space="preserve">1990 </w:t>
            </w:r>
          </w:p>
        </w:tc>
        <w:tc>
          <w:tcPr>
            <w:tcW w:w="759" w:type="dxa"/>
            <w:tcBorders>
              <w:top w:val="single" w:sz="2" w:space="0" w:color="000000"/>
              <w:left w:val="single" w:sz="2" w:space="0" w:color="000000"/>
              <w:bottom w:val="single" w:sz="2" w:space="0" w:color="000000"/>
              <w:right w:val="single" w:sz="2" w:space="0" w:color="000000"/>
            </w:tcBorders>
            <w:shd w:val="clear" w:color="auto" w:fill="6D2A78"/>
          </w:tcPr>
          <w:p w14:paraId="64C29D91" w14:textId="77777777" w:rsidR="00920B68" w:rsidRPr="00364545" w:rsidRDefault="00920B68" w:rsidP="00920B68">
            <w:pPr>
              <w:spacing w:line="259" w:lineRule="auto"/>
              <w:ind w:right="24"/>
              <w:jc w:val="center"/>
              <w:rPr>
                <w:b/>
                <w:color w:val="FFFFFF"/>
                <w:sz w:val="18"/>
              </w:rPr>
            </w:pPr>
            <w:r w:rsidRPr="00364545">
              <w:rPr>
                <w:b/>
                <w:color w:val="FFFFFF"/>
                <w:sz w:val="18"/>
              </w:rPr>
              <w:t>1995</w:t>
            </w:r>
          </w:p>
        </w:tc>
        <w:tc>
          <w:tcPr>
            <w:tcW w:w="759" w:type="dxa"/>
            <w:tcBorders>
              <w:top w:val="single" w:sz="2" w:space="0" w:color="000000"/>
              <w:left w:val="single" w:sz="2" w:space="0" w:color="000000"/>
              <w:bottom w:val="single" w:sz="2" w:space="0" w:color="000000"/>
              <w:right w:val="single" w:sz="2" w:space="0" w:color="000000"/>
            </w:tcBorders>
            <w:shd w:val="clear" w:color="auto" w:fill="6D2A78"/>
          </w:tcPr>
          <w:p w14:paraId="1923B0A0" w14:textId="77777777" w:rsidR="00920B68" w:rsidRPr="00364545" w:rsidRDefault="00920B68" w:rsidP="00920B68">
            <w:pPr>
              <w:spacing w:line="259" w:lineRule="auto"/>
              <w:ind w:right="24"/>
              <w:jc w:val="center"/>
            </w:pPr>
            <w:r w:rsidRPr="00364545">
              <w:rPr>
                <w:b/>
                <w:color w:val="FFFFFF"/>
                <w:sz w:val="18"/>
              </w:rPr>
              <w:t xml:space="preserve">2000 </w:t>
            </w:r>
          </w:p>
        </w:tc>
        <w:tc>
          <w:tcPr>
            <w:tcW w:w="805" w:type="dxa"/>
            <w:tcBorders>
              <w:top w:val="single" w:sz="2" w:space="0" w:color="000000"/>
              <w:left w:val="single" w:sz="2" w:space="0" w:color="000000"/>
              <w:bottom w:val="single" w:sz="2" w:space="0" w:color="000000"/>
              <w:right w:val="single" w:sz="2" w:space="0" w:color="000000"/>
            </w:tcBorders>
            <w:shd w:val="clear" w:color="auto" w:fill="6D2A78"/>
          </w:tcPr>
          <w:p w14:paraId="093BA1A7" w14:textId="77777777" w:rsidR="00920B68" w:rsidRPr="00364545" w:rsidRDefault="00920B68" w:rsidP="00920B68">
            <w:pPr>
              <w:spacing w:line="259" w:lineRule="auto"/>
              <w:ind w:right="27"/>
              <w:jc w:val="center"/>
            </w:pPr>
            <w:r w:rsidRPr="00364545">
              <w:rPr>
                <w:b/>
                <w:color w:val="FFFFFF"/>
                <w:sz w:val="18"/>
              </w:rPr>
              <w:t xml:space="preserve">2005 </w:t>
            </w:r>
          </w:p>
        </w:tc>
        <w:tc>
          <w:tcPr>
            <w:tcW w:w="803" w:type="dxa"/>
            <w:tcBorders>
              <w:top w:val="single" w:sz="2" w:space="0" w:color="000000"/>
              <w:left w:val="single" w:sz="2" w:space="0" w:color="000000"/>
              <w:bottom w:val="single" w:sz="2" w:space="0" w:color="000000"/>
              <w:right w:val="single" w:sz="2" w:space="0" w:color="000000"/>
            </w:tcBorders>
            <w:shd w:val="clear" w:color="auto" w:fill="6D2A78"/>
          </w:tcPr>
          <w:p w14:paraId="4FB527A2" w14:textId="77777777" w:rsidR="00920B68" w:rsidRPr="00364545" w:rsidRDefault="00920B68" w:rsidP="00920B68">
            <w:pPr>
              <w:spacing w:line="259" w:lineRule="auto"/>
              <w:ind w:right="24"/>
              <w:jc w:val="center"/>
            </w:pPr>
            <w:r w:rsidRPr="00364545">
              <w:rPr>
                <w:b/>
                <w:color w:val="FFFFFF"/>
                <w:sz w:val="18"/>
              </w:rPr>
              <w:t xml:space="preserve">2010 </w:t>
            </w:r>
          </w:p>
        </w:tc>
        <w:tc>
          <w:tcPr>
            <w:tcW w:w="670" w:type="dxa"/>
            <w:tcBorders>
              <w:top w:val="single" w:sz="2" w:space="0" w:color="000000"/>
              <w:left w:val="single" w:sz="2" w:space="0" w:color="000000"/>
              <w:bottom w:val="single" w:sz="2" w:space="0" w:color="000000"/>
              <w:right w:val="single" w:sz="2" w:space="0" w:color="000000"/>
            </w:tcBorders>
            <w:shd w:val="clear" w:color="auto" w:fill="6D2A78"/>
          </w:tcPr>
          <w:p w14:paraId="73BE52E2" w14:textId="77777777" w:rsidR="00920B68" w:rsidRPr="00364545" w:rsidRDefault="00920B68" w:rsidP="00920B68">
            <w:pPr>
              <w:spacing w:line="259" w:lineRule="auto"/>
              <w:ind w:right="27"/>
              <w:jc w:val="center"/>
            </w:pPr>
            <w:r w:rsidRPr="00364545">
              <w:rPr>
                <w:b/>
                <w:color w:val="FFFFFF"/>
                <w:sz w:val="18"/>
              </w:rPr>
              <w:t xml:space="preserve">2015 </w:t>
            </w:r>
          </w:p>
        </w:tc>
        <w:tc>
          <w:tcPr>
            <w:tcW w:w="803" w:type="dxa"/>
            <w:tcBorders>
              <w:top w:val="single" w:sz="2" w:space="0" w:color="000000"/>
              <w:left w:val="single" w:sz="2" w:space="0" w:color="000000"/>
              <w:bottom w:val="single" w:sz="2" w:space="0" w:color="000000"/>
              <w:right w:val="single" w:sz="2" w:space="0" w:color="000000"/>
            </w:tcBorders>
            <w:shd w:val="clear" w:color="auto" w:fill="6D2A78"/>
          </w:tcPr>
          <w:p w14:paraId="677E8A8E" w14:textId="77777777" w:rsidR="00920B68" w:rsidRPr="00364545" w:rsidRDefault="00920B68" w:rsidP="00920B68">
            <w:pPr>
              <w:spacing w:line="259" w:lineRule="auto"/>
              <w:ind w:right="24"/>
              <w:jc w:val="center"/>
              <w:rPr>
                <w:b/>
                <w:color w:val="FFFFFF"/>
                <w:sz w:val="18"/>
              </w:rPr>
            </w:pPr>
            <w:r w:rsidRPr="00364545">
              <w:rPr>
                <w:b/>
                <w:color w:val="FFFFFF"/>
                <w:sz w:val="18"/>
              </w:rPr>
              <w:t>2019</w:t>
            </w:r>
          </w:p>
        </w:tc>
        <w:tc>
          <w:tcPr>
            <w:tcW w:w="783" w:type="dxa"/>
            <w:tcBorders>
              <w:top w:val="single" w:sz="2" w:space="0" w:color="000000"/>
              <w:left w:val="single" w:sz="2" w:space="0" w:color="000000"/>
              <w:bottom w:val="single" w:sz="2" w:space="0" w:color="000000"/>
              <w:right w:val="single" w:sz="2" w:space="0" w:color="000000"/>
            </w:tcBorders>
            <w:shd w:val="clear" w:color="auto" w:fill="6D2A78"/>
          </w:tcPr>
          <w:p w14:paraId="7C965D7F" w14:textId="77777777" w:rsidR="00920B68" w:rsidRPr="00364545" w:rsidRDefault="00920B68" w:rsidP="00920B68">
            <w:pPr>
              <w:spacing w:line="259" w:lineRule="auto"/>
              <w:ind w:right="24"/>
              <w:jc w:val="center"/>
            </w:pPr>
            <w:r w:rsidRPr="00364545">
              <w:rPr>
                <w:b/>
                <w:color w:val="FFFFFF"/>
                <w:sz w:val="18"/>
              </w:rPr>
              <w:t xml:space="preserve">2020 </w:t>
            </w:r>
          </w:p>
        </w:tc>
        <w:tc>
          <w:tcPr>
            <w:tcW w:w="692" w:type="dxa"/>
            <w:tcBorders>
              <w:top w:val="single" w:sz="2" w:space="0" w:color="000000"/>
              <w:left w:val="single" w:sz="2" w:space="0" w:color="000000"/>
              <w:bottom w:val="single" w:sz="2" w:space="0" w:color="000000"/>
              <w:right w:val="single" w:sz="2" w:space="0" w:color="000000"/>
            </w:tcBorders>
            <w:shd w:val="clear" w:color="auto" w:fill="6D2A78"/>
          </w:tcPr>
          <w:p w14:paraId="2F8DD144" w14:textId="77777777" w:rsidR="00920B68" w:rsidRPr="00364545" w:rsidRDefault="00920B68" w:rsidP="00920B68">
            <w:pPr>
              <w:spacing w:line="259" w:lineRule="auto"/>
              <w:ind w:right="27"/>
              <w:jc w:val="center"/>
            </w:pPr>
            <w:r w:rsidRPr="00364545">
              <w:rPr>
                <w:b/>
                <w:color w:val="FFFFFF"/>
                <w:sz w:val="18"/>
              </w:rPr>
              <w:t xml:space="preserve">2025 </w:t>
            </w:r>
          </w:p>
        </w:tc>
        <w:tc>
          <w:tcPr>
            <w:tcW w:w="803" w:type="dxa"/>
            <w:tcBorders>
              <w:top w:val="single" w:sz="2" w:space="0" w:color="000000"/>
              <w:left w:val="single" w:sz="2" w:space="0" w:color="000000"/>
              <w:bottom w:val="single" w:sz="2" w:space="0" w:color="000000"/>
              <w:right w:val="single" w:sz="2" w:space="0" w:color="000000"/>
            </w:tcBorders>
            <w:shd w:val="clear" w:color="auto" w:fill="6D2A78"/>
          </w:tcPr>
          <w:p w14:paraId="6EA1E88E" w14:textId="77777777" w:rsidR="00920B68" w:rsidRPr="00364545" w:rsidRDefault="00920B68" w:rsidP="00920B68">
            <w:pPr>
              <w:spacing w:line="259" w:lineRule="auto"/>
              <w:ind w:right="24"/>
              <w:jc w:val="center"/>
            </w:pPr>
            <w:r w:rsidRPr="00364545">
              <w:rPr>
                <w:b/>
                <w:color w:val="FFFFFF"/>
                <w:sz w:val="18"/>
              </w:rPr>
              <w:t xml:space="preserve">2030 </w:t>
            </w:r>
          </w:p>
        </w:tc>
        <w:tc>
          <w:tcPr>
            <w:tcW w:w="670" w:type="dxa"/>
            <w:tcBorders>
              <w:top w:val="single" w:sz="2" w:space="0" w:color="000000"/>
              <w:left w:val="single" w:sz="2" w:space="0" w:color="000000"/>
              <w:bottom w:val="single" w:sz="2" w:space="0" w:color="000000"/>
              <w:right w:val="single" w:sz="2" w:space="0" w:color="000000"/>
            </w:tcBorders>
            <w:shd w:val="clear" w:color="auto" w:fill="6D2A78"/>
          </w:tcPr>
          <w:p w14:paraId="54637B08" w14:textId="77777777" w:rsidR="00920B68" w:rsidRPr="00364545" w:rsidRDefault="00920B68" w:rsidP="00920B68">
            <w:pPr>
              <w:spacing w:line="259" w:lineRule="auto"/>
              <w:ind w:right="26"/>
              <w:jc w:val="center"/>
            </w:pPr>
            <w:r w:rsidRPr="00364545">
              <w:rPr>
                <w:b/>
                <w:color w:val="FFFFFF"/>
                <w:sz w:val="18"/>
              </w:rPr>
              <w:t xml:space="preserve">2035 </w:t>
            </w:r>
          </w:p>
        </w:tc>
        <w:tc>
          <w:tcPr>
            <w:tcW w:w="670" w:type="dxa"/>
            <w:tcBorders>
              <w:top w:val="single" w:sz="2" w:space="0" w:color="000000"/>
              <w:left w:val="single" w:sz="2" w:space="0" w:color="000000"/>
              <w:bottom w:val="single" w:sz="2" w:space="0" w:color="000000"/>
              <w:right w:val="single" w:sz="2" w:space="0" w:color="000000"/>
            </w:tcBorders>
            <w:shd w:val="clear" w:color="auto" w:fill="6D2A78"/>
          </w:tcPr>
          <w:p w14:paraId="0773CE08" w14:textId="77777777" w:rsidR="00920B68" w:rsidRPr="00364545" w:rsidRDefault="00920B68" w:rsidP="00920B68">
            <w:pPr>
              <w:spacing w:line="259" w:lineRule="auto"/>
              <w:ind w:right="26"/>
              <w:jc w:val="center"/>
              <w:rPr>
                <w:b/>
                <w:color w:val="FFFFFF"/>
                <w:sz w:val="18"/>
              </w:rPr>
            </w:pPr>
            <w:r w:rsidRPr="00364545">
              <w:rPr>
                <w:b/>
                <w:color w:val="FFFFFF"/>
                <w:sz w:val="18"/>
              </w:rPr>
              <w:t>2050</w:t>
            </w:r>
          </w:p>
        </w:tc>
      </w:tr>
      <w:tr w:rsidR="00920B68" w:rsidRPr="00364545" w14:paraId="01341736" w14:textId="77777777" w:rsidTr="00920B68">
        <w:trPr>
          <w:trHeight w:val="329"/>
        </w:trPr>
        <w:tc>
          <w:tcPr>
            <w:tcW w:w="1328" w:type="dxa"/>
            <w:tcBorders>
              <w:top w:val="single" w:sz="2" w:space="0" w:color="000000"/>
              <w:left w:val="single" w:sz="2" w:space="0" w:color="000000"/>
              <w:bottom w:val="single" w:sz="2" w:space="0" w:color="000000"/>
              <w:right w:val="single" w:sz="2" w:space="0" w:color="000000"/>
            </w:tcBorders>
          </w:tcPr>
          <w:p w14:paraId="0AECE62A" w14:textId="77777777" w:rsidR="00920B68" w:rsidRPr="00364545" w:rsidRDefault="00920B68" w:rsidP="00920B68">
            <w:pPr>
              <w:spacing w:line="259" w:lineRule="auto"/>
            </w:pPr>
            <w:r w:rsidRPr="00364545">
              <w:rPr>
                <w:b/>
                <w:sz w:val="18"/>
              </w:rPr>
              <w:t xml:space="preserve"> </w:t>
            </w:r>
          </w:p>
        </w:tc>
        <w:tc>
          <w:tcPr>
            <w:tcW w:w="714" w:type="dxa"/>
            <w:tcBorders>
              <w:top w:val="single" w:sz="2" w:space="0" w:color="000000"/>
              <w:left w:val="single" w:sz="2" w:space="0" w:color="000000"/>
              <w:bottom w:val="single" w:sz="2" w:space="0" w:color="000000"/>
              <w:right w:val="single" w:sz="2" w:space="0" w:color="000000"/>
            </w:tcBorders>
          </w:tcPr>
          <w:p w14:paraId="3D468FCF" w14:textId="77777777" w:rsidR="00920B68" w:rsidRPr="00364545" w:rsidRDefault="00920B68" w:rsidP="00920B68">
            <w:pPr>
              <w:spacing w:line="259" w:lineRule="auto"/>
              <w:rPr>
                <w:sz w:val="16"/>
              </w:rPr>
            </w:pPr>
            <w:r w:rsidRPr="00364545">
              <w:rPr>
                <w:b/>
                <w:color w:val="6D2A78"/>
                <w:sz w:val="16"/>
              </w:rPr>
              <w:t xml:space="preserve">Observed </w:t>
            </w:r>
          </w:p>
        </w:tc>
        <w:tc>
          <w:tcPr>
            <w:tcW w:w="759" w:type="dxa"/>
            <w:tcBorders>
              <w:top w:val="single" w:sz="2" w:space="0" w:color="000000"/>
              <w:left w:val="single" w:sz="2" w:space="0" w:color="000000"/>
              <w:bottom w:val="single" w:sz="2" w:space="0" w:color="000000"/>
              <w:right w:val="single" w:sz="2" w:space="0" w:color="000000"/>
            </w:tcBorders>
          </w:tcPr>
          <w:p w14:paraId="5707C02B" w14:textId="77777777" w:rsidR="00920B68" w:rsidRPr="00364545" w:rsidRDefault="00920B68" w:rsidP="00920B68">
            <w:pPr>
              <w:spacing w:line="259" w:lineRule="auto"/>
              <w:rPr>
                <w:b/>
                <w:color w:val="6D2A78"/>
                <w:sz w:val="16"/>
              </w:rPr>
            </w:pPr>
            <w:r w:rsidRPr="00364545">
              <w:rPr>
                <w:b/>
                <w:color w:val="6D2A78"/>
                <w:sz w:val="16"/>
              </w:rPr>
              <w:t>Observed</w:t>
            </w:r>
          </w:p>
        </w:tc>
        <w:tc>
          <w:tcPr>
            <w:tcW w:w="759" w:type="dxa"/>
            <w:tcBorders>
              <w:top w:val="single" w:sz="2" w:space="0" w:color="000000"/>
              <w:left w:val="single" w:sz="2" w:space="0" w:color="000000"/>
              <w:bottom w:val="single" w:sz="2" w:space="0" w:color="000000"/>
              <w:right w:val="single" w:sz="2" w:space="0" w:color="000000"/>
            </w:tcBorders>
          </w:tcPr>
          <w:p w14:paraId="5F640A2F" w14:textId="77777777" w:rsidR="00920B68" w:rsidRPr="00364545" w:rsidRDefault="00920B68" w:rsidP="00920B68">
            <w:pPr>
              <w:spacing w:line="259" w:lineRule="auto"/>
              <w:rPr>
                <w:sz w:val="16"/>
              </w:rPr>
            </w:pPr>
            <w:r w:rsidRPr="00364545">
              <w:rPr>
                <w:b/>
                <w:color w:val="6D2A78"/>
                <w:sz w:val="16"/>
              </w:rPr>
              <w:t xml:space="preserve">Observed </w:t>
            </w:r>
          </w:p>
        </w:tc>
        <w:tc>
          <w:tcPr>
            <w:tcW w:w="805" w:type="dxa"/>
            <w:tcBorders>
              <w:top w:val="single" w:sz="2" w:space="0" w:color="000000"/>
              <w:left w:val="single" w:sz="2" w:space="0" w:color="000000"/>
              <w:bottom w:val="single" w:sz="2" w:space="0" w:color="000000"/>
              <w:right w:val="single" w:sz="2" w:space="0" w:color="000000"/>
            </w:tcBorders>
          </w:tcPr>
          <w:p w14:paraId="1BE7A1BD" w14:textId="77777777" w:rsidR="00920B68" w:rsidRPr="00364545" w:rsidRDefault="00920B68" w:rsidP="00920B68">
            <w:pPr>
              <w:spacing w:line="259" w:lineRule="auto"/>
              <w:rPr>
                <w:sz w:val="16"/>
              </w:rPr>
            </w:pPr>
            <w:r w:rsidRPr="00364545">
              <w:rPr>
                <w:b/>
                <w:color w:val="6D2A78"/>
                <w:sz w:val="16"/>
              </w:rPr>
              <w:t xml:space="preserve">Observed </w:t>
            </w:r>
          </w:p>
        </w:tc>
        <w:tc>
          <w:tcPr>
            <w:tcW w:w="803" w:type="dxa"/>
            <w:tcBorders>
              <w:top w:val="single" w:sz="2" w:space="0" w:color="000000"/>
              <w:left w:val="single" w:sz="2" w:space="0" w:color="000000"/>
              <w:bottom w:val="single" w:sz="2" w:space="0" w:color="000000"/>
              <w:right w:val="single" w:sz="2" w:space="0" w:color="000000"/>
            </w:tcBorders>
          </w:tcPr>
          <w:p w14:paraId="2034A262" w14:textId="77777777" w:rsidR="00920B68" w:rsidRPr="00364545" w:rsidRDefault="00920B68" w:rsidP="00920B68">
            <w:pPr>
              <w:spacing w:line="259" w:lineRule="auto"/>
              <w:rPr>
                <w:sz w:val="16"/>
              </w:rPr>
            </w:pPr>
            <w:r w:rsidRPr="00364545">
              <w:rPr>
                <w:b/>
                <w:color w:val="6D2A78"/>
                <w:sz w:val="16"/>
              </w:rPr>
              <w:t xml:space="preserve">Observed </w:t>
            </w:r>
          </w:p>
        </w:tc>
        <w:tc>
          <w:tcPr>
            <w:tcW w:w="670" w:type="dxa"/>
            <w:tcBorders>
              <w:top w:val="single" w:sz="2" w:space="0" w:color="000000"/>
              <w:left w:val="single" w:sz="2" w:space="0" w:color="000000"/>
              <w:bottom w:val="single" w:sz="2" w:space="0" w:color="000000"/>
              <w:right w:val="single" w:sz="2" w:space="0" w:color="000000"/>
            </w:tcBorders>
          </w:tcPr>
          <w:p w14:paraId="1E465176" w14:textId="77777777" w:rsidR="00920B68" w:rsidRPr="00364545" w:rsidRDefault="00920B68" w:rsidP="00920B68">
            <w:pPr>
              <w:spacing w:line="259" w:lineRule="auto"/>
              <w:rPr>
                <w:sz w:val="16"/>
              </w:rPr>
            </w:pPr>
            <w:r w:rsidRPr="00364545">
              <w:rPr>
                <w:b/>
                <w:color w:val="6D2A78"/>
                <w:sz w:val="16"/>
              </w:rPr>
              <w:t xml:space="preserve">Observed </w:t>
            </w:r>
          </w:p>
        </w:tc>
        <w:tc>
          <w:tcPr>
            <w:tcW w:w="803" w:type="dxa"/>
            <w:tcBorders>
              <w:top w:val="single" w:sz="2" w:space="0" w:color="000000"/>
              <w:left w:val="single" w:sz="2" w:space="0" w:color="000000"/>
              <w:bottom w:val="single" w:sz="2" w:space="0" w:color="000000"/>
              <w:right w:val="single" w:sz="2" w:space="0" w:color="000000"/>
            </w:tcBorders>
          </w:tcPr>
          <w:p w14:paraId="0AAFD6C4" w14:textId="77777777" w:rsidR="00920B68" w:rsidRPr="00364545" w:rsidRDefault="00920B68" w:rsidP="00920B68">
            <w:pPr>
              <w:spacing w:line="259" w:lineRule="auto"/>
              <w:rPr>
                <w:b/>
                <w:color w:val="6D2A78"/>
                <w:sz w:val="16"/>
              </w:rPr>
            </w:pPr>
            <w:r w:rsidRPr="00364545">
              <w:rPr>
                <w:b/>
                <w:color w:val="6D2A78"/>
                <w:sz w:val="16"/>
              </w:rPr>
              <w:t>Observed</w:t>
            </w:r>
          </w:p>
        </w:tc>
        <w:tc>
          <w:tcPr>
            <w:tcW w:w="783" w:type="dxa"/>
            <w:tcBorders>
              <w:top w:val="single" w:sz="2" w:space="0" w:color="000000"/>
              <w:left w:val="single" w:sz="2" w:space="0" w:color="000000"/>
              <w:bottom w:val="single" w:sz="2" w:space="0" w:color="000000"/>
              <w:right w:val="single" w:sz="2" w:space="0" w:color="000000"/>
            </w:tcBorders>
          </w:tcPr>
          <w:p w14:paraId="16CEC7D7" w14:textId="77777777" w:rsidR="00920B68" w:rsidRPr="00364545" w:rsidRDefault="00920B68" w:rsidP="00920B68">
            <w:pPr>
              <w:spacing w:line="259" w:lineRule="auto"/>
              <w:rPr>
                <w:sz w:val="16"/>
              </w:rPr>
            </w:pPr>
            <w:r w:rsidRPr="00364545">
              <w:rPr>
                <w:b/>
                <w:color w:val="6D2A78"/>
                <w:sz w:val="16"/>
              </w:rPr>
              <w:t xml:space="preserve">Projected </w:t>
            </w:r>
          </w:p>
        </w:tc>
        <w:tc>
          <w:tcPr>
            <w:tcW w:w="692" w:type="dxa"/>
            <w:tcBorders>
              <w:top w:val="single" w:sz="2" w:space="0" w:color="000000"/>
              <w:left w:val="single" w:sz="2" w:space="0" w:color="000000"/>
              <w:bottom w:val="single" w:sz="2" w:space="0" w:color="000000"/>
              <w:right w:val="single" w:sz="2" w:space="0" w:color="000000"/>
            </w:tcBorders>
          </w:tcPr>
          <w:p w14:paraId="15D54425" w14:textId="77777777" w:rsidR="00920B68" w:rsidRPr="00364545" w:rsidRDefault="00920B68" w:rsidP="00920B68">
            <w:pPr>
              <w:spacing w:line="259" w:lineRule="auto"/>
              <w:rPr>
                <w:sz w:val="16"/>
              </w:rPr>
            </w:pPr>
            <w:r w:rsidRPr="00364545">
              <w:rPr>
                <w:b/>
                <w:color w:val="6D2A78"/>
                <w:sz w:val="16"/>
              </w:rPr>
              <w:t xml:space="preserve">Projected </w:t>
            </w:r>
          </w:p>
        </w:tc>
        <w:tc>
          <w:tcPr>
            <w:tcW w:w="803" w:type="dxa"/>
            <w:tcBorders>
              <w:top w:val="single" w:sz="2" w:space="0" w:color="000000"/>
              <w:left w:val="single" w:sz="2" w:space="0" w:color="000000"/>
              <w:bottom w:val="single" w:sz="2" w:space="0" w:color="000000"/>
              <w:right w:val="single" w:sz="2" w:space="0" w:color="000000"/>
            </w:tcBorders>
          </w:tcPr>
          <w:p w14:paraId="31A40C65" w14:textId="77777777" w:rsidR="00920B68" w:rsidRPr="00364545" w:rsidRDefault="00920B68" w:rsidP="00920B68">
            <w:pPr>
              <w:spacing w:line="259" w:lineRule="auto"/>
              <w:rPr>
                <w:sz w:val="16"/>
              </w:rPr>
            </w:pPr>
            <w:r w:rsidRPr="00364545">
              <w:rPr>
                <w:b/>
                <w:color w:val="6D2A78"/>
                <w:sz w:val="16"/>
              </w:rPr>
              <w:t xml:space="preserve">Projected </w:t>
            </w:r>
          </w:p>
        </w:tc>
        <w:tc>
          <w:tcPr>
            <w:tcW w:w="670" w:type="dxa"/>
            <w:tcBorders>
              <w:top w:val="single" w:sz="2" w:space="0" w:color="000000"/>
              <w:left w:val="single" w:sz="2" w:space="0" w:color="000000"/>
              <w:bottom w:val="single" w:sz="2" w:space="0" w:color="000000"/>
              <w:right w:val="single" w:sz="2" w:space="0" w:color="000000"/>
            </w:tcBorders>
          </w:tcPr>
          <w:p w14:paraId="7D7C4712" w14:textId="77777777" w:rsidR="00920B68" w:rsidRPr="00364545" w:rsidRDefault="00920B68" w:rsidP="00920B68">
            <w:pPr>
              <w:spacing w:line="259" w:lineRule="auto"/>
              <w:rPr>
                <w:sz w:val="16"/>
              </w:rPr>
            </w:pPr>
            <w:r w:rsidRPr="00364545">
              <w:rPr>
                <w:b/>
                <w:color w:val="6D2A78"/>
                <w:sz w:val="16"/>
              </w:rPr>
              <w:t xml:space="preserve">Projected </w:t>
            </w:r>
          </w:p>
        </w:tc>
        <w:tc>
          <w:tcPr>
            <w:tcW w:w="670" w:type="dxa"/>
            <w:tcBorders>
              <w:top w:val="single" w:sz="2" w:space="0" w:color="000000"/>
              <w:left w:val="single" w:sz="2" w:space="0" w:color="000000"/>
              <w:bottom w:val="single" w:sz="2" w:space="0" w:color="000000"/>
              <w:right w:val="single" w:sz="2" w:space="0" w:color="000000"/>
            </w:tcBorders>
          </w:tcPr>
          <w:p w14:paraId="23BF6937" w14:textId="77777777" w:rsidR="00920B68" w:rsidRPr="00364545" w:rsidRDefault="00920B68" w:rsidP="00920B68">
            <w:pPr>
              <w:spacing w:line="259" w:lineRule="auto"/>
              <w:rPr>
                <w:b/>
                <w:color w:val="6D2A78"/>
                <w:sz w:val="16"/>
              </w:rPr>
            </w:pPr>
            <w:r w:rsidRPr="00364545">
              <w:rPr>
                <w:b/>
                <w:color w:val="6D2A78"/>
                <w:sz w:val="16"/>
              </w:rPr>
              <w:t>Projected</w:t>
            </w:r>
          </w:p>
        </w:tc>
      </w:tr>
      <w:tr w:rsidR="00920B68" w:rsidRPr="00364545" w14:paraId="0A7B587D" w14:textId="77777777" w:rsidTr="00920B68">
        <w:trPr>
          <w:trHeight w:val="327"/>
        </w:trPr>
        <w:tc>
          <w:tcPr>
            <w:tcW w:w="1328" w:type="dxa"/>
            <w:tcBorders>
              <w:top w:val="single" w:sz="2" w:space="0" w:color="000000"/>
              <w:left w:val="single" w:sz="2" w:space="0" w:color="000000"/>
              <w:bottom w:val="single" w:sz="2" w:space="0" w:color="000000"/>
              <w:right w:val="single" w:sz="2" w:space="0" w:color="000000"/>
            </w:tcBorders>
            <w:shd w:val="clear" w:color="auto" w:fill="ECE6E2"/>
          </w:tcPr>
          <w:p w14:paraId="466B16E2" w14:textId="77777777" w:rsidR="00920B68" w:rsidRPr="00364545" w:rsidRDefault="00920B68" w:rsidP="00920B68">
            <w:pPr>
              <w:spacing w:line="259" w:lineRule="auto"/>
            </w:pPr>
            <w:r w:rsidRPr="00364545">
              <w:rPr>
                <w:sz w:val="18"/>
              </w:rPr>
              <w:t xml:space="preserve">Energy industry </w:t>
            </w:r>
          </w:p>
        </w:tc>
        <w:tc>
          <w:tcPr>
            <w:tcW w:w="71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59B2A6"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sz w:val="16"/>
                <w:szCs w:val="16"/>
              </w:rPr>
              <w:t>66338</w:t>
            </w:r>
          </w:p>
        </w:tc>
        <w:tc>
          <w:tcPr>
            <w:tcW w:w="75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D274161" w14:textId="77777777" w:rsidR="00920B68" w:rsidRPr="00634E4C" w:rsidRDefault="00920B68" w:rsidP="00920B68">
            <w:pPr>
              <w:spacing w:line="259" w:lineRule="auto"/>
              <w:jc w:val="center"/>
              <w:rPr>
                <w:rFonts w:asciiTheme="majorHAnsi" w:hAnsiTheme="majorHAnsi"/>
                <w:sz w:val="16"/>
              </w:rPr>
            </w:pPr>
            <w:r w:rsidRPr="00664108">
              <w:rPr>
                <w:rFonts w:asciiTheme="majorHAnsi" w:hAnsiTheme="majorHAnsi"/>
                <w:sz w:val="16"/>
                <w:szCs w:val="16"/>
              </w:rPr>
              <w:t>55802</w:t>
            </w:r>
          </w:p>
        </w:tc>
        <w:tc>
          <w:tcPr>
            <w:tcW w:w="75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603ED1F"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sz w:val="16"/>
                <w:szCs w:val="16"/>
              </w:rPr>
              <w:t>62526</w:t>
            </w:r>
          </w:p>
        </w:tc>
        <w:tc>
          <w:tcPr>
            <w:tcW w:w="80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AC91A8"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sz w:val="16"/>
                <w:szCs w:val="16"/>
              </w:rPr>
              <w:t>66972</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A5CBA3D"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sz w:val="16"/>
                <w:szCs w:val="16"/>
              </w:rPr>
              <w:t>60134</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6198B0"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sz w:val="16"/>
                <w:szCs w:val="16"/>
              </w:rPr>
              <w:t>44988</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2B92AB"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sz w:val="16"/>
                <w:szCs w:val="16"/>
              </w:rPr>
              <w:t>41680</w:t>
            </w:r>
          </w:p>
        </w:tc>
        <w:tc>
          <w:tcPr>
            <w:tcW w:w="78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3A69832" w14:textId="77777777" w:rsidR="00920B68" w:rsidRPr="00364545" w:rsidRDefault="00920B68" w:rsidP="00920B68">
            <w:pPr>
              <w:spacing w:line="259" w:lineRule="auto"/>
              <w:ind w:left="108"/>
              <w:jc w:val="center"/>
              <w:rPr>
                <w:sz w:val="16"/>
                <w:szCs w:val="16"/>
              </w:rPr>
            </w:pPr>
            <w:r w:rsidRPr="00364545">
              <w:rPr>
                <w:sz w:val="16"/>
              </w:rPr>
              <w:t>49721</w:t>
            </w:r>
          </w:p>
        </w:tc>
        <w:tc>
          <w:tcPr>
            <w:tcW w:w="69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929631F" w14:textId="77777777" w:rsidR="00920B68" w:rsidRPr="00364545" w:rsidRDefault="00920B68" w:rsidP="00920B68">
            <w:pPr>
              <w:spacing w:line="259" w:lineRule="auto"/>
              <w:ind w:left="108"/>
              <w:jc w:val="center"/>
              <w:rPr>
                <w:sz w:val="16"/>
                <w:szCs w:val="16"/>
              </w:rPr>
            </w:pPr>
            <w:r w:rsidRPr="00364545">
              <w:rPr>
                <w:sz w:val="16"/>
              </w:rPr>
              <w:t>49450</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3CC7581" w14:textId="77777777" w:rsidR="00920B68" w:rsidRPr="00364545" w:rsidRDefault="00920B68" w:rsidP="00920B68">
            <w:pPr>
              <w:spacing w:line="259" w:lineRule="auto"/>
              <w:ind w:left="108"/>
              <w:jc w:val="center"/>
              <w:rPr>
                <w:sz w:val="16"/>
                <w:szCs w:val="16"/>
              </w:rPr>
            </w:pPr>
            <w:r w:rsidRPr="00364545">
              <w:rPr>
                <w:sz w:val="16"/>
              </w:rPr>
              <w:t>48836</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5C49627" w14:textId="77777777" w:rsidR="00920B68" w:rsidRPr="00364545" w:rsidRDefault="00920B68" w:rsidP="00920B68">
            <w:pPr>
              <w:spacing w:line="259" w:lineRule="auto"/>
              <w:ind w:left="108"/>
              <w:jc w:val="center"/>
              <w:rPr>
                <w:sz w:val="16"/>
                <w:szCs w:val="16"/>
              </w:rPr>
            </w:pPr>
            <w:r w:rsidRPr="00364545">
              <w:rPr>
                <w:sz w:val="16"/>
              </w:rPr>
              <w:t>48946</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1C12A2A" w14:textId="77777777" w:rsidR="00920B68" w:rsidRPr="00364545" w:rsidRDefault="00920B68" w:rsidP="00920B68">
            <w:pPr>
              <w:spacing w:line="259" w:lineRule="auto"/>
              <w:ind w:left="108"/>
              <w:jc w:val="center"/>
              <w:rPr>
                <w:sz w:val="16"/>
                <w:szCs w:val="16"/>
              </w:rPr>
            </w:pPr>
            <w:r w:rsidRPr="00364545">
              <w:rPr>
                <w:sz w:val="16"/>
              </w:rPr>
              <w:t>30247</w:t>
            </w:r>
          </w:p>
        </w:tc>
      </w:tr>
      <w:tr w:rsidR="00920B68" w:rsidRPr="00364545" w14:paraId="680D2859" w14:textId="77777777" w:rsidTr="00920B68">
        <w:trPr>
          <w:trHeight w:val="398"/>
        </w:trPr>
        <w:tc>
          <w:tcPr>
            <w:tcW w:w="1328" w:type="dxa"/>
            <w:tcBorders>
              <w:top w:val="single" w:sz="2" w:space="0" w:color="000000"/>
              <w:left w:val="single" w:sz="2" w:space="0" w:color="000000"/>
              <w:bottom w:val="single" w:sz="2" w:space="0" w:color="000000"/>
              <w:right w:val="single" w:sz="2" w:space="0" w:color="000000"/>
            </w:tcBorders>
          </w:tcPr>
          <w:p w14:paraId="38FE74F9" w14:textId="77777777" w:rsidR="00920B68" w:rsidRPr="00364545" w:rsidRDefault="00920B68" w:rsidP="00920B68">
            <w:pPr>
              <w:spacing w:line="259" w:lineRule="auto"/>
            </w:pPr>
            <w:r w:rsidRPr="00364545">
              <w:rPr>
                <w:sz w:val="18"/>
              </w:rPr>
              <w:t xml:space="preserve">Manufacturing and construction </w:t>
            </w:r>
          </w:p>
        </w:tc>
        <w:tc>
          <w:tcPr>
            <w:tcW w:w="714" w:type="dxa"/>
            <w:tcBorders>
              <w:top w:val="single" w:sz="2" w:space="0" w:color="000000"/>
              <w:left w:val="single" w:sz="2" w:space="0" w:color="000000"/>
              <w:bottom w:val="single" w:sz="2" w:space="0" w:color="000000"/>
              <w:right w:val="single" w:sz="2" w:space="0" w:color="000000"/>
            </w:tcBorders>
            <w:vAlign w:val="center"/>
          </w:tcPr>
          <w:p w14:paraId="14DA4BD4"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76164</w:t>
            </w:r>
          </w:p>
        </w:tc>
        <w:tc>
          <w:tcPr>
            <w:tcW w:w="759" w:type="dxa"/>
            <w:tcBorders>
              <w:top w:val="single" w:sz="2" w:space="0" w:color="000000"/>
              <w:left w:val="single" w:sz="2" w:space="0" w:color="000000"/>
              <w:bottom w:val="single" w:sz="2" w:space="0" w:color="000000"/>
              <w:right w:val="single" w:sz="2" w:space="0" w:color="000000"/>
            </w:tcBorders>
            <w:vAlign w:val="center"/>
          </w:tcPr>
          <w:p w14:paraId="159BAF8D" w14:textId="77777777" w:rsidR="00920B68" w:rsidRPr="00634E4C" w:rsidRDefault="00920B68" w:rsidP="00920B68">
            <w:pPr>
              <w:spacing w:line="259" w:lineRule="auto"/>
              <w:jc w:val="center"/>
              <w:rPr>
                <w:rFonts w:asciiTheme="majorHAnsi" w:hAnsiTheme="majorHAnsi"/>
                <w:sz w:val="16"/>
              </w:rPr>
            </w:pPr>
            <w:r w:rsidRPr="00664108">
              <w:rPr>
                <w:rFonts w:asciiTheme="majorHAnsi" w:hAnsiTheme="majorHAnsi" w:cs="Calibri"/>
                <w:color w:val="000000"/>
                <w:sz w:val="16"/>
                <w:szCs w:val="16"/>
              </w:rPr>
              <w:t>80423</w:t>
            </w:r>
          </w:p>
        </w:tc>
        <w:tc>
          <w:tcPr>
            <w:tcW w:w="759" w:type="dxa"/>
            <w:tcBorders>
              <w:top w:val="single" w:sz="2" w:space="0" w:color="000000"/>
              <w:left w:val="single" w:sz="2" w:space="0" w:color="000000"/>
              <w:bottom w:val="single" w:sz="2" w:space="0" w:color="000000"/>
              <w:right w:val="single" w:sz="2" w:space="0" w:color="000000"/>
            </w:tcBorders>
            <w:vAlign w:val="center"/>
          </w:tcPr>
          <w:p w14:paraId="10AA7C28"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75532</w:t>
            </w:r>
          </w:p>
        </w:tc>
        <w:tc>
          <w:tcPr>
            <w:tcW w:w="805" w:type="dxa"/>
            <w:tcBorders>
              <w:top w:val="single" w:sz="2" w:space="0" w:color="000000"/>
              <w:left w:val="single" w:sz="2" w:space="0" w:color="000000"/>
              <w:bottom w:val="single" w:sz="2" w:space="0" w:color="000000"/>
              <w:right w:val="single" w:sz="2" w:space="0" w:color="000000"/>
            </w:tcBorders>
            <w:vAlign w:val="center"/>
          </w:tcPr>
          <w:p w14:paraId="7769CC64"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71990</w:t>
            </w:r>
          </w:p>
        </w:tc>
        <w:tc>
          <w:tcPr>
            <w:tcW w:w="803" w:type="dxa"/>
            <w:tcBorders>
              <w:top w:val="single" w:sz="2" w:space="0" w:color="000000"/>
              <w:left w:val="single" w:sz="2" w:space="0" w:color="000000"/>
              <w:bottom w:val="single" w:sz="2" w:space="0" w:color="000000"/>
              <w:right w:val="single" w:sz="2" w:space="0" w:color="000000"/>
            </w:tcBorders>
            <w:vAlign w:val="center"/>
          </w:tcPr>
          <w:p w14:paraId="30D30B92"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62105</w:t>
            </w:r>
          </w:p>
        </w:tc>
        <w:tc>
          <w:tcPr>
            <w:tcW w:w="670" w:type="dxa"/>
            <w:tcBorders>
              <w:top w:val="single" w:sz="2" w:space="0" w:color="000000"/>
              <w:left w:val="single" w:sz="2" w:space="0" w:color="000000"/>
              <w:bottom w:val="single" w:sz="2" w:space="0" w:color="000000"/>
              <w:right w:val="single" w:sz="2" w:space="0" w:color="000000"/>
            </w:tcBorders>
            <w:vAlign w:val="center"/>
          </w:tcPr>
          <w:p w14:paraId="2B6FA19A"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51963</w:t>
            </w:r>
          </w:p>
        </w:tc>
        <w:tc>
          <w:tcPr>
            <w:tcW w:w="803" w:type="dxa"/>
            <w:tcBorders>
              <w:top w:val="single" w:sz="2" w:space="0" w:color="000000"/>
              <w:left w:val="single" w:sz="2" w:space="0" w:color="000000"/>
              <w:bottom w:val="single" w:sz="2" w:space="0" w:color="000000"/>
              <w:right w:val="single" w:sz="2" w:space="0" w:color="000000"/>
            </w:tcBorders>
            <w:vAlign w:val="center"/>
          </w:tcPr>
          <w:p w14:paraId="7497684F"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48031</w:t>
            </w:r>
          </w:p>
        </w:tc>
        <w:tc>
          <w:tcPr>
            <w:tcW w:w="783" w:type="dxa"/>
            <w:tcBorders>
              <w:top w:val="single" w:sz="2" w:space="0" w:color="000000"/>
              <w:left w:val="single" w:sz="2" w:space="0" w:color="000000"/>
              <w:bottom w:val="single" w:sz="2" w:space="0" w:color="000000"/>
              <w:right w:val="single" w:sz="2" w:space="0" w:color="000000"/>
            </w:tcBorders>
            <w:vAlign w:val="center"/>
          </w:tcPr>
          <w:p w14:paraId="6F8996F5" w14:textId="77777777" w:rsidR="00920B68" w:rsidRPr="00364545" w:rsidRDefault="00920B68" w:rsidP="00920B68">
            <w:pPr>
              <w:spacing w:line="259" w:lineRule="auto"/>
              <w:ind w:left="108"/>
              <w:jc w:val="center"/>
              <w:rPr>
                <w:sz w:val="16"/>
                <w:szCs w:val="16"/>
              </w:rPr>
            </w:pPr>
            <w:r w:rsidRPr="00364545">
              <w:rPr>
                <w:sz w:val="16"/>
              </w:rPr>
              <w:t>47344</w:t>
            </w:r>
          </w:p>
        </w:tc>
        <w:tc>
          <w:tcPr>
            <w:tcW w:w="692" w:type="dxa"/>
            <w:tcBorders>
              <w:top w:val="single" w:sz="2" w:space="0" w:color="000000"/>
              <w:left w:val="single" w:sz="2" w:space="0" w:color="000000"/>
              <w:bottom w:val="single" w:sz="2" w:space="0" w:color="000000"/>
              <w:right w:val="single" w:sz="2" w:space="0" w:color="000000"/>
            </w:tcBorders>
            <w:vAlign w:val="center"/>
          </w:tcPr>
          <w:p w14:paraId="0C712360" w14:textId="77777777" w:rsidR="00920B68" w:rsidRPr="00364545" w:rsidRDefault="00920B68" w:rsidP="00920B68">
            <w:pPr>
              <w:spacing w:line="259" w:lineRule="auto"/>
              <w:ind w:left="108"/>
              <w:jc w:val="center"/>
              <w:rPr>
                <w:sz w:val="16"/>
                <w:szCs w:val="16"/>
              </w:rPr>
            </w:pPr>
            <w:r w:rsidRPr="00364545">
              <w:rPr>
                <w:sz w:val="16"/>
              </w:rPr>
              <w:t>49895</w:t>
            </w:r>
          </w:p>
        </w:tc>
        <w:tc>
          <w:tcPr>
            <w:tcW w:w="803" w:type="dxa"/>
            <w:tcBorders>
              <w:top w:val="single" w:sz="2" w:space="0" w:color="000000"/>
              <w:left w:val="single" w:sz="2" w:space="0" w:color="000000"/>
              <w:bottom w:val="single" w:sz="2" w:space="0" w:color="000000"/>
              <w:right w:val="single" w:sz="2" w:space="0" w:color="000000"/>
            </w:tcBorders>
            <w:vAlign w:val="center"/>
          </w:tcPr>
          <w:p w14:paraId="6B66E2C7" w14:textId="77777777" w:rsidR="00920B68" w:rsidRPr="00364545" w:rsidRDefault="00920B68" w:rsidP="00920B68">
            <w:pPr>
              <w:spacing w:line="259" w:lineRule="auto"/>
              <w:ind w:left="108"/>
              <w:jc w:val="center"/>
              <w:rPr>
                <w:sz w:val="16"/>
                <w:szCs w:val="16"/>
              </w:rPr>
            </w:pPr>
            <w:r w:rsidRPr="00364545">
              <w:rPr>
                <w:sz w:val="16"/>
              </w:rPr>
              <w:t>48956</w:t>
            </w:r>
          </w:p>
        </w:tc>
        <w:tc>
          <w:tcPr>
            <w:tcW w:w="670" w:type="dxa"/>
            <w:tcBorders>
              <w:top w:val="single" w:sz="2" w:space="0" w:color="000000"/>
              <w:left w:val="single" w:sz="2" w:space="0" w:color="000000"/>
              <w:bottom w:val="single" w:sz="2" w:space="0" w:color="000000"/>
              <w:right w:val="single" w:sz="2" w:space="0" w:color="000000"/>
            </w:tcBorders>
            <w:vAlign w:val="center"/>
          </w:tcPr>
          <w:p w14:paraId="6516E261" w14:textId="77777777" w:rsidR="00920B68" w:rsidRPr="00364545" w:rsidRDefault="00920B68" w:rsidP="00920B68">
            <w:pPr>
              <w:spacing w:line="259" w:lineRule="auto"/>
              <w:ind w:left="108"/>
              <w:jc w:val="center"/>
              <w:rPr>
                <w:sz w:val="16"/>
                <w:szCs w:val="16"/>
              </w:rPr>
            </w:pPr>
            <w:r w:rsidRPr="00364545">
              <w:rPr>
                <w:sz w:val="16"/>
              </w:rPr>
              <w:t>49242</w:t>
            </w:r>
          </w:p>
        </w:tc>
        <w:tc>
          <w:tcPr>
            <w:tcW w:w="670" w:type="dxa"/>
            <w:tcBorders>
              <w:top w:val="single" w:sz="2" w:space="0" w:color="000000"/>
              <w:left w:val="single" w:sz="2" w:space="0" w:color="000000"/>
              <w:bottom w:val="single" w:sz="2" w:space="0" w:color="000000"/>
              <w:right w:val="single" w:sz="2" w:space="0" w:color="000000"/>
            </w:tcBorders>
            <w:vAlign w:val="center"/>
          </w:tcPr>
          <w:p w14:paraId="39F78745" w14:textId="77777777" w:rsidR="00920B68" w:rsidRPr="00364545" w:rsidRDefault="00920B68" w:rsidP="00920B68">
            <w:pPr>
              <w:spacing w:line="259" w:lineRule="auto"/>
              <w:ind w:left="108"/>
              <w:jc w:val="center"/>
              <w:rPr>
                <w:sz w:val="16"/>
                <w:szCs w:val="16"/>
              </w:rPr>
            </w:pPr>
            <w:r w:rsidRPr="00364545">
              <w:rPr>
                <w:sz w:val="16"/>
              </w:rPr>
              <w:t>50182</w:t>
            </w:r>
          </w:p>
        </w:tc>
      </w:tr>
      <w:tr w:rsidR="00920B68" w:rsidRPr="00364545" w14:paraId="01BD628C" w14:textId="77777777" w:rsidTr="00920B68">
        <w:trPr>
          <w:trHeight w:val="327"/>
        </w:trPr>
        <w:tc>
          <w:tcPr>
            <w:tcW w:w="1328" w:type="dxa"/>
            <w:tcBorders>
              <w:top w:val="single" w:sz="2" w:space="0" w:color="000000"/>
              <w:left w:val="single" w:sz="2" w:space="0" w:color="000000"/>
              <w:bottom w:val="single" w:sz="2" w:space="0" w:color="000000"/>
              <w:right w:val="single" w:sz="2" w:space="0" w:color="000000"/>
            </w:tcBorders>
            <w:shd w:val="clear" w:color="auto" w:fill="ECE6E2"/>
          </w:tcPr>
          <w:p w14:paraId="5BD1C6B5" w14:textId="77777777" w:rsidR="00920B68" w:rsidRPr="00364545" w:rsidRDefault="00920B68" w:rsidP="00920B68">
            <w:pPr>
              <w:spacing w:line="259" w:lineRule="auto"/>
            </w:pPr>
            <w:r w:rsidRPr="00364545">
              <w:rPr>
                <w:sz w:val="18"/>
              </w:rPr>
              <w:t xml:space="preserve">Transport </w:t>
            </w:r>
          </w:p>
        </w:tc>
        <w:tc>
          <w:tcPr>
            <w:tcW w:w="71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C0E892"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sz w:val="16"/>
                <w:szCs w:val="16"/>
              </w:rPr>
              <w:t>122293</w:t>
            </w:r>
          </w:p>
        </w:tc>
        <w:tc>
          <w:tcPr>
            <w:tcW w:w="75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A6E236" w14:textId="77777777" w:rsidR="00920B68" w:rsidRPr="00634E4C" w:rsidRDefault="00920B68" w:rsidP="00920B68">
            <w:pPr>
              <w:spacing w:line="259" w:lineRule="auto"/>
              <w:jc w:val="center"/>
              <w:rPr>
                <w:rFonts w:asciiTheme="majorHAnsi" w:hAnsiTheme="majorHAnsi"/>
                <w:sz w:val="16"/>
              </w:rPr>
            </w:pPr>
            <w:r w:rsidRPr="00664108">
              <w:rPr>
                <w:rFonts w:asciiTheme="majorHAnsi" w:hAnsiTheme="majorHAnsi"/>
                <w:sz w:val="16"/>
                <w:szCs w:val="16"/>
              </w:rPr>
              <w:t>132329</w:t>
            </w:r>
          </w:p>
        </w:tc>
        <w:tc>
          <w:tcPr>
            <w:tcW w:w="75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40FBCC"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sz w:val="16"/>
                <w:szCs w:val="16"/>
              </w:rPr>
              <w:t>141051</w:t>
            </w:r>
          </w:p>
        </w:tc>
        <w:tc>
          <w:tcPr>
            <w:tcW w:w="80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9089435"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sz w:val="16"/>
                <w:szCs w:val="16"/>
              </w:rPr>
              <w:t>142041</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2A7997"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sz w:val="16"/>
                <w:szCs w:val="16"/>
              </w:rPr>
              <w:t>133750</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D876283"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sz w:val="16"/>
                <w:szCs w:val="16"/>
              </w:rPr>
              <w:t>133744</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DAE81A" w14:textId="77777777" w:rsidR="00920B68" w:rsidRPr="00634E4C" w:rsidRDefault="00920B68" w:rsidP="00920B68">
            <w:pPr>
              <w:spacing w:line="259" w:lineRule="auto"/>
              <w:ind w:left="62"/>
              <w:jc w:val="center"/>
              <w:rPr>
                <w:rFonts w:asciiTheme="majorHAnsi" w:hAnsiTheme="majorHAnsi"/>
                <w:sz w:val="16"/>
              </w:rPr>
            </w:pPr>
            <w:r w:rsidRPr="00664108">
              <w:rPr>
                <w:rFonts w:asciiTheme="majorHAnsi" w:hAnsiTheme="majorHAnsi"/>
                <w:sz w:val="16"/>
                <w:szCs w:val="16"/>
              </w:rPr>
              <w:t>131725</w:t>
            </w:r>
          </w:p>
        </w:tc>
        <w:tc>
          <w:tcPr>
            <w:tcW w:w="78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206DCDF" w14:textId="77777777" w:rsidR="00920B68" w:rsidRPr="00364545" w:rsidRDefault="00920B68" w:rsidP="00920B68">
            <w:pPr>
              <w:spacing w:line="259" w:lineRule="auto"/>
              <w:ind w:left="62"/>
              <w:jc w:val="center"/>
              <w:rPr>
                <w:sz w:val="16"/>
                <w:szCs w:val="16"/>
              </w:rPr>
            </w:pPr>
            <w:r w:rsidRPr="00364545">
              <w:rPr>
                <w:sz w:val="16"/>
              </w:rPr>
              <w:t>104084</w:t>
            </w:r>
          </w:p>
        </w:tc>
        <w:tc>
          <w:tcPr>
            <w:tcW w:w="69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C545665" w14:textId="77777777" w:rsidR="00920B68" w:rsidRPr="00364545" w:rsidRDefault="00920B68" w:rsidP="00920B68">
            <w:pPr>
              <w:spacing w:line="259" w:lineRule="auto"/>
              <w:ind w:left="62"/>
              <w:jc w:val="center"/>
              <w:rPr>
                <w:sz w:val="16"/>
                <w:szCs w:val="16"/>
              </w:rPr>
            </w:pPr>
            <w:r w:rsidRPr="00364545">
              <w:rPr>
                <w:sz w:val="16"/>
              </w:rPr>
              <w:t>114627</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A830C14" w14:textId="77777777" w:rsidR="00920B68" w:rsidRPr="00364545" w:rsidRDefault="00920B68" w:rsidP="00920B68">
            <w:pPr>
              <w:spacing w:line="259" w:lineRule="auto"/>
              <w:ind w:left="62"/>
              <w:jc w:val="center"/>
              <w:rPr>
                <w:sz w:val="16"/>
                <w:szCs w:val="16"/>
              </w:rPr>
            </w:pPr>
            <w:r w:rsidRPr="00364545">
              <w:rPr>
                <w:sz w:val="16"/>
              </w:rPr>
              <w:t>102181</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0731543" w14:textId="77777777" w:rsidR="00920B68" w:rsidRPr="00364545" w:rsidRDefault="00920B68" w:rsidP="00920B68">
            <w:pPr>
              <w:spacing w:line="259" w:lineRule="auto"/>
              <w:ind w:left="62"/>
              <w:jc w:val="center"/>
              <w:rPr>
                <w:sz w:val="16"/>
                <w:szCs w:val="16"/>
              </w:rPr>
            </w:pPr>
            <w:r w:rsidRPr="00364545">
              <w:rPr>
                <w:sz w:val="16"/>
              </w:rPr>
              <w:t>96593</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A037572" w14:textId="77777777" w:rsidR="00920B68" w:rsidRPr="00364545" w:rsidRDefault="00920B68" w:rsidP="00920B68">
            <w:pPr>
              <w:spacing w:line="259" w:lineRule="auto"/>
              <w:ind w:left="62"/>
              <w:jc w:val="center"/>
              <w:rPr>
                <w:sz w:val="16"/>
                <w:szCs w:val="16"/>
              </w:rPr>
            </w:pPr>
            <w:r w:rsidRPr="00364545">
              <w:rPr>
                <w:sz w:val="16"/>
              </w:rPr>
              <w:t>83729</w:t>
            </w:r>
          </w:p>
        </w:tc>
      </w:tr>
      <w:tr w:rsidR="00920B68" w:rsidRPr="00364545" w14:paraId="3B59AD4F" w14:textId="77777777" w:rsidTr="00920B68">
        <w:trPr>
          <w:trHeight w:val="596"/>
        </w:trPr>
        <w:tc>
          <w:tcPr>
            <w:tcW w:w="1328" w:type="dxa"/>
            <w:tcBorders>
              <w:top w:val="single" w:sz="2" w:space="0" w:color="000000"/>
              <w:left w:val="single" w:sz="2" w:space="0" w:color="000000"/>
              <w:bottom w:val="single" w:sz="2" w:space="0" w:color="000000"/>
              <w:right w:val="single" w:sz="2" w:space="0" w:color="000000"/>
            </w:tcBorders>
          </w:tcPr>
          <w:p w14:paraId="597A36F3" w14:textId="77777777" w:rsidR="00920B68" w:rsidRPr="00364545" w:rsidRDefault="00920B68" w:rsidP="00920B68">
            <w:pPr>
              <w:spacing w:line="259" w:lineRule="auto"/>
            </w:pPr>
            <w:r w:rsidRPr="00364545">
              <w:rPr>
                <w:sz w:val="18"/>
              </w:rPr>
              <w:t xml:space="preserve">Other sectors </w:t>
            </w:r>
          </w:p>
          <w:p w14:paraId="409AFAEC" w14:textId="77777777" w:rsidR="00920B68" w:rsidRPr="00364545" w:rsidRDefault="00920B68" w:rsidP="00920B68">
            <w:pPr>
              <w:spacing w:line="259" w:lineRule="auto"/>
            </w:pPr>
            <w:r w:rsidRPr="00364545">
              <w:rPr>
                <w:sz w:val="18"/>
              </w:rPr>
              <w:t xml:space="preserve">(residential, tertiary, agriculture) </w:t>
            </w:r>
          </w:p>
        </w:tc>
        <w:tc>
          <w:tcPr>
            <w:tcW w:w="714" w:type="dxa"/>
            <w:tcBorders>
              <w:top w:val="single" w:sz="2" w:space="0" w:color="000000"/>
              <w:left w:val="single" w:sz="2" w:space="0" w:color="000000"/>
              <w:bottom w:val="single" w:sz="2" w:space="0" w:color="000000"/>
              <w:right w:val="single" w:sz="2" w:space="0" w:color="000000"/>
            </w:tcBorders>
            <w:vAlign w:val="center"/>
          </w:tcPr>
          <w:p w14:paraId="1498F6C5"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cs="Calibri"/>
                <w:color w:val="000000"/>
                <w:sz w:val="16"/>
                <w:szCs w:val="16"/>
              </w:rPr>
              <w:t>102477</w:t>
            </w:r>
          </w:p>
        </w:tc>
        <w:tc>
          <w:tcPr>
            <w:tcW w:w="759" w:type="dxa"/>
            <w:tcBorders>
              <w:top w:val="single" w:sz="2" w:space="0" w:color="000000"/>
              <w:left w:val="single" w:sz="2" w:space="0" w:color="000000"/>
              <w:bottom w:val="single" w:sz="2" w:space="0" w:color="000000"/>
              <w:right w:val="single" w:sz="2" w:space="0" w:color="000000"/>
            </w:tcBorders>
            <w:vAlign w:val="center"/>
          </w:tcPr>
          <w:p w14:paraId="4B3F9E89" w14:textId="77777777" w:rsidR="00920B68" w:rsidRPr="00634E4C" w:rsidRDefault="00920B68" w:rsidP="00920B68">
            <w:pPr>
              <w:spacing w:line="259" w:lineRule="auto"/>
              <w:jc w:val="center"/>
              <w:rPr>
                <w:rFonts w:asciiTheme="majorHAnsi" w:hAnsiTheme="majorHAnsi"/>
                <w:sz w:val="16"/>
              </w:rPr>
            </w:pPr>
            <w:r w:rsidRPr="00664108">
              <w:rPr>
                <w:rFonts w:asciiTheme="majorHAnsi" w:hAnsiTheme="majorHAnsi" w:cs="Calibri"/>
                <w:color w:val="000000"/>
                <w:sz w:val="16"/>
                <w:szCs w:val="16"/>
              </w:rPr>
              <w:t>97525</w:t>
            </w:r>
          </w:p>
        </w:tc>
        <w:tc>
          <w:tcPr>
            <w:tcW w:w="759" w:type="dxa"/>
            <w:tcBorders>
              <w:top w:val="single" w:sz="2" w:space="0" w:color="000000"/>
              <w:left w:val="single" w:sz="2" w:space="0" w:color="000000"/>
              <w:bottom w:val="single" w:sz="2" w:space="0" w:color="000000"/>
              <w:right w:val="single" w:sz="2" w:space="0" w:color="000000"/>
            </w:tcBorders>
            <w:vAlign w:val="center"/>
          </w:tcPr>
          <w:p w14:paraId="62B1C5BC"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cs="Calibri"/>
                <w:color w:val="000000"/>
                <w:sz w:val="16"/>
                <w:szCs w:val="16"/>
              </w:rPr>
              <w:t>102881</w:t>
            </w:r>
          </w:p>
        </w:tc>
        <w:tc>
          <w:tcPr>
            <w:tcW w:w="805" w:type="dxa"/>
            <w:tcBorders>
              <w:top w:val="single" w:sz="2" w:space="0" w:color="000000"/>
              <w:left w:val="single" w:sz="2" w:space="0" w:color="000000"/>
              <w:bottom w:val="single" w:sz="2" w:space="0" w:color="000000"/>
              <w:right w:val="single" w:sz="2" w:space="0" w:color="000000"/>
            </w:tcBorders>
            <w:vAlign w:val="center"/>
          </w:tcPr>
          <w:p w14:paraId="58FBA093" w14:textId="77777777" w:rsidR="00920B68" w:rsidRPr="00634E4C" w:rsidRDefault="00920B68" w:rsidP="00920B68">
            <w:pPr>
              <w:spacing w:line="259" w:lineRule="auto"/>
              <w:ind w:left="62"/>
              <w:jc w:val="center"/>
              <w:rPr>
                <w:rFonts w:asciiTheme="majorHAnsi" w:hAnsiTheme="majorHAnsi"/>
                <w:sz w:val="16"/>
              </w:rPr>
            </w:pPr>
            <w:r w:rsidRPr="00664108">
              <w:rPr>
                <w:rFonts w:asciiTheme="majorHAnsi" w:hAnsiTheme="majorHAnsi" w:cs="Calibri"/>
                <w:color w:val="000000"/>
                <w:sz w:val="16"/>
                <w:szCs w:val="16"/>
              </w:rPr>
              <w:t>109388</w:t>
            </w:r>
          </w:p>
        </w:tc>
        <w:tc>
          <w:tcPr>
            <w:tcW w:w="803" w:type="dxa"/>
            <w:tcBorders>
              <w:top w:val="single" w:sz="2" w:space="0" w:color="000000"/>
              <w:left w:val="single" w:sz="2" w:space="0" w:color="000000"/>
              <w:bottom w:val="single" w:sz="2" w:space="0" w:color="000000"/>
              <w:right w:val="single" w:sz="2" w:space="0" w:color="000000"/>
            </w:tcBorders>
            <w:vAlign w:val="center"/>
          </w:tcPr>
          <w:p w14:paraId="484C1B17" w14:textId="77777777" w:rsidR="00920B68" w:rsidRPr="00634E4C" w:rsidRDefault="00920B68" w:rsidP="00920B68">
            <w:pPr>
              <w:spacing w:line="259" w:lineRule="auto"/>
              <w:ind w:left="58"/>
              <w:jc w:val="center"/>
              <w:rPr>
                <w:rFonts w:asciiTheme="majorHAnsi" w:hAnsiTheme="majorHAnsi"/>
                <w:sz w:val="16"/>
              </w:rPr>
            </w:pPr>
            <w:r w:rsidRPr="00664108">
              <w:rPr>
                <w:rFonts w:asciiTheme="majorHAnsi" w:hAnsiTheme="majorHAnsi" w:cs="Calibri"/>
                <w:color w:val="000000"/>
                <w:sz w:val="16"/>
                <w:szCs w:val="16"/>
              </w:rPr>
              <w:t>101722</w:t>
            </w:r>
          </w:p>
        </w:tc>
        <w:tc>
          <w:tcPr>
            <w:tcW w:w="670" w:type="dxa"/>
            <w:tcBorders>
              <w:top w:val="single" w:sz="2" w:space="0" w:color="000000"/>
              <w:left w:val="single" w:sz="2" w:space="0" w:color="000000"/>
              <w:bottom w:val="single" w:sz="2" w:space="0" w:color="000000"/>
              <w:right w:val="single" w:sz="2" w:space="0" w:color="000000"/>
            </w:tcBorders>
            <w:vAlign w:val="center"/>
          </w:tcPr>
          <w:p w14:paraId="2AB82C94"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82940</w:t>
            </w:r>
          </w:p>
        </w:tc>
        <w:tc>
          <w:tcPr>
            <w:tcW w:w="803" w:type="dxa"/>
            <w:tcBorders>
              <w:top w:val="single" w:sz="2" w:space="0" w:color="000000"/>
              <w:left w:val="single" w:sz="2" w:space="0" w:color="000000"/>
              <w:bottom w:val="single" w:sz="2" w:space="0" w:color="000000"/>
              <w:right w:val="single" w:sz="2" w:space="0" w:color="000000"/>
            </w:tcBorders>
            <w:vAlign w:val="center"/>
          </w:tcPr>
          <w:p w14:paraId="769300D4" w14:textId="77777777" w:rsidR="00920B68" w:rsidRPr="00634E4C" w:rsidRDefault="00920B68" w:rsidP="00920B68">
            <w:pPr>
              <w:spacing w:line="259" w:lineRule="auto"/>
              <w:ind w:left="108"/>
              <w:jc w:val="center"/>
              <w:rPr>
                <w:rFonts w:asciiTheme="majorHAnsi" w:hAnsiTheme="majorHAnsi"/>
                <w:sz w:val="16"/>
              </w:rPr>
            </w:pPr>
            <w:r w:rsidRPr="00664108">
              <w:rPr>
                <w:rFonts w:asciiTheme="majorHAnsi" w:hAnsiTheme="majorHAnsi" w:cs="Calibri"/>
                <w:color w:val="000000"/>
                <w:sz w:val="16"/>
                <w:szCs w:val="16"/>
              </w:rPr>
              <w:t>75877</w:t>
            </w:r>
          </w:p>
        </w:tc>
        <w:tc>
          <w:tcPr>
            <w:tcW w:w="783" w:type="dxa"/>
            <w:tcBorders>
              <w:top w:val="single" w:sz="2" w:space="0" w:color="000000"/>
              <w:left w:val="single" w:sz="2" w:space="0" w:color="000000"/>
              <w:bottom w:val="single" w:sz="2" w:space="0" w:color="000000"/>
              <w:right w:val="single" w:sz="2" w:space="0" w:color="000000"/>
            </w:tcBorders>
            <w:vAlign w:val="center"/>
          </w:tcPr>
          <w:p w14:paraId="0093C7C5" w14:textId="77777777" w:rsidR="00920B68" w:rsidRPr="00364545" w:rsidRDefault="00920B68" w:rsidP="00920B68">
            <w:pPr>
              <w:spacing w:line="259" w:lineRule="auto"/>
              <w:ind w:left="108"/>
              <w:jc w:val="center"/>
              <w:rPr>
                <w:sz w:val="16"/>
                <w:szCs w:val="16"/>
              </w:rPr>
            </w:pPr>
            <w:r w:rsidRPr="00364545">
              <w:rPr>
                <w:sz w:val="16"/>
              </w:rPr>
              <w:t>73985</w:t>
            </w:r>
          </w:p>
        </w:tc>
        <w:tc>
          <w:tcPr>
            <w:tcW w:w="692" w:type="dxa"/>
            <w:tcBorders>
              <w:top w:val="single" w:sz="2" w:space="0" w:color="000000"/>
              <w:left w:val="single" w:sz="2" w:space="0" w:color="000000"/>
              <w:bottom w:val="single" w:sz="2" w:space="0" w:color="000000"/>
              <w:right w:val="single" w:sz="2" w:space="0" w:color="000000"/>
            </w:tcBorders>
            <w:vAlign w:val="center"/>
          </w:tcPr>
          <w:p w14:paraId="406382B2" w14:textId="77777777" w:rsidR="00920B68" w:rsidRPr="00364545" w:rsidRDefault="00920B68" w:rsidP="00920B68">
            <w:pPr>
              <w:spacing w:line="259" w:lineRule="auto"/>
              <w:ind w:left="108"/>
              <w:jc w:val="center"/>
              <w:rPr>
                <w:sz w:val="16"/>
                <w:szCs w:val="16"/>
              </w:rPr>
            </w:pPr>
            <w:r w:rsidRPr="00364545">
              <w:rPr>
                <w:sz w:val="16"/>
              </w:rPr>
              <w:t>67291</w:t>
            </w:r>
          </w:p>
        </w:tc>
        <w:tc>
          <w:tcPr>
            <w:tcW w:w="803" w:type="dxa"/>
            <w:tcBorders>
              <w:top w:val="single" w:sz="2" w:space="0" w:color="000000"/>
              <w:left w:val="single" w:sz="2" w:space="0" w:color="000000"/>
              <w:bottom w:val="single" w:sz="2" w:space="0" w:color="000000"/>
              <w:right w:val="single" w:sz="2" w:space="0" w:color="000000"/>
            </w:tcBorders>
            <w:vAlign w:val="center"/>
          </w:tcPr>
          <w:p w14:paraId="4499ADFF" w14:textId="77777777" w:rsidR="00920B68" w:rsidRPr="00364545" w:rsidRDefault="00920B68" w:rsidP="00920B68">
            <w:pPr>
              <w:spacing w:line="259" w:lineRule="auto"/>
              <w:ind w:left="113"/>
              <w:jc w:val="center"/>
              <w:rPr>
                <w:sz w:val="16"/>
                <w:szCs w:val="16"/>
              </w:rPr>
            </w:pPr>
            <w:r w:rsidRPr="00364545">
              <w:rPr>
                <w:sz w:val="16"/>
              </w:rPr>
              <w:t>60718</w:t>
            </w:r>
          </w:p>
        </w:tc>
        <w:tc>
          <w:tcPr>
            <w:tcW w:w="670" w:type="dxa"/>
            <w:tcBorders>
              <w:top w:val="single" w:sz="2" w:space="0" w:color="000000"/>
              <w:left w:val="single" w:sz="2" w:space="0" w:color="000000"/>
              <w:bottom w:val="single" w:sz="2" w:space="0" w:color="000000"/>
              <w:right w:val="single" w:sz="2" w:space="0" w:color="000000"/>
            </w:tcBorders>
            <w:vAlign w:val="center"/>
          </w:tcPr>
          <w:p w14:paraId="56B4F1F1" w14:textId="77777777" w:rsidR="00920B68" w:rsidRPr="00364545" w:rsidRDefault="00920B68" w:rsidP="00920B68">
            <w:pPr>
              <w:spacing w:line="259" w:lineRule="auto"/>
              <w:ind w:left="108"/>
              <w:jc w:val="center"/>
              <w:rPr>
                <w:sz w:val="16"/>
                <w:szCs w:val="16"/>
              </w:rPr>
            </w:pPr>
            <w:r w:rsidRPr="00364545">
              <w:rPr>
                <w:sz w:val="16"/>
              </w:rPr>
              <w:t>57402</w:t>
            </w:r>
          </w:p>
        </w:tc>
        <w:tc>
          <w:tcPr>
            <w:tcW w:w="670" w:type="dxa"/>
            <w:tcBorders>
              <w:top w:val="single" w:sz="2" w:space="0" w:color="000000"/>
              <w:left w:val="single" w:sz="2" w:space="0" w:color="000000"/>
              <w:bottom w:val="single" w:sz="2" w:space="0" w:color="000000"/>
              <w:right w:val="single" w:sz="2" w:space="0" w:color="000000"/>
            </w:tcBorders>
            <w:vAlign w:val="center"/>
          </w:tcPr>
          <w:p w14:paraId="76B29060" w14:textId="77777777" w:rsidR="00920B68" w:rsidRPr="00364545" w:rsidRDefault="00920B68" w:rsidP="00920B68">
            <w:pPr>
              <w:spacing w:line="259" w:lineRule="auto"/>
              <w:ind w:left="108"/>
              <w:jc w:val="center"/>
              <w:rPr>
                <w:sz w:val="16"/>
                <w:szCs w:val="16"/>
              </w:rPr>
            </w:pPr>
            <w:r w:rsidRPr="00364545">
              <w:rPr>
                <w:sz w:val="16"/>
              </w:rPr>
              <w:t>47041</w:t>
            </w:r>
          </w:p>
        </w:tc>
      </w:tr>
      <w:tr w:rsidR="00920B68" w:rsidRPr="00364545" w14:paraId="045C5DBD" w14:textId="77777777" w:rsidTr="00920B68">
        <w:trPr>
          <w:trHeight w:val="327"/>
        </w:trPr>
        <w:tc>
          <w:tcPr>
            <w:tcW w:w="1328" w:type="dxa"/>
            <w:tcBorders>
              <w:top w:val="single" w:sz="2" w:space="0" w:color="000000"/>
              <w:left w:val="single" w:sz="2" w:space="0" w:color="000000"/>
              <w:bottom w:val="single" w:sz="2" w:space="0" w:color="000000"/>
              <w:right w:val="single" w:sz="2" w:space="0" w:color="000000"/>
            </w:tcBorders>
            <w:shd w:val="clear" w:color="auto" w:fill="ECE6E2"/>
          </w:tcPr>
          <w:p w14:paraId="7A5A820B" w14:textId="77777777" w:rsidR="00920B68" w:rsidRPr="00364545" w:rsidRDefault="00920B68" w:rsidP="00920B68">
            <w:pPr>
              <w:spacing w:line="259" w:lineRule="auto"/>
            </w:pPr>
            <w:r w:rsidRPr="00364545">
              <w:rPr>
                <w:b/>
                <w:sz w:val="18"/>
              </w:rPr>
              <w:t xml:space="preserve">All energy </w:t>
            </w:r>
          </w:p>
        </w:tc>
        <w:tc>
          <w:tcPr>
            <w:tcW w:w="71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D3BD1BC" w14:textId="77777777" w:rsidR="00920B68" w:rsidRPr="00634E4C" w:rsidRDefault="00920B68" w:rsidP="00920B68">
            <w:pPr>
              <w:spacing w:line="259" w:lineRule="auto"/>
              <w:jc w:val="center"/>
              <w:rPr>
                <w:rFonts w:asciiTheme="majorHAnsi" w:hAnsiTheme="majorHAnsi"/>
                <w:b/>
                <w:sz w:val="16"/>
              </w:rPr>
            </w:pPr>
            <w:r w:rsidRPr="00664108">
              <w:rPr>
                <w:rFonts w:asciiTheme="majorHAnsi" w:hAnsiTheme="majorHAnsi"/>
                <w:b/>
                <w:sz w:val="16"/>
                <w:szCs w:val="16"/>
              </w:rPr>
              <w:t>367272</w:t>
            </w:r>
          </w:p>
        </w:tc>
        <w:tc>
          <w:tcPr>
            <w:tcW w:w="75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EA0F4E" w14:textId="77777777" w:rsidR="00920B68" w:rsidRPr="00634E4C" w:rsidRDefault="00920B68" w:rsidP="00920B68">
            <w:pPr>
              <w:spacing w:line="259" w:lineRule="auto"/>
              <w:jc w:val="center"/>
              <w:rPr>
                <w:rFonts w:asciiTheme="majorHAnsi" w:hAnsiTheme="majorHAnsi"/>
                <w:b/>
                <w:sz w:val="16"/>
              </w:rPr>
            </w:pPr>
            <w:r w:rsidRPr="00664108">
              <w:rPr>
                <w:rFonts w:asciiTheme="majorHAnsi" w:hAnsiTheme="majorHAnsi"/>
                <w:b/>
                <w:sz w:val="16"/>
                <w:szCs w:val="16"/>
              </w:rPr>
              <w:t>366079</w:t>
            </w:r>
          </w:p>
        </w:tc>
        <w:tc>
          <w:tcPr>
            <w:tcW w:w="75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05A26D7" w14:textId="77777777" w:rsidR="00920B68" w:rsidRPr="00634E4C" w:rsidRDefault="00920B68" w:rsidP="00920B68">
            <w:pPr>
              <w:spacing w:line="259" w:lineRule="auto"/>
              <w:jc w:val="center"/>
              <w:rPr>
                <w:rFonts w:asciiTheme="majorHAnsi" w:hAnsiTheme="majorHAnsi"/>
                <w:b/>
                <w:sz w:val="16"/>
              </w:rPr>
            </w:pPr>
            <w:r w:rsidRPr="00664108">
              <w:rPr>
                <w:rFonts w:asciiTheme="majorHAnsi" w:hAnsiTheme="majorHAnsi"/>
                <w:b/>
                <w:sz w:val="16"/>
                <w:szCs w:val="16"/>
              </w:rPr>
              <w:t>381989</w:t>
            </w:r>
          </w:p>
        </w:tc>
        <w:tc>
          <w:tcPr>
            <w:tcW w:w="80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90B131" w14:textId="77777777" w:rsidR="00920B68" w:rsidRPr="00634E4C" w:rsidRDefault="00920B68" w:rsidP="00920B68">
            <w:pPr>
              <w:spacing w:line="259" w:lineRule="auto"/>
              <w:jc w:val="center"/>
              <w:rPr>
                <w:rFonts w:asciiTheme="majorHAnsi" w:hAnsiTheme="majorHAnsi"/>
                <w:b/>
                <w:sz w:val="16"/>
              </w:rPr>
            </w:pPr>
            <w:r w:rsidRPr="00664108">
              <w:rPr>
                <w:rFonts w:asciiTheme="majorHAnsi" w:hAnsiTheme="majorHAnsi"/>
                <w:b/>
                <w:sz w:val="16"/>
                <w:szCs w:val="16"/>
              </w:rPr>
              <w:t>390391</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2EA6949" w14:textId="77777777" w:rsidR="00920B68" w:rsidRPr="00634E4C" w:rsidRDefault="00920B68" w:rsidP="00920B68">
            <w:pPr>
              <w:spacing w:line="259" w:lineRule="auto"/>
              <w:jc w:val="center"/>
              <w:rPr>
                <w:rFonts w:asciiTheme="majorHAnsi" w:hAnsiTheme="majorHAnsi"/>
                <w:b/>
                <w:sz w:val="16"/>
              </w:rPr>
            </w:pPr>
            <w:r w:rsidRPr="00664108">
              <w:rPr>
                <w:rFonts w:asciiTheme="majorHAnsi" w:hAnsiTheme="majorHAnsi"/>
                <w:b/>
                <w:sz w:val="16"/>
                <w:szCs w:val="16"/>
              </w:rPr>
              <w:t>357711</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5D5FE7F" w14:textId="77777777" w:rsidR="00920B68" w:rsidRPr="00634E4C" w:rsidRDefault="00920B68" w:rsidP="00920B68">
            <w:pPr>
              <w:spacing w:line="259" w:lineRule="auto"/>
              <w:jc w:val="center"/>
              <w:rPr>
                <w:rFonts w:asciiTheme="majorHAnsi" w:hAnsiTheme="majorHAnsi"/>
                <w:b/>
                <w:sz w:val="16"/>
              </w:rPr>
            </w:pPr>
            <w:r w:rsidRPr="00664108">
              <w:rPr>
                <w:rFonts w:asciiTheme="majorHAnsi" w:hAnsiTheme="majorHAnsi"/>
                <w:b/>
                <w:sz w:val="16"/>
                <w:szCs w:val="16"/>
              </w:rPr>
              <w:t>313634</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D9113F7" w14:textId="77777777" w:rsidR="00920B68" w:rsidRPr="00634E4C" w:rsidRDefault="00920B68" w:rsidP="00920B68">
            <w:pPr>
              <w:spacing w:line="259" w:lineRule="auto"/>
              <w:jc w:val="center"/>
              <w:rPr>
                <w:rFonts w:asciiTheme="majorHAnsi" w:hAnsiTheme="majorHAnsi"/>
                <w:b/>
                <w:sz w:val="16"/>
              </w:rPr>
            </w:pPr>
            <w:r w:rsidRPr="00664108">
              <w:rPr>
                <w:rFonts w:asciiTheme="majorHAnsi" w:hAnsiTheme="majorHAnsi"/>
                <w:b/>
                <w:sz w:val="16"/>
                <w:szCs w:val="16"/>
              </w:rPr>
              <w:t>297313</w:t>
            </w:r>
          </w:p>
        </w:tc>
        <w:tc>
          <w:tcPr>
            <w:tcW w:w="78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B7F606" w14:textId="77777777" w:rsidR="00920B68" w:rsidRPr="00364545" w:rsidRDefault="00920B68" w:rsidP="00920B68">
            <w:pPr>
              <w:spacing w:line="259" w:lineRule="auto"/>
              <w:jc w:val="center"/>
              <w:rPr>
                <w:sz w:val="16"/>
                <w:szCs w:val="16"/>
              </w:rPr>
            </w:pPr>
            <w:r w:rsidRPr="00364545">
              <w:rPr>
                <w:b/>
                <w:sz w:val="16"/>
              </w:rPr>
              <w:t>264395</w:t>
            </w:r>
          </w:p>
        </w:tc>
        <w:tc>
          <w:tcPr>
            <w:tcW w:w="69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966116E" w14:textId="77777777" w:rsidR="00920B68" w:rsidRPr="00364545" w:rsidRDefault="00920B68" w:rsidP="00920B68">
            <w:pPr>
              <w:spacing w:line="259" w:lineRule="auto"/>
              <w:jc w:val="center"/>
              <w:rPr>
                <w:sz w:val="16"/>
                <w:szCs w:val="16"/>
              </w:rPr>
            </w:pPr>
            <w:r w:rsidRPr="00364545">
              <w:rPr>
                <w:b/>
                <w:sz w:val="16"/>
              </w:rPr>
              <w:t>261598</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BB78D36" w14:textId="77777777" w:rsidR="00920B68" w:rsidRPr="00364545" w:rsidRDefault="00920B68" w:rsidP="00920B68">
            <w:pPr>
              <w:spacing w:line="259" w:lineRule="auto"/>
              <w:jc w:val="center"/>
              <w:rPr>
                <w:sz w:val="16"/>
                <w:szCs w:val="16"/>
              </w:rPr>
            </w:pPr>
            <w:r w:rsidRPr="00364545">
              <w:rPr>
                <w:b/>
                <w:sz w:val="16"/>
              </w:rPr>
              <w:t>240639</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BB1522A" w14:textId="77777777" w:rsidR="00920B68" w:rsidRPr="00364545" w:rsidRDefault="00920B68" w:rsidP="00920B68">
            <w:pPr>
              <w:spacing w:line="259" w:lineRule="auto"/>
              <w:jc w:val="center"/>
              <w:rPr>
                <w:sz w:val="16"/>
                <w:szCs w:val="16"/>
              </w:rPr>
            </w:pPr>
            <w:r w:rsidRPr="00364545">
              <w:rPr>
                <w:b/>
                <w:sz w:val="16"/>
              </w:rPr>
              <w:t>231245</w:t>
            </w:r>
          </w:p>
        </w:tc>
        <w:tc>
          <w:tcPr>
            <w:tcW w:w="67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CAA17B5" w14:textId="77777777" w:rsidR="00920B68" w:rsidRPr="00364545" w:rsidRDefault="00920B68" w:rsidP="00920B68">
            <w:pPr>
              <w:spacing w:line="259" w:lineRule="auto"/>
              <w:ind w:left="58"/>
              <w:jc w:val="center"/>
              <w:rPr>
                <w:b/>
                <w:sz w:val="16"/>
                <w:szCs w:val="16"/>
              </w:rPr>
            </w:pPr>
            <w:r w:rsidRPr="00364545">
              <w:rPr>
                <w:b/>
                <w:sz w:val="16"/>
              </w:rPr>
              <w:t>211199</w:t>
            </w:r>
          </w:p>
        </w:tc>
      </w:tr>
    </w:tbl>
    <w:p w14:paraId="6684CD1C" w14:textId="77777777" w:rsidR="00920B68" w:rsidRPr="00364545" w:rsidRDefault="00920B68" w:rsidP="00920B68">
      <w:pPr>
        <w:pStyle w:val="Default"/>
        <w:rPr>
          <w:sz w:val="16"/>
          <w:szCs w:val="16"/>
        </w:rPr>
      </w:pPr>
      <w:r w:rsidRPr="00364545">
        <w:rPr>
          <w:i/>
          <w:sz w:val="16"/>
        </w:rPr>
        <w:t xml:space="preserve">Reading the table: Energy industry = category CRF1A1; manufacturing and construction = category CRF1A2 and 1B; transport = category CRF 1A3; other sectors = category CRF 1A4 and 1A5. </w:t>
      </w:r>
    </w:p>
    <w:p w14:paraId="0FBDA6E2" w14:textId="77777777" w:rsidR="00920B68" w:rsidRPr="00364545" w:rsidRDefault="00920B68" w:rsidP="00920B68">
      <w:pPr>
        <w:pStyle w:val="Caption"/>
      </w:pPr>
      <w:r w:rsidRPr="00364545">
        <w:t xml:space="preserve">Table </w:t>
      </w:r>
      <w:fldSimple w:instr=" SEQ Tableau \* ARABIC ">
        <w:r w:rsidRPr="00364545">
          <w:rPr>
            <w:noProof/>
          </w:rPr>
          <w:t>15</w:t>
        </w:r>
      </w:fldSimple>
      <w:r w:rsidRPr="00364545">
        <w:t>: Details of energy sector categories (in ktCO</w:t>
      </w:r>
      <w:r w:rsidRPr="00364545">
        <w:rPr>
          <w:vertAlign w:val="subscript"/>
        </w:rPr>
        <w:t>2e</w:t>
      </w:r>
      <w:r w:rsidRPr="00364545">
        <w:t>) in the Kyoto scope in the AME scenario (with existing measures)</w:t>
      </w:r>
    </w:p>
    <w:p w14:paraId="79B7DB4E" w14:textId="77777777" w:rsidR="00920B68" w:rsidRPr="00364545" w:rsidRDefault="00920B68" w:rsidP="00920B68">
      <w:pPr>
        <w:pStyle w:val="Caption"/>
      </w:pPr>
      <w:r w:rsidRPr="00364545">
        <w:t>Source: UNFCCC inventory, Citepa/MTES, 202</w:t>
      </w:r>
      <w:r>
        <w:t>2</w:t>
      </w:r>
      <w:r w:rsidRPr="00364545">
        <w:t xml:space="preserve"> submission and MTES emission projections, 2021</w:t>
      </w:r>
    </w:p>
    <w:p w14:paraId="1D6529D0" w14:textId="77777777" w:rsidR="00920B68" w:rsidRPr="00364545" w:rsidRDefault="00920B68" w:rsidP="00920B68">
      <w:pPr>
        <w:pStyle w:val="Default"/>
        <w:rPr>
          <w:sz w:val="18"/>
          <w:szCs w:val="18"/>
        </w:rPr>
      </w:pPr>
    </w:p>
    <w:p w14:paraId="4D01C862" w14:textId="77777777" w:rsidR="00920B68" w:rsidRDefault="00920B68" w:rsidP="00920B68">
      <w:pPr>
        <w:jc w:val="center"/>
      </w:pPr>
    </w:p>
    <w:p w14:paraId="58713DCD" w14:textId="77777777" w:rsidR="00920B68" w:rsidRPr="00364545" w:rsidRDefault="00920B68" w:rsidP="00920B68">
      <w:pPr>
        <w:jc w:val="center"/>
      </w:pPr>
      <w:r>
        <w:rPr>
          <w:noProof/>
          <w:lang w:val="fr-FR"/>
        </w:rPr>
        <w:drawing>
          <wp:inline distT="0" distB="0" distL="0" distR="0" wp14:anchorId="364B9B8A" wp14:editId="0D9AD34E">
            <wp:extent cx="5511800" cy="2743200"/>
            <wp:effectExtent l="0" t="0" r="12700" b="0"/>
            <wp:docPr id="28683" name="Graphique 286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B5CD863" w14:textId="77777777" w:rsidR="00920B68" w:rsidRPr="00364545" w:rsidRDefault="00920B68" w:rsidP="00920B68">
      <w:pPr>
        <w:pStyle w:val="Caption"/>
      </w:pPr>
      <w:r w:rsidRPr="00364545">
        <w:t xml:space="preserve">Figure </w:t>
      </w:r>
      <w:fldSimple w:instr=" SEQ Figure \* ARABIC ">
        <w:r w:rsidRPr="00364545">
          <w:rPr>
            <w:noProof/>
          </w:rPr>
          <w:t>56</w:t>
        </w:r>
      </w:fldSimple>
      <w:r w:rsidRPr="00364545">
        <w:t>: Details of energy sector categories in ktCO</w:t>
      </w:r>
      <w:r w:rsidRPr="00364545">
        <w:rPr>
          <w:vertAlign w:val="subscript"/>
        </w:rPr>
        <w:t>2e</w:t>
      </w:r>
      <w:r w:rsidRPr="00364545">
        <w:t>, in the Kyoto scope, AME 2021 scenario</w:t>
      </w:r>
    </w:p>
    <w:p w14:paraId="03E60B8F" w14:textId="77777777" w:rsidR="00920B68" w:rsidRPr="00364545" w:rsidRDefault="00920B68" w:rsidP="00920B68">
      <w:pPr>
        <w:pStyle w:val="Caption"/>
        <w:rPr>
          <w:szCs w:val="21"/>
        </w:rPr>
      </w:pPr>
      <w:r w:rsidRPr="00364545">
        <w:t>Source: UNFCCC inventory, Citepa/MTE, 202</w:t>
      </w:r>
      <w:r>
        <w:t>2</w:t>
      </w:r>
      <w:r w:rsidRPr="00364545">
        <w:t xml:space="preserve"> submission and MTE emission projections, 2021</w:t>
      </w:r>
    </w:p>
    <w:p w14:paraId="2B562C44" w14:textId="77777777" w:rsidR="00920B68" w:rsidRPr="00364545" w:rsidRDefault="00920B68" w:rsidP="00920B68">
      <w:pPr>
        <w:pStyle w:val="titreencadre"/>
        <w:numPr>
          <w:ilvl w:val="3"/>
          <w:numId w:val="108"/>
        </w:numPr>
        <w:spacing w:before="120" w:after="60" w:line="240" w:lineRule="auto"/>
      </w:pPr>
      <w:r w:rsidRPr="00364545">
        <w:t>AMS 2018</w:t>
      </w:r>
    </w:p>
    <w:tbl>
      <w:tblPr>
        <w:tblStyle w:val="TableGrid0"/>
        <w:tblW w:w="9795" w:type="dxa"/>
        <w:tblInd w:w="10" w:type="dxa"/>
        <w:tblLayout w:type="fixed"/>
        <w:tblCellMar>
          <w:top w:w="40" w:type="dxa"/>
          <w:left w:w="28" w:type="dxa"/>
          <w:right w:w="1" w:type="dxa"/>
        </w:tblCellMar>
        <w:tblLook w:val="04A0" w:firstRow="1" w:lastRow="0" w:firstColumn="1" w:lastColumn="0" w:noHBand="0" w:noVBand="1"/>
      </w:tblPr>
      <w:tblGrid>
        <w:gridCol w:w="1277"/>
        <w:gridCol w:w="709"/>
        <w:gridCol w:w="710"/>
        <w:gridCol w:w="710"/>
        <w:gridCol w:w="710"/>
        <w:gridCol w:w="710"/>
        <w:gridCol w:w="709"/>
        <w:gridCol w:w="710"/>
        <w:gridCol w:w="710"/>
        <w:gridCol w:w="710"/>
        <w:gridCol w:w="710"/>
        <w:gridCol w:w="710"/>
        <w:gridCol w:w="710"/>
      </w:tblGrid>
      <w:tr w:rsidR="00920B68" w:rsidRPr="00364545" w14:paraId="2AB24F68" w14:textId="77777777" w:rsidTr="00920B68">
        <w:trPr>
          <w:trHeight w:val="335"/>
        </w:trPr>
        <w:tc>
          <w:tcPr>
            <w:tcW w:w="1277" w:type="dxa"/>
            <w:tcBorders>
              <w:top w:val="single" w:sz="2" w:space="0" w:color="000000"/>
              <w:left w:val="single" w:sz="2" w:space="0" w:color="000000"/>
              <w:bottom w:val="single" w:sz="2" w:space="0" w:color="000000"/>
              <w:right w:val="single" w:sz="2" w:space="0" w:color="000000"/>
            </w:tcBorders>
            <w:shd w:val="clear" w:color="auto" w:fill="6D2A78"/>
          </w:tcPr>
          <w:p w14:paraId="23ECF2D7" w14:textId="77777777" w:rsidR="00920B68" w:rsidRPr="00364545" w:rsidRDefault="00920B68" w:rsidP="00920B68">
            <w:r w:rsidRPr="00364545">
              <w:t>AMS 2018</w:t>
            </w:r>
          </w:p>
        </w:tc>
        <w:tc>
          <w:tcPr>
            <w:tcW w:w="709" w:type="dxa"/>
            <w:tcBorders>
              <w:top w:val="single" w:sz="2" w:space="0" w:color="000000"/>
              <w:left w:val="single" w:sz="2" w:space="0" w:color="000000"/>
              <w:bottom w:val="single" w:sz="2" w:space="0" w:color="000000"/>
              <w:right w:val="single" w:sz="2" w:space="0" w:color="000000"/>
            </w:tcBorders>
            <w:shd w:val="clear" w:color="auto" w:fill="6D2A78"/>
          </w:tcPr>
          <w:p w14:paraId="542CD62E" w14:textId="77777777" w:rsidR="00920B68" w:rsidRPr="00364545" w:rsidRDefault="00920B68" w:rsidP="00920B68">
            <w:pPr>
              <w:spacing w:line="259" w:lineRule="auto"/>
              <w:ind w:right="27"/>
              <w:jc w:val="center"/>
            </w:pPr>
            <w:r w:rsidRPr="00364545">
              <w:rPr>
                <w:b/>
                <w:color w:val="FFFFFF"/>
                <w:sz w:val="18"/>
              </w:rPr>
              <w:t xml:space="preserve">1990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572185C4" w14:textId="77777777" w:rsidR="00920B68" w:rsidRPr="00364545" w:rsidRDefault="00920B68" w:rsidP="00920B68">
            <w:pPr>
              <w:spacing w:line="259" w:lineRule="auto"/>
              <w:ind w:right="24"/>
              <w:jc w:val="center"/>
              <w:rPr>
                <w:b/>
                <w:color w:val="FFFFFF"/>
                <w:sz w:val="18"/>
              </w:rPr>
            </w:pPr>
            <w:r w:rsidRPr="00364545">
              <w:rPr>
                <w:b/>
                <w:color w:val="FFFFFF"/>
                <w:sz w:val="18"/>
              </w:rPr>
              <w:t>1995</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3C158EFD" w14:textId="77777777" w:rsidR="00920B68" w:rsidRPr="00364545" w:rsidRDefault="00920B68" w:rsidP="00920B68">
            <w:pPr>
              <w:spacing w:line="259" w:lineRule="auto"/>
              <w:ind w:right="24"/>
              <w:jc w:val="center"/>
            </w:pPr>
            <w:r w:rsidRPr="00364545">
              <w:rPr>
                <w:b/>
                <w:color w:val="FFFFFF"/>
                <w:sz w:val="18"/>
              </w:rPr>
              <w:t xml:space="preserve">2000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221B5122" w14:textId="77777777" w:rsidR="00920B68" w:rsidRPr="00364545" w:rsidRDefault="00920B68" w:rsidP="00920B68">
            <w:pPr>
              <w:spacing w:line="259" w:lineRule="auto"/>
              <w:ind w:right="27"/>
              <w:jc w:val="center"/>
            </w:pPr>
            <w:r w:rsidRPr="00364545">
              <w:rPr>
                <w:b/>
                <w:color w:val="FFFFFF"/>
                <w:sz w:val="18"/>
              </w:rPr>
              <w:t xml:space="preserve">2005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0D045B4C" w14:textId="77777777" w:rsidR="00920B68" w:rsidRPr="00364545" w:rsidRDefault="00920B68" w:rsidP="00920B68">
            <w:pPr>
              <w:spacing w:line="259" w:lineRule="auto"/>
              <w:ind w:right="24"/>
              <w:jc w:val="center"/>
            </w:pPr>
            <w:r w:rsidRPr="00364545">
              <w:rPr>
                <w:b/>
                <w:color w:val="FFFFFF"/>
                <w:sz w:val="18"/>
              </w:rPr>
              <w:t xml:space="preserve">2010 </w:t>
            </w:r>
          </w:p>
        </w:tc>
        <w:tc>
          <w:tcPr>
            <w:tcW w:w="709" w:type="dxa"/>
            <w:tcBorders>
              <w:top w:val="single" w:sz="2" w:space="0" w:color="000000"/>
              <w:left w:val="single" w:sz="2" w:space="0" w:color="000000"/>
              <w:bottom w:val="single" w:sz="2" w:space="0" w:color="000000"/>
              <w:right w:val="single" w:sz="2" w:space="0" w:color="000000"/>
            </w:tcBorders>
            <w:shd w:val="clear" w:color="auto" w:fill="6D2A78"/>
          </w:tcPr>
          <w:p w14:paraId="7B2F3332" w14:textId="77777777" w:rsidR="00920B68" w:rsidRPr="00364545" w:rsidRDefault="00920B68" w:rsidP="00920B68">
            <w:pPr>
              <w:spacing w:line="259" w:lineRule="auto"/>
              <w:ind w:right="27"/>
              <w:jc w:val="center"/>
            </w:pPr>
            <w:r w:rsidRPr="00364545">
              <w:rPr>
                <w:b/>
                <w:color w:val="FFFFFF"/>
                <w:sz w:val="18"/>
              </w:rPr>
              <w:t xml:space="preserve">2015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5CCBF508" w14:textId="77777777" w:rsidR="00920B68" w:rsidRPr="00364545" w:rsidRDefault="00920B68" w:rsidP="00920B68">
            <w:pPr>
              <w:spacing w:line="259" w:lineRule="auto"/>
              <w:ind w:right="24"/>
              <w:jc w:val="center"/>
              <w:rPr>
                <w:b/>
                <w:color w:val="FFFFFF"/>
                <w:sz w:val="18"/>
              </w:rPr>
            </w:pPr>
            <w:r>
              <w:rPr>
                <w:b/>
                <w:color w:val="FFFFFF"/>
                <w:sz w:val="18"/>
              </w:rPr>
              <w:t>2019</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17841517" w14:textId="77777777" w:rsidR="00920B68" w:rsidRPr="00364545" w:rsidRDefault="00920B68" w:rsidP="00920B68">
            <w:pPr>
              <w:spacing w:line="259" w:lineRule="auto"/>
              <w:ind w:right="24"/>
              <w:jc w:val="center"/>
            </w:pPr>
            <w:r w:rsidRPr="00364545">
              <w:rPr>
                <w:b/>
                <w:color w:val="FFFFFF"/>
                <w:sz w:val="18"/>
              </w:rPr>
              <w:t xml:space="preserve">2020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4129DD63" w14:textId="77777777" w:rsidR="00920B68" w:rsidRPr="00364545" w:rsidRDefault="00920B68" w:rsidP="00920B68">
            <w:pPr>
              <w:spacing w:line="259" w:lineRule="auto"/>
              <w:ind w:right="27"/>
              <w:jc w:val="center"/>
            </w:pPr>
            <w:r w:rsidRPr="00364545">
              <w:rPr>
                <w:b/>
                <w:color w:val="FFFFFF"/>
                <w:sz w:val="18"/>
              </w:rPr>
              <w:t xml:space="preserve">2025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7E1EE41F" w14:textId="77777777" w:rsidR="00920B68" w:rsidRPr="00364545" w:rsidRDefault="00920B68" w:rsidP="00920B68">
            <w:pPr>
              <w:spacing w:line="259" w:lineRule="auto"/>
              <w:ind w:right="24"/>
              <w:jc w:val="center"/>
            </w:pPr>
            <w:r w:rsidRPr="00364545">
              <w:rPr>
                <w:b/>
                <w:color w:val="FFFFFF"/>
                <w:sz w:val="18"/>
              </w:rPr>
              <w:t xml:space="preserve">2030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02226C35" w14:textId="77777777" w:rsidR="00920B68" w:rsidRPr="00364545" w:rsidRDefault="00920B68" w:rsidP="00920B68">
            <w:pPr>
              <w:spacing w:line="259" w:lineRule="auto"/>
              <w:ind w:right="26"/>
              <w:jc w:val="center"/>
            </w:pPr>
            <w:r w:rsidRPr="00364545">
              <w:rPr>
                <w:b/>
                <w:color w:val="FFFFFF"/>
                <w:sz w:val="18"/>
              </w:rPr>
              <w:t xml:space="preserve">2035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7D9DD2F0" w14:textId="77777777" w:rsidR="00920B68" w:rsidRPr="00364545" w:rsidRDefault="00920B68" w:rsidP="00920B68">
            <w:pPr>
              <w:spacing w:line="259" w:lineRule="auto"/>
              <w:ind w:right="26"/>
              <w:jc w:val="center"/>
              <w:rPr>
                <w:b/>
                <w:color w:val="FFFFFF"/>
                <w:sz w:val="18"/>
              </w:rPr>
            </w:pPr>
            <w:r w:rsidRPr="00364545">
              <w:rPr>
                <w:b/>
                <w:color w:val="FFFFFF"/>
                <w:sz w:val="18"/>
              </w:rPr>
              <w:t>2050</w:t>
            </w:r>
          </w:p>
        </w:tc>
      </w:tr>
      <w:tr w:rsidR="00920B68" w:rsidRPr="00364545" w14:paraId="5EB96FD0" w14:textId="77777777" w:rsidTr="00920B68">
        <w:trPr>
          <w:trHeight w:val="291"/>
        </w:trPr>
        <w:tc>
          <w:tcPr>
            <w:tcW w:w="1277" w:type="dxa"/>
            <w:tcBorders>
              <w:top w:val="single" w:sz="2" w:space="0" w:color="000000"/>
              <w:left w:val="single" w:sz="2" w:space="0" w:color="000000"/>
              <w:bottom w:val="single" w:sz="2" w:space="0" w:color="000000"/>
              <w:right w:val="single" w:sz="2" w:space="0" w:color="000000"/>
            </w:tcBorders>
          </w:tcPr>
          <w:p w14:paraId="159D09E6" w14:textId="77777777" w:rsidR="00920B68" w:rsidRPr="00364545" w:rsidRDefault="00920B68" w:rsidP="00920B68">
            <w:pPr>
              <w:spacing w:line="259" w:lineRule="auto"/>
              <w:jc w:val="left"/>
            </w:pPr>
            <w:r w:rsidRPr="00364545">
              <w:rPr>
                <w:b/>
                <w:sz w:val="18"/>
              </w:rPr>
              <w:t xml:space="preserve"> </w:t>
            </w:r>
          </w:p>
        </w:tc>
        <w:tc>
          <w:tcPr>
            <w:tcW w:w="709" w:type="dxa"/>
            <w:tcBorders>
              <w:top w:val="single" w:sz="2" w:space="0" w:color="000000"/>
              <w:left w:val="single" w:sz="2" w:space="0" w:color="000000"/>
              <w:bottom w:val="single" w:sz="2" w:space="0" w:color="000000"/>
              <w:right w:val="single" w:sz="2" w:space="0" w:color="000000"/>
            </w:tcBorders>
          </w:tcPr>
          <w:p w14:paraId="44916A1C" w14:textId="77777777" w:rsidR="00920B68" w:rsidRPr="00364545" w:rsidRDefault="00920B68" w:rsidP="00920B68">
            <w:pPr>
              <w:spacing w:line="259" w:lineRule="auto"/>
              <w:rPr>
                <w:sz w:val="16"/>
              </w:rPr>
            </w:pPr>
            <w:r w:rsidRPr="00364545">
              <w:rPr>
                <w:b/>
                <w:color w:val="6D2A78"/>
                <w:sz w:val="16"/>
              </w:rPr>
              <w:t xml:space="preserve">Observed </w:t>
            </w:r>
          </w:p>
        </w:tc>
        <w:tc>
          <w:tcPr>
            <w:tcW w:w="710" w:type="dxa"/>
            <w:tcBorders>
              <w:top w:val="single" w:sz="2" w:space="0" w:color="000000"/>
              <w:left w:val="single" w:sz="2" w:space="0" w:color="000000"/>
              <w:bottom w:val="single" w:sz="2" w:space="0" w:color="000000"/>
              <w:right w:val="single" w:sz="2" w:space="0" w:color="000000"/>
            </w:tcBorders>
          </w:tcPr>
          <w:p w14:paraId="19A09ECC" w14:textId="77777777" w:rsidR="00920B68" w:rsidRPr="00364545" w:rsidRDefault="00920B68" w:rsidP="00920B68">
            <w:pPr>
              <w:spacing w:line="259" w:lineRule="auto"/>
              <w:rPr>
                <w:b/>
                <w:color w:val="6D2A78"/>
                <w:sz w:val="16"/>
              </w:rPr>
            </w:pPr>
            <w:r w:rsidRPr="00364545">
              <w:rPr>
                <w:b/>
                <w:color w:val="6D2A78"/>
                <w:sz w:val="16"/>
              </w:rPr>
              <w:t xml:space="preserve">Observed </w:t>
            </w:r>
          </w:p>
        </w:tc>
        <w:tc>
          <w:tcPr>
            <w:tcW w:w="710" w:type="dxa"/>
            <w:tcBorders>
              <w:top w:val="single" w:sz="2" w:space="0" w:color="000000"/>
              <w:left w:val="single" w:sz="2" w:space="0" w:color="000000"/>
              <w:bottom w:val="single" w:sz="2" w:space="0" w:color="000000"/>
              <w:right w:val="single" w:sz="2" w:space="0" w:color="000000"/>
            </w:tcBorders>
          </w:tcPr>
          <w:p w14:paraId="41F8BDCB" w14:textId="77777777" w:rsidR="00920B68" w:rsidRPr="00364545" w:rsidRDefault="00920B68" w:rsidP="00920B68">
            <w:pPr>
              <w:spacing w:line="259" w:lineRule="auto"/>
              <w:rPr>
                <w:sz w:val="16"/>
              </w:rPr>
            </w:pPr>
            <w:r w:rsidRPr="00364545">
              <w:rPr>
                <w:b/>
                <w:color w:val="6D2A78"/>
                <w:sz w:val="16"/>
              </w:rPr>
              <w:t xml:space="preserve">Observed </w:t>
            </w:r>
          </w:p>
        </w:tc>
        <w:tc>
          <w:tcPr>
            <w:tcW w:w="710" w:type="dxa"/>
            <w:tcBorders>
              <w:top w:val="single" w:sz="2" w:space="0" w:color="000000"/>
              <w:left w:val="single" w:sz="2" w:space="0" w:color="000000"/>
              <w:bottom w:val="single" w:sz="2" w:space="0" w:color="000000"/>
              <w:right w:val="single" w:sz="2" w:space="0" w:color="000000"/>
            </w:tcBorders>
          </w:tcPr>
          <w:p w14:paraId="7E95EBBC" w14:textId="77777777" w:rsidR="00920B68" w:rsidRPr="00364545" w:rsidRDefault="00920B68" w:rsidP="00920B68">
            <w:pPr>
              <w:spacing w:line="259" w:lineRule="auto"/>
              <w:rPr>
                <w:sz w:val="16"/>
              </w:rPr>
            </w:pPr>
            <w:r w:rsidRPr="00364545">
              <w:rPr>
                <w:b/>
                <w:color w:val="6D2A78"/>
                <w:sz w:val="16"/>
              </w:rPr>
              <w:t xml:space="preserve">Observed </w:t>
            </w:r>
          </w:p>
        </w:tc>
        <w:tc>
          <w:tcPr>
            <w:tcW w:w="710" w:type="dxa"/>
            <w:tcBorders>
              <w:top w:val="single" w:sz="2" w:space="0" w:color="000000"/>
              <w:left w:val="single" w:sz="2" w:space="0" w:color="000000"/>
              <w:bottom w:val="single" w:sz="2" w:space="0" w:color="000000"/>
              <w:right w:val="single" w:sz="2" w:space="0" w:color="000000"/>
            </w:tcBorders>
          </w:tcPr>
          <w:p w14:paraId="58818714" w14:textId="77777777" w:rsidR="00920B68" w:rsidRPr="00364545" w:rsidRDefault="00920B68" w:rsidP="00920B68">
            <w:pPr>
              <w:spacing w:line="259" w:lineRule="auto"/>
              <w:rPr>
                <w:sz w:val="16"/>
              </w:rPr>
            </w:pPr>
            <w:r w:rsidRPr="00364545">
              <w:rPr>
                <w:b/>
                <w:color w:val="6D2A78"/>
                <w:sz w:val="16"/>
              </w:rPr>
              <w:t xml:space="preserve">Observed </w:t>
            </w:r>
          </w:p>
        </w:tc>
        <w:tc>
          <w:tcPr>
            <w:tcW w:w="709" w:type="dxa"/>
            <w:tcBorders>
              <w:top w:val="single" w:sz="2" w:space="0" w:color="000000"/>
              <w:left w:val="single" w:sz="2" w:space="0" w:color="000000"/>
              <w:bottom w:val="single" w:sz="2" w:space="0" w:color="000000"/>
              <w:right w:val="single" w:sz="2" w:space="0" w:color="000000"/>
            </w:tcBorders>
          </w:tcPr>
          <w:p w14:paraId="7C27E6CC" w14:textId="77777777" w:rsidR="00920B68" w:rsidRPr="00364545" w:rsidRDefault="00920B68" w:rsidP="00920B68">
            <w:pPr>
              <w:spacing w:line="259" w:lineRule="auto"/>
              <w:rPr>
                <w:sz w:val="16"/>
              </w:rPr>
            </w:pPr>
            <w:r w:rsidRPr="00364545">
              <w:rPr>
                <w:b/>
                <w:color w:val="6D2A78"/>
                <w:sz w:val="16"/>
              </w:rPr>
              <w:t xml:space="preserve">Observed </w:t>
            </w:r>
          </w:p>
        </w:tc>
        <w:tc>
          <w:tcPr>
            <w:tcW w:w="710" w:type="dxa"/>
            <w:tcBorders>
              <w:top w:val="single" w:sz="2" w:space="0" w:color="000000"/>
              <w:left w:val="single" w:sz="2" w:space="0" w:color="000000"/>
              <w:bottom w:val="single" w:sz="2" w:space="0" w:color="000000"/>
              <w:right w:val="single" w:sz="2" w:space="0" w:color="000000"/>
            </w:tcBorders>
          </w:tcPr>
          <w:p w14:paraId="21CE2CD4" w14:textId="77777777" w:rsidR="00920B68" w:rsidRPr="00364545" w:rsidRDefault="00920B68" w:rsidP="00920B68">
            <w:pPr>
              <w:spacing w:line="259" w:lineRule="auto"/>
              <w:rPr>
                <w:b/>
                <w:color w:val="6D2A78"/>
                <w:sz w:val="16"/>
              </w:rPr>
            </w:pPr>
            <w:r w:rsidRPr="00364545">
              <w:rPr>
                <w:b/>
                <w:color w:val="6D2A78"/>
                <w:sz w:val="16"/>
              </w:rPr>
              <w:t xml:space="preserve">Observed </w:t>
            </w:r>
          </w:p>
        </w:tc>
        <w:tc>
          <w:tcPr>
            <w:tcW w:w="710" w:type="dxa"/>
            <w:tcBorders>
              <w:top w:val="single" w:sz="2" w:space="0" w:color="000000"/>
              <w:left w:val="single" w:sz="2" w:space="0" w:color="000000"/>
              <w:bottom w:val="single" w:sz="2" w:space="0" w:color="000000"/>
              <w:right w:val="single" w:sz="2" w:space="0" w:color="000000"/>
            </w:tcBorders>
          </w:tcPr>
          <w:p w14:paraId="7D9A7949" w14:textId="77777777" w:rsidR="00920B68" w:rsidRPr="00364545" w:rsidRDefault="00920B68" w:rsidP="00920B68">
            <w:pPr>
              <w:spacing w:line="259" w:lineRule="auto"/>
              <w:rPr>
                <w:sz w:val="16"/>
              </w:rPr>
            </w:pPr>
            <w:r w:rsidRPr="00364545">
              <w:rPr>
                <w:b/>
                <w:color w:val="6D2A78"/>
                <w:sz w:val="16"/>
              </w:rPr>
              <w:t xml:space="preserve">Projected </w:t>
            </w:r>
          </w:p>
        </w:tc>
        <w:tc>
          <w:tcPr>
            <w:tcW w:w="710" w:type="dxa"/>
            <w:tcBorders>
              <w:top w:val="single" w:sz="2" w:space="0" w:color="000000"/>
              <w:left w:val="single" w:sz="2" w:space="0" w:color="000000"/>
              <w:bottom w:val="single" w:sz="2" w:space="0" w:color="000000"/>
              <w:right w:val="single" w:sz="2" w:space="0" w:color="000000"/>
            </w:tcBorders>
          </w:tcPr>
          <w:p w14:paraId="2A2BCF2C" w14:textId="77777777" w:rsidR="00920B68" w:rsidRPr="00364545" w:rsidRDefault="00920B68" w:rsidP="00920B68">
            <w:pPr>
              <w:spacing w:line="259" w:lineRule="auto"/>
              <w:rPr>
                <w:sz w:val="16"/>
              </w:rPr>
            </w:pPr>
            <w:r w:rsidRPr="00364545">
              <w:rPr>
                <w:b/>
                <w:color w:val="6D2A78"/>
                <w:sz w:val="16"/>
              </w:rPr>
              <w:t xml:space="preserve">Projected </w:t>
            </w:r>
          </w:p>
        </w:tc>
        <w:tc>
          <w:tcPr>
            <w:tcW w:w="710" w:type="dxa"/>
            <w:tcBorders>
              <w:top w:val="single" w:sz="2" w:space="0" w:color="000000"/>
              <w:left w:val="single" w:sz="2" w:space="0" w:color="000000"/>
              <w:bottom w:val="single" w:sz="2" w:space="0" w:color="000000"/>
              <w:right w:val="single" w:sz="2" w:space="0" w:color="000000"/>
            </w:tcBorders>
          </w:tcPr>
          <w:p w14:paraId="6DB782F4" w14:textId="77777777" w:rsidR="00920B68" w:rsidRPr="00364545" w:rsidRDefault="00920B68" w:rsidP="00920B68">
            <w:pPr>
              <w:spacing w:line="259" w:lineRule="auto"/>
              <w:rPr>
                <w:sz w:val="16"/>
              </w:rPr>
            </w:pPr>
            <w:r w:rsidRPr="00364545">
              <w:rPr>
                <w:b/>
                <w:color w:val="6D2A78"/>
                <w:sz w:val="16"/>
              </w:rPr>
              <w:t xml:space="preserve">Projected </w:t>
            </w:r>
          </w:p>
        </w:tc>
        <w:tc>
          <w:tcPr>
            <w:tcW w:w="710" w:type="dxa"/>
            <w:tcBorders>
              <w:top w:val="single" w:sz="2" w:space="0" w:color="000000"/>
              <w:left w:val="single" w:sz="2" w:space="0" w:color="000000"/>
              <w:bottom w:val="single" w:sz="2" w:space="0" w:color="000000"/>
              <w:right w:val="single" w:sz="2" w:space="0" w:color="000000"/>
            </w:tcBorders>
          </w:tcPr>
          <w:p w14:paraId="3427BEC8" w14:textId="77777777" w:rsidR="00920B68" w:rsidRPr="00364545" w:rsidRDefault="00920B68" w:rsidP="00920B68">
            <w:pPr>
              <w:spacing w:line="259" w:lineRule="auto"/>
              <w:rPr>
                <w:sz w:val="16"/>
              </w:rPr>
            </w:pPr>
            <w:r w:rsidRPr="00364545">
              <w:rPr>
                <w:b/>
                <w:color w:val="6D2A78"/>
                <w:sz w:val="16"/>
              </w:rPr>
              <w:t xml:space="preserve">Projected </w:t>
            </w:r>
          </w:p>
        </w:tc>
        <w:tc>
          <w:tcPr>
            <w:tcW w:w="710" w:type="dxa"/>
            <w:tcBorders>
              <w:top w:val="single" w:sz="2" w:space="0" w:color="000000"/>
              <w:left w:val="single" w:sz="2" w:space="0" w:color="000000"/>
              <w:bottom w:val="single" w:sz="2" w:space="0" w:color="000000"/>
              <w:right w:val="single" w:sz="2" w:space="0" w:color="000000"/>
            </w:tcBorders>
          </w:tcPr>
          <w:p w14:paraId="73CEC71C" w14:textId="77777777" w:rsidR="00920B68" w:rsidRPr="00364545" w:rsidRDefault="00920B68" w:rsidP="00920B68">
            <w:pPr>
              <w:spacing w:line="259" w:lineRule="auto"/>
              <w:rPr>
                <w:b/>
                <w:color w:val="6D2A78"/>
                <w:sz w:val="16"/>
              </w:rPr>
            </w:pPr>
            <w:r w:rsidRPr="00364545">
              <w:rPr>
                <w:b/>
                <w:color w:val="6D2A78"/>
                <w:sz w:val="16"/>
              </w:rPr>
              <w:t>Projected</w:t>
            </w:r>
          </w:p>
        </w:tc>
      </w:tr>
      <w:tr w:rsidR="00920B68" w:rsidRPr="00364545" w14:paraId="5747BA62" w14:textId="77777777" w:rsidTr="00920B68">
        <w:trPr>
          <w:trHeight w:val="288"/>
        </w:trPr>
        <w:tc>
          <w:tcPr>
            <w:tcW w:w="1277" w:type="dxa"/>
            <w:tcBorders>
              <w:top w:val="single" w:sz="2" w:space="0" w:color="000000"/>
              <w:left w:val="single" w:sz="2" w:space="0" w:color="000000"/>
              <w:bottom w:val="single" w:sz="2" w:space="0" w:color="000000"/>
              <w:right w:val="single" w:sz="2" w:space="0" w:color="000000"/>
            </w:tcBorders>
            <w:shd w:val="clear" w:color="auto" w:fill="ECE6E2"/>
          </w:tcPr>
          <w:p w14:paraId="0B03551C" w14:textId="77777777" w:rsidR="00920B68" w:rsidRPr="00364545" w:rsidRDefault="00920B68" w:rsidP="00920B68">
            <w:pPr>
              <w:spacing w:line="259" w:lineRule="auto"/>
              <w:jc w:val="left"/>
            </w:pPr>
            <w:r w:rsidRPr="00364545">
              <w:rPr>
                <w:sz w:val="18"/>
              </w:rPr>
              <w:t xml:space="preserve">Energy industry </w:t>
            </w:r>
          </w:p>
        </w:tc>
        <w:tc>
          <w:tcPr>
            <w:tcW w:w="70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E4BEC8" w14:textId="77777777" w:rsidR="00920B68" w:rsidRPr="00364545" w:rsidRDefault="00920B68" w:rsidP="00920B68">
            <w:pPr>
              <w:spacing w:line="259" w:lineRule="auto"/>
              <w:ind w:left="108"/>
              <w:jc w:val="center"/>
              <w:rPr>
                <w:sz w:val="16"/>
                <w:szCs w:val="16"/>
              </w:rPr>
            </w:pPr>
            <w:r w:rsidRPr="00664108">
              <w:rPr>
                <w:rFonts w:asciiTheme="majorHAnsi" w:hAnsiTheme="majorHAnsi"/>
                <w:sz w:val="16"/>
                <w:szCs w:val="16"/>
              </w:rPr>
              <w:t>66338</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777CD8D" w14:textId="77777777" w:rsidR="00920B68" w:rsidRPr="00364545" w:rsidRDefault="00920B68" w:rsidP="00920B68">
            <w:pPr>
              <w:spacing w:line="259" w:lineRule="auto"/>
              <w:ind w:left="108"/>
              <w:jc w:val="center"/>
              <w:rPr>
                <w:sz w:val="16"/>
                <w:szCs w:val="16"/>
              </w:rPr>
            </w:pPr>
            <w:r w:rsidRPr="00664108">
              <w:rPr>
                <w:rFonts w:asciiTheme="majorHAnsi" w:hAnsiTheme="majorHAnsi"/>
                <w:sz w:val="16"/>
                <w:szCs w:val="16"/>
              </w:rPr>
              <w:t>55802</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A15A4B1" w14:textId="77777777" w:rsidR="00920B68" w:rsidRPr="00364545" w:rsidRDefault="00920B68" w:rsidP="00920B68">
            <w:pPr>
              <w:spacing w:line="259" w:lineRule="auto"/>
              <w:ind w:left="108"/>
              <w:jc w:val="center"/>
              <w:rPr>
                <w:sz w:val="16"/>
                <w:szCs w:val="16"/>
              </w:rPr>
            </w:pPr>
            <w:r w:rsidRPr="00664108">
              <w:rPr>
                <w:rFonts w:asciiTheme="majorHAnsi" w:hAnsiTheme="majorHAnsi"/>
                <w:sz w:val="16"/>
                <w:szCs w:val="16"/>
              </w:rPr>
              <w:t>62526</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B5BE78D" w14:textId="77777777" w:rsidR="00920B68" w:rsidRPr="00364545" w:rsidRDefault="00920B68" w:rsidP="00920B68">
            <w:pPr>
              <w:spacing w:line="259" w:lineRule="auto"/>
              <w:ind w:left="108"/>
              <w:jc w:val="center"/>
              <w:rPr>
                <w:sz w:val="16"/>
                <w:szCs w:val="16"/>
              </w:rPr>
            </w:pPr>
            <w:r w:rsidRPr="00664108">
              <w:rPr>
                <w:rFonts w:asciiTheme="majorHAnsi" w:hAnsiTheme="majorHAnsi"/>
                <w:sz w:val="16"/>
                <w:szCs w:val="16"/>
              </w:rPr>
              <w:t>66972</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FCEF07A" w14:textId="77777777" w:rsidR="00920B68" w:rsidRPr="00364545" w:rsidRDefault="00920B68" w:rsidP="00920B68">
            <w:pPr>
              <w:spacing w:line="259" w:lineRule="auto"/>
              <w:ind w:left="108"/>
              <w:jc w:val="center"/>
              <w:rPr>
                <w:sz w:val="16"/>
                <w:szCs w:val="16"/>
              </w:rPr>
            </w:pPr>
            <w:r w:rsidRPr="00664108">
              <w:rPr>
                <w:rFonts w:asciiTheme="majorHAnsi" w:hAnsiTheme="majorHAnsi"/>
                <w:sz w:val="16"/>
                <w:szCs w:val="16"/>
              </w:rPr>
              <w:t>60134</w:t>
            </w:r>
          </w:p>
        </w:tc>
        <w:tc>
          <w:tcPr>
            <w:tcW w:w="70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0EC5382" w14:textId="77777777" w:rsidR="00920B68" w:rsidRPr="00364545" w:rsidRDefault="00920B68" w:rsidP="00920B68">
            <w:pPr>
              <w:spacing w:line="259" w:lineRule="auto"/>
              <w:ind w:left="108"/>
              <w:jc w:val="center"/>
              <w:rPr>
                <w:sz w:val="16"/>
                <w:szCs w:val="16"/>
              </w:rPr>
            </w:pPr>
            <w:r w:rsidRPr="00664108">
              <w:rPr>
                <w:rFonts w:asciiTheme="majorHAnsi" w:hAnsiTheme="majorHAnsi"/>
                <w:sz w:val="16"/>
                <w:szCs w:val="16"/>
              </w:rPr>
              <w:t>44988</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4C7E3E" w14:textId="77777777" w:rsidR="00920B68" w:rsidRPr="00364545" w:rsidRDefault="00920B68" w:rsidP="00920B68">
            <w:pPr>
              <w:spacing w:line="259" w:lineRule="auto"/>
              <w:ind w:left="108"/>
              <w:jc w:val="center"/>
              <w:rPr>
                <w:rFonts w:ascii="Calibri" w:hAnsi="Calibri"/>
                <w:color w:val="000000"/>
                <w:sz w:val="20"/>
              </w:rPr>
            </w:pPr>
            <w:r w:rsidRPr="00664108">
              <w:rPr>
                <w:rFonts w:asciiTheme="majorHAnsi" w:hAnsiTheme="majorHAnsi"/>
                <w:sz w:val="16"/>
                <w:szCs w:val="16"/>
              </w:rPr>
              <w:t>41680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293C619"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51390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23820C"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35549</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4105CF"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30007</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88D547"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19242</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6AE108"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-13050</w:t>
            </w:r>
          </w:p>
        </w:tc>
      </w:tr>
      <w:tr w:rsidR="00920B68" w:rsidRPr="00364545" w14:paraId="46F0666C" w14:textId="77777777" w:rsidTr="00920B68">
        <w:trPr>
          <w:trHeight w:val="351"/>
        </w:trPr>
        <w:tc>
          <w:tcPr>
            <w:tcW w:w="1277" w:type="dxa"/>
            <w:tcBorders>
              <w:top w:val="single" w:sz="2" w:space="0" w:color="000000"/>
              <w:left w:val="single" w:sz="2" w:space="0" w:color="000000"/>
              <w:bottom w:val="single" w:sz="2" w:space="0" w:color="000000"/>
              <w:right w:val="single" w:sz="2" w:space="0" w:color="000000"/>
            </w:tcBorders>
          </w:tcPr>
          <w:p w14:paraId="75C63091" w14:textId="77777777" w:rsidR="00920B68" w:rsidRPr="00364545" w:rsidRDefault="00920B68" w:rsidP="00920B68">
            <w:pPr>
              <w:spacing w:line="259" w:lineRule="auto"/>
              <w:jc w:val="left"/>
            </w:pPr>
            <w:r w:rsidRPr="00364545">
              <w:rPr>
                <w:sz w:val="18"/>
              </w:rPr>
              <w:t xml:space="preserve">Manufacturing and construction </w:t>
            </w:r>
          </w:p>
        </w:tc>
        <w:tc>
          <w:tcPr>
            <w:tcW w:w="709" w:type="dxa"/>
            <w:tcBorders>
              <w:top w:val="single" w:sz="2" w:space="0" w:color="000000"/>
              <w:left w:val="single" w:sz="2" w:space="0" w:color="000000"/>
              <w:bottom w:val="single" w:sz="2" w:space="0" w:color="000000"/>
              <w:right w:val="single" w:sz="2" w:space="0" w:color="000000"/>
            </w:tcBorders>
            <w:vAlign w:val="center"/>
          </w:tcPr>
          <w:p w14:paraId="4F422B41" w14:textId="77777777" w:rsidR="00920B68" w:rsidRPr="00364545" w:rsidRDefault="00920B68" w:rsidP="00920B68">
            <w:pPr>
              <w:spacing w:line="259" w:lineRule="auto"/>
              <w:ind w:left="108"/>
              <w:jc w:val="center"/>
              <w:rPr>
                <w:sz w:val="16"/>
                <w:szCs w:val="16"/>
              </w:rPr>
            </w:pPr>
            <w:r w:rsidRPr="00664108">
              <w:rPr>
                <w:rFonts w:asciiTheme="majorHAnsi" w:hAnsiTheme="majorHAnsi" w:cs="Calibri"/>
                <w:color w:val="000000"/>
                <w:sz w:val="16"/>
                <w:szCs w:val="16"/>
              </w:rPr>
              <w:t>76164</w:t>
            </w:r>
          </w:p>
        </w:tc>
        <w:tc>
          <w:tcPr>
            <w:tcW w:w="710" w:type="dxa"/>
            <w:tcBorders>
              <w:top w:val="single" w:sz="2" w:space="0" w:color="000000"/>
              <w:left w:val="single" w:sz="2" w:space="0" w:color="000000"/>
              <w:bottom w:val="single" w:sz="2" w:space="0" w:color="000000"/>
              <w:right w:val="single" w:sz="2" w:space="0" w:color="000000"/>
            </w:tcBorders>
            <w:vAlign w:val="center"/>
          </w:tcPr>
          <w:p w14:paraId="38822AC4" w14:textId="77777777" w:rsidR="00920B68" w:rsidRPr="00364545" w:rsidRDefault="00920B68" w:rsidP="00920B68">
            <w:pPr>
              <w:spacing w:line="259" w:lineRule="auto"/>
              <w:ind w:left="108"/>
              <w:jc w:val="center"/>
              <w:rPr>
                <w:sz w:val="16"/>
                <w:szCs w:val="16"/>
              </w:rPr>
            </w:pPr>
            <w:r w:rsidRPr="00664108">
              <w:rPr>
                <w:rFonts w:asciiTheme="majorHAnsi" w:hAnsiTheme="majorHAnsi" w:cs="Calibri"/>
                <w:color w:val="000000"/>
                <w:sz w:val="16"/>
                <w:szCs w:val="16"/>
              </w:rPr>
              <w:t>80423</w:t>
            </w:r>
          </w:p>
        </w:tc>
        <w:tc>
          <w:tcPr>
            <w:tcW w:w="710" w:type="dxa"/>
            <w:tcBorders>
              <w:top w:val="single" w:sz="2" w:space="0" w:color="000000"/>
              <w:left w:val="single" w:sz="2" w:space="0" w:color="000000"/>
              <w:bottom w:val="single" w:sz="2" w:space="0" w:color="000000"/>
              <w:right w:val="single" w:sz="2" w:space="0" w:color="000000"/>
            </w:tcBorders>
            <w:vAlign w:val="center"/>
          </w:tcPr>
          <w:p w14:paraId="74AF65FC" w14:textId="77777777" w:rsidR="00920B68" w:rsidRPr="00364545" w:rsidRDefault="00920B68" w:rsidP="00920B68">
            <w:pPr>
              <w:spacing w:line="259" w:lineRule="auto"/>
              <w:ind w:left="108"/>
              <w:jc w:val="center"/>
              <w:rPr>
                <w:sz w:val="16"/>
                <w:szCs w:val="16"/>
              </w:rPr>
            </w:pPr>
            <w:r w:rsidRPr="00664108">
              <w:rPr>
                <w:rFonts w:asciiTheme="majorHAnsi" w:hAnsiTheme="majorHAnsi" w:cs="Calibri"/>
                <w:color w:val="000000"/>
                <w:sz w:val="16"/>
                <w:szCs w:val="16"/>
              </w:rPr>
              <w:t>75532</w:t>
            </w:r>
          </w:p>
        </w:tc>
        <w:tc>
          <w:tcPr>
            <w:tcW w:w="710" w:type="dxa"/>
            <w:tcBorders>
              <w:top w:val="single" w:sz="2" w:space="0" w:color="000000"/>
              <w:left w:val="single" w:sz="2" w:space="0" w:color="000000"/>
              <w:bottom w:val="single" w:sz="2" w:space="0" w:color="000000"/>
              <w:right w:val="single" w:sz="2" w:space="0" w:color="000000"/>
            </w:tcBorders>
            <w:vAlign w:val="center"/>
          </w:tcPr>
          <w:p w14:paraId="07E86B03" w14:textId="77777777" w:rsidR="00920B68" w:rsidRPr="00364545" w:rsidRDefault="00920B68" w:rsidP="00920B68">
            <w:pPr>
              <w:spacing w:line="259" w:lineRule="auto"/>
              <w:ind w:left="108"/>
              <w:jc w:val="center"/>
              <w:rPr>
                <w:sz w:val="16"/>
                <w:szCs w:val="16"/>
              </w:rPr>
            </w:pPr>
            <w:r w:rsidRPr="00664108">
              <w:rPr>
                <w:rFonts w:asciiTheme="majorHAnsi" w:hAnsiTheme="majorHAnsi" w:cs="Calibri"/>
                <w:color w:val="000000"/>
                <w:sz w:val="16"/>
                <w:szCs w:val="16"/>
              </w:rPr>
              <w:t>71990</w:t>
            </w:r>
          </w:p>
        </w:tc>
        <w:tc>
          <w:tcPr>
            <w:tcW w:w="710" w:type="dxa"/>
            <w:tcBorders>
              <w:top w:val="single" w:sz="2" w:space="0" w:color="000000"/>
              <w:left w:val="single" w:sz="2" w:space="0" w:color="000000"/>
              <w:bottom w:val="single" w:sz="2" w:space="0" w:color="000000"/>
              <w:right w:val="single" w:sz="2" w:space="0" w:color="000000"/>
            </w:tcBorders>
            <w:vAlign w:val="center"/>
          </w:tcPr>
          <w:p w14:paraId="7A5E0C4E" w14:textId="77777777" w:rsidR="00920B68" w:rsidRPr="00364545" w:rsidRDefault="00920B68" w:rsidP="00920B68">
            <w:pPr>
              <w:spacing w:line="259" w:lineRule="auto"/>
              <w:ind w:left="108"/>
              <w:jc w:val="center"/>
              <w:rPr>
                <w:sz w:val="16"/>
                <w:szCs w:val="16"/>
              </w:rPr>
            </w:pPr>
            <w:r w:rsidRPr="00664108">
              <w:rPr>
                <w:rFonts w:asciiTheme="majorHAnsi" w:hAnsiTheme="majorHAnsi" w:cs="Calibri"/>
                <w:color w:val="000000"/>
                <w:sz w:val="16"/>
                <w:szCs w:val="16"/>
              </w:rPr>
              <w:t>62105</w:t>
            </w:r>
          </w:p>
        </w:tc>
        <w:tc>
          <w:tcPr>
            <w:tcW w:w="709" w:type="dxa"/>
            <w:tcBorders>
              <w:top w:val="single" w:sz="2" w:space="0" w:color="000000"/>
              <w:left w:val="single" w:sz="2" w:space="0" w:color="000000"/>
              <w:bottom w:val="single" w:sz="2" w:space="0" w:color="000000"/>
              <w:right w:val="single" w:sz="2" w:space="0" w:color="000000"/>
            </w:tcBorders>
            <w:vAlign w:val="center"/>
          </w:tcPr>
          <w:p w14:paraId="050B11B6" w14:textId="77777777" w:rsidR="00920B68" w:rsidRPr="00364545" w:rsidRDefault="00920B68" w:rsidP="00920B68">
            <w:pPr>
              <w:spacing w:line="259" w:lineRule="auto"/>
              <w:ind w:left="108"/>
              <w:jc w:val="center"/>
              <w:rPr>
                <w:sz w:val="16"/>
                <w:szCs w:val="16"/>
              </w:rPr>
            </w:pPr>
            <w:r w:rsidRPr="00664108">
              <w:rPr>
                <w:rFonts w:asciiTheme="majorHAnsi" w:hAnsiTheme="majorHAnsi" w:cs="Calibri"/>
                <w:color w:val="000000"/>
                <w:sz w:val="16"/>
                <w:szCs w:val="16"/>
              </w:rPr>
              <w:t>51963</w:t>
            </w:r>
          </w:p>
        </w:tc>
        <w:tc>
          <w:tcPr>
            <w:tcW w:w="710" w:type="dxa"/>
            <w:tcBorders>
              <w:top w:val="single" w:sz="2" w:space="0" w:color="000000"/>
              <w:left w:val="single" w:sz="2" w:space="0" w:color="000000"/>
              <w:bottom w:val="single" w:sz="2" w:space="0" w:color="000000"/>
              <w:right w:val="single" w:sz="2" w:space="0" w:color="000000"/>
            </w:tcBorders>
            <w:vAlign w:val="center"/>
          </w:tcPr>
          <w:p w14:paraId="14B332E2" w14:textId="77777777" w:rsidR="00920B68" w:rsidRPr="00364545" w:rsidRDefault="00920B68" w:rsidP="00920B68">
            <w:pPr>
              <w:spacing w:line="259" w:lineRule="auto"/>
              <w:ind w:left="108"/>
              <w:jc w:val="center"/>
              <w:rPr>
                <w:rFonts w:ascii="Calibri" w:hAnsi="Calibri"/>
                <w:color w:val="000000"/>
                <w:sz w:val="20"/>
              </w:rPr>
            </w:pPr>
            <w:r w:rsidRPr="00664108">
              <w:rPr>
                <w:rFonts w:asciiTheme="majorHAnsi" w:hAnsiTheme="majorHAnsi" w:cs="Calibri"/>
                <w:color w:val="000000"/>
                <w:sz w:val="16"/>
                <w:szCs w:val="16"/>
              </w:rPr>
              <w:t>48031</w:t>
            </w:r>
          </w:p>
        </w:tc>
        <w:tc>
          <w:tcPr>
            <w:tcW w:w="710" w:type="dxa"/>
            <w:tcBorders>
              <w:top w:val="single" w:sz="2" w:space="0" w:color="000000"/>
              <w:left w:val="single" w:sz="2" w:space="0" w:color="000000"/>
              <w:bottom w:val="single" w:sz="2" w:space="0" w:color="000000"/>
              <w:right w:val="single" w:sz="2" w:space="0" w:color="000000"/>
            </w:tcBorders>
            <w:vAlign w:val="center"/>
          </w:tcPr>
          <w:p w14:paraId="39B3D1AF"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43570</w:t>
            </w:r>
          </w:p>
        </w:tc>
        <w:tc>
          <w:tcPr>
            <w:tcW w:w="710" w:type="dxa"/>
            <w:tcBorders>
              <w:top w:val="single" w:sz="2" w:space="0" w:color="000000"/>
              <w:left w:val="single" w:sz="2" w:space="0" w:color="000000"/>
              <w:bottom w:val="single" w:sz="2" w:space="0" w:color="000000"/>
              <w:right w:val="single" w:sz="2" w:space="0" w:color="000000"/>
            </w:tcBorders>
            <w:vAlign w:val="center"/>
          </w:tcPr>
          <w:p w14:paraId="427FE849"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38146</w:t>
            </w:r>
          </w:p>
        </w:tc>
        <w:tc>
          <w:tcPr>
            <w:tcW w:w="710" w:type="dxa"/>
            <w:tcBorders>
              <w:top w:val="single" w:sz="2" w:space="0" w:color="000000"/>
              <w:left w:val="single" w:sz="2" w:space="0" w:color="000000"/>
              <w:bottom w:val="single" w:sz="2" w:space="0" w:color="000000"/>
              <w:right w:val="single" w:sz="2" w:space="0" w:color="000000"/>
            </w:tcBorders>
            <w:vAlign w:val="center"/>
          </w:tcPr>
          <w:p w14:paraId="3FFF1DD3"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30122</w:t>
            </w:r>
          </w:p>
        </w:tc>
        <w:tc>
          <w:tcPr>
            <w:tcW w:w="710" w:type="dxa"/>
            <w:tcBorders>
              <w:top w:val="single" w:sz="2" w:space="0" w:color="000000"/>
              <w:left w:val="single" w:sz="2" w:space="0" w:color="000000"/>
              <w:bottom w:val="single" w:sz="2" w:space="0" w:color="000000"/>
              <w:right w:val="single" w:sz="2" w:space="0" w:color="000000"/>
            </w:tcBorders>
            <w:vAlign w:val="center"/>
          </w:tcPr>
          <w:p w14:paraId="3927F14F"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23105</w:t>
            </w:r>
          </w:p>
        </w:tc>
        <w:tc>
          <w:tcPr>
            <w:tcW w:w="710" w:type="dxa"/>
            <w:tcBorders>
              <w:top w:val="single" w:sz="2" w:space="0" w:color="000000"/>
              <w:left w:val="single" w:sz="2" w:space="0" w:color="000000"/>
              <w:bottom w:val="single" w:sz="2" w:space="0" w:color="000000"/>
              <w:right w:val="single" w:sz="2" w:space="0" w:color="000000"/>
            </w:tcBorders>
            <w:vAlign w:val="center"/>
          </w:tcPr>
          <w:p w14:paraId="4C612C61"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2056</w:t>
            </w:r>
          </w:p>
        </w:tc>
      </w:tr>
      <w:tr w:rsidR="00920B68" w:rsidRPr="00364545" w14:paraId="466FC3BE" w14:textId="77777777" w:rsidTr="00920B68">
        <w:trPr>
          <w:trHeight w:val="288"/>
        </w:trPr>
        <w:tc>
          <w:tcPr>
            <w:tcW w:w="1277" w:type="dxa"/>
            <w:tcBorders>
              <w:top w:val="single" w:sz="2" w:space="0" w:color="000000"/>
              <w:left w:val="single" w:sz="2" w:space="0" w:color="000000"/>
              <w:bottom w:val="single" w:sz="2" w:space="0" w:color="000000"/>
              <w:right w:val="single" w:sz="2" w:space="0" w:color="000000"/>
            </w:tcBorders>
            <w:shd w:val="clear" w:color="auto" w:fill="ECE6E2"/>
          </w:tcPr>
          <w:p w14:paraId="0F960744" w14:textId="77777777" w:rsidR="00920B68" w:rsidRPr="00364545" w:rsidRDefault="00920B68" w:rsidP="00920B68">
            <w:pPr>
              <w:spacing w:line="259" w:lineRule="auto"/>
              <w:jc w:val="left"/>
            </w:pPr>
            <w:r w:rsidRPr="00364545">
              <w:rPr>
                <w:sz w:val="18"/>
              </w:rPr>
              <w:t xml:space="preserve">Transport </w:t>
            </w:r>
          </w:p>
        </w:tc>
        <w:tc>
          <w:tcPr>
            <w:tcW w:w="70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A180DE" w14:textId="77777777" w:rsidR="00920B68" w:rsidRPr="00364545" w:rsidRDefault="00920B68" w:rsidP="00920B68">
            <w:pPr>
              <w:spacing w:line="259" w:lineRule="auto"/>
              <w:ind w:left="58"/>
              <w:jc w:val="center"/>
              <w:rPr>
                <w:sz w:val="16"/>
                <w:szCs w:val="16"/>
              </w:rPr>
            </w:pPr>
            <w:r w:rsidRPr="00664108">
              <w:rPr>
                <w:rFonts w:asciiTheme="majorHAnsi" w:hAnsiTheme="majorHAnsi"/>
                <w:sz w:val="16"/>
                <w:szCs w:val="16"/>
              </w:rPr>
              <w:t>122293</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3D96ADD" w14:textId="77777777" w:rsidR="00920B68" w:rsidRPr="00364545" w:rsidRDefault="00920B68" w:rsidP="00920B68">
            <w:pPr>
              <w:spacing w:line="259" w:lineRule="auto"/>
              <w:ind w:left="58"/>
              <w:jc w:val="center"/>
              <w:rPr>
                <w:sz w:val="16"/>
                <w:szCs w:val="16"/>
              </w:rPr>
            </w:pPr>
            <w:r w:rsidRPr="00664108">
              <w:rPr>
                <w:rFonts w:asciiTheme="majorHAnsi" w:hAnsiTheme="majorHAnsi"/>
                <w:sz w:val="16"/>
                <w:szCs w:val="16"/>
              </w:rPr>
              <w:t>132329</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6E56C31" w14:textId="77777777" w:rsidR="00920B68" w:rsidRPr="00364545" w:rsidRDefault="00920B68" w:rsidP="00920B68">
            <w:pPr>
              <w:spacing w:line="259" w:lineRule="auto"/>
              <w:ind w:left="58"/>
              <w:jc w:val="center"/>
              <w:rPr>
                <w:sz w:val="16"/>
                <w:szCs w:val="16"/>
              </w:rPr>
            </w:pPr>
            <w:r w:rsidRPr="00664108">
              <w:rPr>
                <w:rFonts w:asciiTheme="majorHAnsi" w:hAnsiTheme="majorHAnsi"/>
                <w:sz w:val="16"/>
                <w:szCs w:val="16"/>
              </w:rPr>
              <w:t>141051</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744759" w14:textId="77777777" w:rsidR="00920B68" w:rsidRPr="00364545" w:rsidRDefault="00920B68" w:rsidP="00920B68">
            <w:pPr>
              <w:spacing w:line="259" w:lineRule="auto"/>
              <w:ind w:left="58"/>
              <w:jc w:val="center"/>
              <w:rPr>
                <w:sz w:val="16"/>
                <w:szCs w:val="16"/>
              </w:rPr>
            </w:pPr>
            <w:r w:rsidRPr="00664108">
              <w:rPr>
                <w:rFonts w:asciiTheme="majorHAnsi" w:hAnsiTheme="majorHAnsi"/>
                <w:sz w:val="16"/>
                <w:szCs w:val="16"/>
              </w:rPr>
              <w:t>142041</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9E22056" w14:textId="77777777" w:rsidR="00920B68" w:rsidRPr="00364545" w:rsidRDefault="00920B68" w:rsidP="00920B68">
            <w:pPr>
              <w:spacing w:line="259" w:lineRule="auto"/>
              <w:ind w:left="58"/>
              <w:jc w:val="center"/>
              <w:rPr>
                <w:sz w:val="16"/>
                <w:szCs w:val="16"/>
              </w:rPr>
            </w:pPr>
            <w:r w:rsidRPr="00664108">
              <w:rPr>
                <w:rFonts w:asciiTheme="majorHAnsi" w:hAnsiTheme="majorHAnsi"/>
                <w:sz w:val="16"/>
                <w:szCs w:val="16"/>
              </w:rPr>
              <w:t>133750</w:t>
            </w:r>
          </w:p>
        </w:tc>
        <w:tc>
          <w:tcPr>
            <w:tcW w:w="70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2FF5896" w14:textId="77777777" w:rsidR="00920B68" w:rsidRPr="00364545" w:rsidRDefault="00920B68" w:rsidP="00920B68">
            <w:pPr>
              <w:spacing w:line="259" w:lineRule="auto"/>
              <w:ind w:left="58"/>
              <w:jc w:val="center"/>
              <w:rPr>
                <w:sz w:val="16"/>
                <w:szCs w:val="16"/>
              </w:rPr>
            </w:pPr>
            <w:r w:rsidRPr="00664108">
              <w:rPr>
                <w:rFonts w:asciiTheme="majorHAnsi" w:hAnsiTheme="majorHAnsi"/>
                <w:sz w:val="16"/>
                <w:szCs w:val="16"/>
              </w:rPr>
              <w:t>133744</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8F64810" w14:textId="77777777" w:rsidR="00920B68" w:rsidRPr="00364545" w:rsidRDefault="00920B68" w:rsidP="00920B68">
            <w:pPr>
              <w:spacing w:line="259" w:lineRule="auto"/>
              <w:ind w:left="62"/>
              <w:jc w:val="center"/>
              <w:rPr>
                <w:rFonts w:ascii="Calibri" w:hAnsi="Calibri"/>
                <w:color w:val="000000"/>
                <w:sz w:val="20"/>
              </w:rPr>
            </w:pPr>
            <w:r w:rsidRPr="00664108">
              <w:rPr>
                <w:rFonts w:asciiTheme="majorHAnsi" w:hAnsiTheme="majorHAnsi"/>
                <w:sz w:val="16"/>
                <w:szCs w:val="16"/>
              </w:rPr>
              <w:t>131725</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3751ED" w14:textId="77777777" w:rsidR="00920B68" w:rsidRPr="00634E4C" w:rsidRDefault="00920B68" w:rsidP="00920B68">
            <w:pPr>
              <w:spacing w:line="259" w:lineRule="auto"/>
              <w:ind w:left="62"/>
              <w:jc w:val="center"/>
              <w:rPr>
                <w:rFonts w:asciiTheme="majorHAnsi" w:hAnsiTheme="majorHAnsi"/>
                <w:sz w:val="16"/>
              </w:rPr>
            </w:pPr>
            <w:r w:rsidRPr="00634E4C">
              <w:rPr>
                <w:rFonts w:asciiTheme="majorHAnsi" w:hAnsiTheme="majorHAnsi"/>
                <w:color w:val="000000"/>
                <w:sz w:val="16"/>
              </w:rPr>
              <w:t>126491</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44EA8D8" w14:textId="77777777" w:rsidR="00920B68" w:rsidRPr="00634E4C" w:rsidRDefault="00920B68" w:rsidP="00920B68">
            <w:pPr>
              <w:spacing w:line="259" w:lineRule="auto"/>
              <w:ind w:left="62"/>
              <w:jc w:val="center"/>
              <w:rPr>
                <w:rFonts w:asciiTheme="majorHAnsi" w:hAnsiTheme="majorHAnsi"/>
                <w:sz w:val="16"/>
              </w:rPr>
            </w:pPr>
            <w:r w:rsidRPr="00634E4C">
              <w:rPr>
                <w:rFonts w:asciiTheme="majorHAnsi" w:hAnsiTheme="majorHAnsi"/>
                <w:color w:val="000000"/>
                <w:sz w:val="16"/>
              </w:rPr>
              <w:t>110958</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8B045B4" w14:textId="77777777" w:rsidR="00920B68" w:rsidRPr="00634E4C" w:rsidRDefault="00920B68" w:rsidP="00920B68">
            <w:pPr>
              <w:spacing w:line="259" w:lineRule="auto"/>
              <w:ind w:left="62"/>
              <w:jc w:val="center"/>
              <w:rPr>
                <w:rFonts w:asciiTheme="majorHAnsi" w:hAnsiTheme="majorHAnsi"/>
                <w:sz w:val="16"/>
              </w:rPr>
            </w:pPr>
            <w:r w:rsidRPr="00634E4C">
              <w:rPr>
                <w:rFonts w:asciiTheme="majorHAnsi" w:hAnsiTheme="majorHAnsi"/>
                <w:color w:val="000000"/>
                <w:sz w:val="16"/>
              </w:rPr>
              <w:t>94288</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D6EDF0F" w14:textId="77777777" w:rsidR="00920B68" w:rsidRPr="00634E4C" w:rsidRDefault="00920B68" w:rsidP="00920B68">
            <w:pPr>
              <w:spacing w:line="259" w:lineRule="auto"/>
              <w:ind w:left="62"/>
              <w:jc w:val="center"/>
              <w:rPr>
                <w:rFonts w:asciiTheme="majorHAnsi" w:hAnsiTheme="majorHAnsi"/>
                <w:sz w:val="16"/>
              </w:rPr>
            </w:pPr>
            <w:r w:rsidRPr="00634E4C">
              <w:rPr>
                <w:rFonts w:asciiTheme="majorHAnsi" w:hAnsiTheme="majorHAnsi"/>
                <w:color w:val="000000"/>
                <w:sz w:val="16"/>
              </w:rPr>
              <w:t>71522</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1702608" w14:textId="77777777" w:rsidR="00920B68" w:rsidRPr="00634E4C" w:rsidRDefault="00920B68" w:rsidP="00920B68">
            <w:pPr>
              <w:spacing w:line="259" w:lineRule="auto"/>
              <w:ind w:left="62"/>
              <w:jc w:val="center"/>
              <w:rPr>
                <w:rFonts w:asciiTheme="majorHAnsi" w:hAnsiTheme="majorHAnsi"/>
                <w:sz w:val="16"/>
              </w:rPr>
            </w:pPr>
            <w:r w:rsidRPr="00634E4C">
              <w:rPr>
                <w:rFonts w:asciiTheme="majorHAnsi" w:hAnsiTheme="majorHAnsi"/>
                <w:color w:val="000000"/>
                <w:sz w:val="16"/>
              </w:rPr>
              <w:t>3221</w:t>
            </w:r>
          </w:p>
        </w:tc>
      </w:tr>
      <w:tr w:rsidR="00920B68" w:rsidRPr="00364545" w14:paraId="2565F215" w14:textId="77777777" w:rsidTr="00920B68">
        <w:trPr>
          <w:trHeight w:val="527"/>
        </w:trPr>
        <w:tc>
          <w:tcPr>
            <w:tcW w:w="1277" w:type="dxa"/>
            <w:tcBorders>
              <w:top w:val="single" w:sz="2" w:space="0" w:color="000000"/>
              <w:left w:val="single" w:sz="2" w:space="0" w:color="000000"/>
              <w:bottom w:val="single" w:sz="2" w:space="0" w:color="000000"/>
              <w:right w:val="single" w:sz="2" w:space="0" w:color="000000"/>
            </w:tcBorders>
          </w:tcPr>
          <w:p w14:paraId="48B52AC3" w14:textId="77777777" w:rsidR="00920B68" w:rsidRPr="00364545" w:rsidRDefault="00920B68" w:rsidP="00920B68">
            <w:pPr>
              <w:spacing w:line="259" w:lineRule="auto"/>
              <w:jc w:val="left"/>
            </w:pPr>
            <w:r w:rsidRPr="00364545">
              <w:rPr>
                <w:sz w:val="18"/>
              </w:rPr>
              <w:t xml:space="preserve">Other sectors </w:t>
            </w:r>
          </w:p>
          <w:p w14:paraId="69365EDE" w14:textId="77777777" w:rsidR="00920B68" w:rsidRPr="00364545" w:rsidRDefault="00920B68" w:rsidP="00920B68">
            <w:pPr>
              <w:spacing w:line="259" w:lineRule="auto"/>
              <w:jc w:val="left"/>
            </w:pPr>
            <w:r w:rsidRPr="00364545">
              <w:rPr>
                <w:sz w:val="18"/>
              </w:rPr>
              <w:t xml:space="preserve">(residential, tertiary, agriculture) </w:t>
            </w:r>
          </w:p>
        </w:tc>
        <w:tc>
          <w:tcPr>
            <w:tcW w:w="709" w:type="dxa"/>
            <w:tcBorders>
              <w:top w:val="single" w:sz="2" w:space="0" w:color="000000"/>
              <w:left w:val="single" w:sz="2" w:space="0" w:color="000000"/>
              <w:bottom w:val="single" w:sz="2" w:space="0" w:color="000000"/>
              <w:right w:val="single" w:sz="2" w:space="0" w:color="000000"/>
            </w:tcBorders>
            <w:vAlign w:val="center"/>
          </w:tcPr>
          <w:p w14:paraId="65E2574B" w14:textId="77777777" w:rsidR="00920B68" w:rsidRPr="00364545" w:rsidRDefault="00920B68" w:rsidP="00920B68">
            <w:pPr>
              <w:spacing w:line="259" w:lineRule="auto"/>
              <w:ind w:left="58"/>
              <w:jc w:val="center"/>
              <w:rPr>
                <w:sz w:val="16"/>
                <w:szCs w:val="16"/>
              </w:rPr>
            </w:pPr>
            <w:r w:rsidRPr="00664108">
              <w:rPr>
                <w:rFonts w:asciiTheme="majorHAnsi" w:hAnsiTheme="majorHAnsi" w:cs="Calibri"/>
                <w:color w:val="000000"/>
                <w:sz w:val="16"/>
                <w:szCs w:val="16"/>
              </w:rPr>
              <w:t>102477</w:t>
            </w:r>
          </w:p>
        </w:tc>
        <w:tc>
          <w:tcPr>
            <w:tcW w:w="710" w:type="dxa"/>
            <w:tcBorders>
              <w:top w:val="single" w:sz="2" w:space="0" w:color="000000"/>
              <w:left w:val="single" w:sz="2" w:space="0" w:color="000000"/>
              <w:bottom w:val="single" w:sz="2" w:space="0" w:color="000000"/>
              <w:right w:val="single" w:sz="2" w:space="0" w:color="000000"/>
            </w:tcBorders>
            <w:vAlign w:val="center"/>
          </w:tcPr>
          <w:p w14:paraId="373BC09F" w14:textId="77777777" w:rsidR="00920B68" w:rsidRPr="00364545" w:rsidRDefault="00920B68" w:rsidP="00920B68">
            <w:pPr>
              <w:spacing w:line="259" w:lineRule="auto"/>
              <w:ind w:left="58"/>
              <w:jc w:val="center"/>
              <w:rPr>
                <w:sz w:val="16"/>
                <w:szCs w:val="16"/>
              </w:rPr>
            </w:pPr>
            <w:r w:rsidRPr="00664108">
              <w:rPr>
                <w:rFonts w:asciiTheme="majorHAnsi" w:hAnsiTheme="majorHAnsi" w:cs="Calibri"/>
                <w:color w:val="000000"/>
                <w:sz w:val="16"/>
                <w:szCs w:val="16"/>
              </w:rPr>
              <w:t>97525</w:t>
            </w:r>
          </w:p>
        </w:tc>
        <w:tc>
          <w:tcPr>
            <w:tcW w:w="710" w:type="dxa"/>
            <w:tcBorders>
              <w:top w:val="single" w:sz="2" w:space="0" w:color="000000"/>
              <w:left w:val="single" w:sz="2" w:space="0" w:color="000000"/>
              <w:bottom w:val="single" w:sz="2" w:space="0" w:color="000000"/>
              <w:right w:val="single" w:sz="2" w:space="0" w:color="000000"/>
            </w:tcBorders>
            <w:vAlign w:val="center"/>
          </w:tcPr>
          <w:p w14:paraId="0A596E94" w14:textId="77777777" w:rsidR="00920B68" w:rsidRPr="00364545" w:rsidRDefault="00920B68" w:rsidP="00920B68">
            <w:pPr>
              <w:spacing w:line="259" w:lineRule="auto"/>
              <w:ind w:left="58"/>
              <w:jc w:val="center"/>
              <w:rPr>
                <w:sz w:val="16"/>
                <w:szCs w:val="16"/>
              </w:rPr>
            </w:pPr>
            <w:r w:rsidRPr="00664108">
              <w:rPr>
                <w:rFonts w:asciiTheme="majorHAnsi" w:hAnsiTheme="majorHAnsi" w:cs="Calibri"/>
                <w:color w:val="000000"/>
                <w:sz w:val="16"/>
                <w:szCs w:val="16"/>
              </w:rPr>
              <w:t>102881</w:t>
            </w:r>
          </w:p>
        </w:tc>
        <w:tc>
          <w:tcPr>
            <w:tcW w:w="710" w:type="dxa"/>
            <w:tcBorders>
              <w:top w:val="single" w:sz="2" w:space="0" w:color="000000"/>
              <w:left w:val="single" w:sz="2" w:space="0" w:color="000000"/>
              <w:bottom w:val="single" w:sz="2" w:space="0" w:color="000000"/>
              <w:right w:val="single" w:sz="2" w:space="0" w:color="000000"/>
            </w:tcBorders>
            <w:vAlign w:val="center"/>
          </w:tcPr>
          <w:p w14:paraId="23F3DCF0" w14:textId="77777777" w:rsidR="00920B68" w:rsidRPr="00364545" w:rsidRDefault="00920B68" w:rsidP="00920B68">
            <w:pPr>
              <w:spacing w:line="259" w:lineRule="auto"/>
              <w:ind w:left="62"/>
              <w:jc w:val="center"/>
              <w:rPr>
                <w:sz w:val="16"/>
                <w:szCs w:val="16"/>
              </w:rPr>
            </w:pPr>
            <w:r w:rsidRPr="00664108">
              <w:rPr>
                <w:rFonts w:asciiTheme="majorHAnsi" w:hAnsiTheme="majorHAnsi" w:cs="Calibri"/>
                <w:color w:val="000000"/>
                <w:sz w:val="16"/>
                <w:szCs w:val="16"/>
              </w:rPr>
              <w:t>109388</w:t>
            </w:r>
          </w:p>
        </w:tc>
        <w:tc>
          <w:tcPr>
            <w:tcW w:w="710" w:type="dxa"/>
            <w:tcBorders>
              <w:top w:val="single" w:sz="2" w:space="0" w:color="000000"/>
              <w:left w:val="single" w:sz="2" w:space="0" w:color="000000"/>
              <w:bottom w:val="single" w:sz="2" w:space="0" w:color="000000"/>
              <w:right w:val="single" w:sz="2" w:space="0" w:color="000000"/>
            </w:tcBorders>
            <w:vAlign w:val="center"/>
          </w:tcPr>
          <w:p w14:paraId="5D6FAD5D" w14:textId="77777777" w:rsidR="00920B68" w:rsidRPr="00364545" w:rsidRDefault="00920B68" w:rsidP="00920B68">
            <w:pPr>
              <w:spacing w:line="259" w:lineRule="auto"/>
              <w:ind w:left="58"/>
              <w:jc w:val="center"/>
              <w:rPr>
                <w:sz w:val="16"/>
                <w:szCs w:val="16"/>
              </w:rPr>
            </w:pPr>
            <w:r w:rsidRPr="00664108">
              <w:rPr>
                <w:rFonts w:asciiTheme="majorHAnsi" w:hAnsiTheme="majorHAnsi" w:cs="Calibri"/>
                <w:color w:val="000000"/>
                <w:sz w:val="16"/>
                <w:szCs w:val="16"/>
              </w:rPr>
              <w:t>101722</w:t>
            </w:r>
          </w:p>
        </w:tc>
        <w:tc>
          <w:tcPr>
            <w:tcW w:w="709" w:type="dxa"/>
            <w:tcBorders>
              <w:top w:val="single" w:sz="2" w:space="0" w:color="000000"/>
              <w:left w:val="single" w:sz="2" w:space="0" w:color="000000"/>
              <w:bottom w:val="single" w:sz="2" w:space="0" w:color="000000"/>
              <w:right w:val="single" w:sz="2" w:space="0" w:color="000000"/>
            </w:tcBorders>
            <w:vAlign w:val="center"/>
          </w:tcPr>
          <w:p w14:paraId="205AC23F" w14:textId="77777777" w:rsidR="00920B68" w:rsidRPr="00364545" w:rsidRDefault="00920B68" w:rsidP="00920B68">
            <w:pPr>
              <w:spacing w:line="259" w:lineRule="auto"/>
              <w:ind w:left="108"/>
              <w:jc w:val="center"/>
              <w:rPr>
                <w:sz w:val="16"/>
                <w:szCs w:val="16"/>
              </w:rPr>
            </w:pPr>
            <w:r w:rsidRPr="00664108">
              <w:rPr>
                <w:rFonts w:asciiTheme="majorHAnsi" w:hAnsiTheme="majorHAnsi" w:cs="Calibri"/>
                <w:color w:val="000000"/>
                <w:sz w:val="16"/>
                <w:szCs w:val="16"/>
              </w:rPr>
              <w:t>82940</w:t>
            </w:r>
          </w:p>
        </w:tc>
        <w:tc>
          <w:tcPr>
            <w:tcW w:w="710" w:type="dxa"/>
            <w:tcBorders>
              <w:top w:val="single" w:sz="2" w:space="0" w:color="000000"/>
              <w:left w:val="single" w:sz="2" w:space="0" w:color="000000"/>
              <w:bottom w:val="single" w:sz="2" w:space="0" w:color="000000"/>
              <w:right w:val="single" w:sz="2" w:space="0" w:color="000000"/>
            </w:tcBorders>
            <w:vAlign w:val="center"/>
          </w:tcPr>
          <w:p w14:paraId="54DAAF38" w14:textId="77777777" w:rsidR="00920B68" w:rsidRPr="00364545" w:rsidRDefault="00920B68" w:rsidP="00920B68">
            <w:pPr>
              <w:spacing w:line="259" w:lineRule="auto"/>
              <w:ind w:left="108"/>
              <w:jc w:val="center"/>
              <w:rPr>
                <w:rFonts w:ascii="Calibri" w:hAnsi="Calibri"/>
                <w:color w:val="000000"/>
                <w:sz w:val="20"/>
              </w:rPr>
            </w:pPr>
            <w:r w:rsidRPr="00664108">
              <w:rPr>
                <w:rFonts w:asciiTheme="majorHAnsi" w:hAnsiTheme="majorHAnsi" w:cs="Calibri"/>
                <w:color w:val="000000"/>
                <w:sz w:val="16"/>
                <w:szCs w:val="16"/>
              </w:rPr>
              <w:t>75877</w:t>
            </w:r>
          </w:p>
        </w:tc>
        <w:tc>
          <w:tcPr>
            <w:tcW w:w="710" w:type="dxa"/>
            <w:tcBorders>
              <w:top w:val="single" w:sz="2" w:space="0" w:color="000000"/>
              <w:left w:val="single" w:sz="2" w:space="0" w:color="000000"/>
              <w:bottom w:val="single" w:sz="2" w:space="0" w:color="000000"/>
              <w:right w:val="single" w:sz="2" w:space="0" w:color="000000"/>
            </w:tcBorders>
            <w:vAlign w:val="center"/>
          </w:tcPr>
          <w:p w14:paraId="6480EA5B"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83566</w:t>
            </w:r>
          </w:p>
        </w:tc>
        <w:tc>
          <w:tcPr>
            <w:tcW w:w="710" w:type="dxa"/>
            <w:tcBorders>
              <w:top w:val="single" w:sz="2" w:space="0" w:color="000000"/>
              <w:left w:val="single" w:sz="2" w:space="0" w:color="000000"/>
              <w:bottom w:val="single" w:sz="2" w:space="0" w:color="000000"/>
              <w:right w:val="single" w:sz="2" w:space="0" w:color="000000"/>
            </w:tcBorders>
            <w:vAlign w:val="center"/>
          </w:tcPr>
          <w:p w14:paraId="40AB9E4B"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68697</w:t>
            </w:r>
          </w:p>
        </w:tc>
        <w:tc>
          <w:tcPr>
            <w:tcW w:w="710" w:type="dxa"/>
            <w:tcBorders>
              <w:top w:val="single" w:sz="2" w:space="0" w:color="000000"/>
              <w:left w:val="single" w:sz="2" w:space="0" w:color="000000"/>
              <w:bottom w:val="single" w:sz="2" w:space="0" w:color="000000"/>
              <w:right w:val="single" w:sz="2" w:space="0" w:color="000000"/>
            </w:tcBorders>
            <w:vAlign w:val="center"/>
          </w:tcPr>
          <w:p w14:paraId="12E4790B" w14:textId="77777777" w:rsidR="00920B68" w:rsidRPr="00634E4C" w:rsidRDefault="00920B68" w:rsidP="00920B68">
            <w:pPr>
              <w:spacing w:line="259" w:lineRule="auto"/>
              <w:ind w:left="113"/>
              <w:jc w:val="center"/>
              <w:rPr>
                <w:rFonts w:asciiTheme="majorHAnsi" w:hAnsiTheme="majorHAnsi"/>
                <w:sz w:val="16"/>
              </w:rPr>
            </w:pPr>
            <w:r w:rsidRPr="00634E4C">
              <w:rPr>
                <w:rFonts w:asciiTheme="majorHAnsi" w:hAnsiTheme="majorHAnsi"/>
                <w:color w:val="000000"/>
                <w:sz w:val="16"/>
              </w:rPr>
              <w:t>49099</w:t>
            </w:r>
          </w:p>
        </w:tc>
        <w:tc>
          <w:tcPr>
            <w:tcW w:w="710" w:type="dxa"/>
            <w:tcBorders>
              <w:top w:val="single" w:sz="2" w:space="0" w:color="000000"/>
              <w:left w:val="single" w:sz="2" w:space="0" w:color="000000"/>
              <w:bottom w:val="single" w:sz="2" w:space="0" w:color="000000"/>
              <w:right w:val="single" w:sz="2" w:space="0" w:color="000000"/>
            </w:tcBorders>
            <w:vAlign w:val="center"/>
          </w:tcPr>
          <w:p w14:paraId="62044DA5"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37516</w:t>
            </w:r>
          </w:p>
        </w:tc>
        <w:tc>
          <w:tcPr>
            <w:tcW w:w="710" w:type="dxa"/>
            <w:tcBorders>
              <w:top w:val="single" w:sz="2" w:space="0" w:color="000000"/>
              <w:left w:val="single" w:sz="2" w:space="0" w:color="000000"/>
              <w:bottom w:val="single" w:sz="2" w:space="0" w:color="000000"/>
              <w:right w:val="single" w:sz="2" w:space="0" w:color="000000"/>
            </w:tcBorders>
            <w:vAlign w:val="center"/>
          </w:tcPr>
          <w:p w14:paraId="5A23AB0D" w14:textId="77777777" w:rsidR="00920B68" w:rsidRPr="00634E4C" w:rsidRDefault="00920B68" w:rsidP="00920B68">
            <w:pPr>
              <w:spacing w:line="259" w:lineRule="auto"/>
              <w:ind w:left="108"/>
              <w:jc w:val="center"/>
              <w:rPr>
                <w:rFonts w:asciiTheme="majorHAnsi" w:hAnsiTheme="majorHAnsi"/>
                <w:sz w:val="16"/>
              </w:rPr>
            </w:pPr>
            <w:r w:rsidRPr="00634E4C">
              <w:rPr>
                <w:rFonts w:asciiTheme="majorHAnsi" w:hAnsiTheme="majorHAnsi"/>
                <w:color w:val="000000"/>
                <w:sz w:val="16"/>
              </w:rPr>
              <w:t>2766</w:t>
            </w:r>
          </w:p>
        </w:tc>
      </w:tr>
      <w:tr w:rsidR="00920B68" w:rsidRPr="00364545" w14:paraId="452E22F0" w14:textId="77777777" w:rsidTr="00920B68">
        <w:trPr>
          <w:trHeight w:val="288"/>
        </w:trPr>
        <w:tc>
          <w:tcPr>
            <w:tcW w:w="1277" w:type="dxa"/>
            <w:tcBorders>
              <w:top w:val="single" w:sz="2" w:space="0" w:color="000000"/>
              <w:left w:val="single" w:sz="2" w:space="0" w:color="000000"/>
              <w:bottom w:val="single" w:sz="2" w:space="0" w:color="000000"/>
              <w:right w:val="single" w:sz="2" w:space="0" w:color="000000"/>
            </w:tcBorders>
            <w:shd w:val="clear" w:color="auto" w:fill="ECE6E2"/>
          </w:tcPr>
          <w:p w14:paraId="5304D9BB" w14:textId="77777777" w:rsidR="00920B68" w:rsidRPr="00364545" w:rsidRDefault="00920B68" w:rsidP="00920B68">
            <w:pPr>
              <w:spacing w:line="259" w:lineRule="auto"/>
              <w:jc w:val="left"/>
            </w:pPr>
            <w:r w:rsidRPr="00364545">
              <w:rPr>
                <w:b/>
                <w:sz w:val="18"/>
              </w:rPr>
              <w:t xml:space="preserve">All energy </w:t>
            </w:r>
          </w:p>
        </w:tc>
        <w:tc>
          <w:tcPr>
            <w:tcW w:w="70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21CD6C" w14:textId="77777777" w:rsidR="00920B68" w:rsidRPr="00364545" w:rsidRDefault="00920B68" w:rsidP="00920B68">
            <w:pPr>
              <w:spacing w:line="259" w:lineRule="auto"/>
              <w:jc w:val="center"/>
              <w:rPr>
                <w:b/>
                <w:sz w:val="16"/>
                <w:szCs w:val="16"/>
              </w:rPr>
            </w:pPr>
            <w:r w:rsidRPr="00664108">
              <w:rPr>
                <w:rFonts w:asciiTheme="majorHAnsi" w:hAnsiTheme="majorHAnsi"/>
                <w:b/>
                <w:sz w:val="16"/>
                <w:szCs w:val="16"/>
              </w:rPr>
              <w:t>367272</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7D2970E" w14:textId="77777777" w:rsidR="00920B68" w:rsidRPr="00364545" w:rsidRDefault="00920B68" w:rsidP="00920B68">
            <w:pPr>
              <w:spacing w:line="259" w:lineRule="auto"/>
              <w:jc w:val="center"/>
              <w:rPr>
                <w:b/>
                <w:sz w:val="16"/>
                <w:szCs w:val="16"/>
              </w:rPr>
            </w:pPr>
            <w:r w:rsidRPr="00664108">
              <w:rPr>
                <w:rFonts w:asciiTheme="majorHAnsi" w:hAnsiTheme="majorHAnsi"/>
                <w:b/>
                <w:sz w:val="16"/>
                <w:szCs w:val="16"/>
              </w:rPr>
              <w:t>366079</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4F9C071" w14:textId="77777777" w:rsidR="00920B68" w:rsidRPr="00364545" w:rsidRDefault="00920B68" w:rsidP="00920B68">
            <w:pPr>
              <w:spacing w:line="259" w:lineRule="auto"/>
              <w:jc w:val="center"/>
              <w:rPr>
                <w:b/>
                <w:sz w:val="16"/>
                <w:szCs w:val="16"/>
              </w:rPr>
            </w:pPr>
            <w:r w:rsidRPr="00664108">
              <w:rPr>
                <w:rFonts w:asciiTheme="majorHAnsi" w:hAnsiTheme="majorHAnsi"/>
                <w:b/>
                <w:sz w:val="16"/>
                <w:szCs w:val="16"/>
              </w:rPr>
              <w:t>381989</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58660D" w14:textId="77777777" w:rsidR="00920B68" w:rsidRPr="00364545" w:rsidRDefault="00920B68" w:rsidP="00920B68">
            <w:pPr>
              <w:spacing w:line="259" w:lineRule="auto"/>
              <w:jc w:val="center"/>
              <w:rPr>
                <w:b/>
                <w:sz w:val="16"/>
                <w:szCs w:val="16"/>
              </w:rPr>
            </w:pPr>
            <w:r w:rsidRPr="00664108">
              <w:rPr>
                <w:rFonts w:asciiTheme="majorHAnsi" w:hAnsiTheme="majorHAnsi"/>
                <w:b/>
                <w:sz w:val="16"/>
                <w:szCs w:val="16"/>
              </w:rPr>
              <w:t>390391</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64FC0A4" w14:textId="77777777" w:rsidR="00920B68" w:rsidRPr="00364545" w:rsidRDefault="00920B68" w:rsidP="00920B68">
            <w:pPr>
              <w:spacing w:line="259" w:lineRule="auto"/>
              <w:jc w:val="center"/>
              <w:rPr>
                <w:b/>
                <w:sz w:val="16"/>
                <w:szCs w:val="16"/>
              </w:rPr>
            </w:pPr>
            <w:r w:rsidRPr="00664108">
              <w:rPr>
                <w:rFonts w:asciiTheme="majorHAnsi" w:hAnsiTheme="majorHAnsi"/>
                <w:b/>
                <w:sz w:val="16"/>
                <w:szCs w:val="16"/>
              </w:rPr>
              <w:t>357711</w:t>
            </w:r>
          </w:p>
        </w:tc>
        <w:tc>
          <w:tcPr>
            <w:tcW w:w="70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C9E04BB" w14:textId="77777777" w:rsidR="00920B68" w:rsidRPr="00364545" w:rsidRDefault="00920B68" w:rsidP="00920B68">
            <w:pPr>
              <w:spacing w:line="259" w:lineRule="auto"/>
              <w:jc w:val="center"/>
              <w:rPr>
                <w:b/>
                <w:sz w:val="16"/>
                <w:szCs w:val="16"/>
              </w:rPr>
            </w:pPr>
            <w:r w:rsidRPr="00664108">
              <w:rPr>
                <w:rFonts w:asciiTheme="majorHAnsi" w:hAnsiTheme="majorHAnsi"/>
                <w:b/>
                <w:sz w:val="16"/>
                <w:szCs w:val="16"/>
              </w:rPr>
              <w:t>313634</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2859C5" w14:textId="77777777" w:rsidR="00920B68" w:rsidRPr="00364545" w:rsidRDefault="00920B68" w:rsidP="00920B68">
            <w:pPr>
              <w:spacing w:line="259" w:lineRule="auto"/>
              <w:jc w:val="center"/>
              <w:rPr>
                <w:rFonts w:ascii="Calibri" w:hAnsi="Calibri"/>
                <w:b/>
                <w:color w:val="000000"/>
                <w:sz w:val="20"/>
              </w:rPr>
            </w:pPr>
            <w:r w:rsidRPr="00664108">
              <w:rPr>
                <w:rFonts w:asciiTheme="majorHAnsi" w:hAnsiTheme="majorHAnsi"/>
                <w:b/>
                <w:sz w:val="16"/>
                <w:szCs w:val="16"/>
              </w:rPr>
              <w:t>297313</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8089A41" w14:textId="77777777" w:rsidR="00920B68" w:rsidRPr="00634E4C" w:rsidRDefault="00920B68" w:rsidP="00920B68">
            <w:pPr>
              <w:spacing w:line="259" w:lineRule="auto"/>
              <w:jc w:val="center"/>
              <w:rPr>
                <w:rFonts w:asciiTheme="majorHAnsi" w:hAnsiTheme="majorHAnsi"/>
                <w:b/>
                <w:sz w:val="16"/>
              </w:rPr>
            </w:pPr>
            <w:r w:rsidRPr="00634E4C">
              <w:rPr>
                <w:rFonts w:asciiTheme="majorHAnsi" w:hAnsiTheme="majorHAnsi"/>
                <w:b/>
                <w:color w:val="000000"/>
                <w:sz w:val="16"/>
              </w:rPr>
              <w:t>305017</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D129897" w14:textId="77777777" w:rsidR="00920B68" w:rsidRPr="00634E4C" w:rsidRDefault="00920B68" w:rsidP="00920B68">
            <w:pPr>
              <w:spacing w:line="259" w:lineRule="auto"/>
              <w:jc w:val="center"/>
              <w:rPr>
                <w:rFonts w:asciiTheme="majorHAnsi" w:hAnsiTheme="majorHAnsi"/>
                <w:b/>
                <w:sz w:val="16"/>
              </w:rPr>
            </w:pPr>
            <w:r w:rsidRPr="00634E4C">
              <w:rPr>
                <w:rFonts w:asciiTheme="majorHAnsi" w:hAnsiTheme="majorHAnsi"/>
                <w:b/>
                <w:color w:val="000000"/>
                <w:sz w:val="16"/>
              </w:rPr>
              <w:t>253350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749EB1" w14:textId="77777777" w:rsidR="00920B68" w:rsidRPr="00634E4C" w:rsidRDefault="00920B68" w:rsidP="00920B68">
            <w:pPr>
              <w:spacing w:line="259" w:lineRule="auto"/>
              <w:jc w:val="center"/>
              <w:rPr>
                <w:rFonts w:asciiTheme="majorHAnsi" w:hAnsiTheme="majorHAnsi"/>
                <w:b/>
                <w:sz w:val="16"/>
              </w:rPr>
            </w:pPr>
            <w:r w:rsidRPr="00634E4C">
              <w:rPr>
                <w:rFonts w:asciiTheme="majorHAnsi" w:hAnsiTheme="majorHAnsi"/>
                <w:b/>
                <w:color w:val="000000"/>
                <w:sz w:val="16"/>
              </w:rPr>
              <w:t>203515</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F8AADE" w14:textId="77777777" w:rsidR="00920B68" w:rsidRPr="00634E4C" w:rsidRDefault="00920B68" w:rsidP="00920B68">
            <w:pPr>
              <w:spacing w:line="259" w:lineRule="auto"/>
              <w:jc w:val="center"/>
              <w:rPr>
                <w:rFonts w:asciiTheme="majorHAnsi" w:hAnsiTheme="majorHAnsi"/>
                <w:b/>
                <w:sz w:val="16"/>
              </w:rPr>
            </w:pPr>
            <w:r w:rsidRPr="00634E4C">
              <w:rPr>
                <w:rFonts w:asciiTheme="majorHAnsi" w:hAnsiTheme="majorHAnsi"/>
                <w:b/>
                <w:color w:val="000000"/>
                <w:sz w:val="16"/>
              </w:rPr>
              <w:t>151385</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7BFD3D3" w14:textId="77777777" w:rsidR="00920B68" w:rsidRPr="00634E4C" w:rsidRDefault="00920B68" w:rsidP="00920B68">
            <w:pPr>
              <w:spacing w:line="259" w:lineRule="auto"/>
              <w:ind w:left="58"/>
              <w:jc w:val="center"/>
              <w:rPr>
                <w:rFonts w:asciiTheme="majorHAnsi" w:hAnsiTheme="majorHAnsi"/>
                <w:b/>
                <w:sz w:val="16"/>
              </w:rPr>
            </w:pPr>
            <w:r w:rsidRPr="00634E4C">
              <w:rPr>
                <w:rFonts w:asciiTheme="majorHAnsi" w:hAnsiTheme="majorHAnsi"/>
                <w:b/>
                <w:color w:val="000000"/>
                <w:sz w:val="16"/>
              </w:rPr>
              <w:t>-5007</w:t>
            </w:r>
          </w:p>
        </w:tc>
      </w:tr>
    </w:tbl>
    <w:p w14:paraId="15FF3080" w14:textId="77777777" w:rsidR="00920B68" w:rsidRPr="00364545" w:rsidRDefault="00920B68" w:rsidP="00920B68">
      <w:pPr>
        <w:pStyle w:val="Default"/>
        <w:rPr>
          <w:sz w:val="16"/>
          <w:szCs w:val="16"/>
        </w:rPr>
      </w:pPr>
      <w:r w:rsidRPr="00364545">
        <w:rPr>
          <w:i/>
          <w:sz w:val="16"/>
        </w:rPr>
        <w:t xml:space="preserve">Reading the table: Energy industry = category CRF1A1 and 1B; manufacturing and construction = category CRF1A2; transport = category CRF 1A3; other sectors = category CRF 1A4 and 1A5. </w:t>
      </w:r>
    </w:p>
    <w:p w14:paraId="79F453C5" w14:textId="77777777" w:rsidR="00920B68" w:rsidRPr="00364545" w:rsidRDefault="00920B68" w:rsidP="00920B68">
      <w:pPr>
        <w:pStyle w:val="Caption"/>
      </w:pPr>
      <w:r w:rsidRPr="00364545">
        <w:t xml:space="preserve">Table </w:t>
      </w:r>
      <w:fldSimple w:instr=" SEQ Tableau \* ARABIC ">
        <w:r w:rsidRPr="00364545">
          <w:rPr>
            <w:noProof/>
          </w:rPr>
          <w:t>16</w:t>
        </w:r>
      </w:fldSimple>
      <w:r w:rsidRPr="00364545">
        <w:t>: Details of energy sector categories (in ktCO</w:t>
      </w:r>
      <w:r w:rsidRPr="00364545">
        <w:rPr>
          <w:vertAlign w:val="subscript"/>
        </w:rPr>
        <w:t>2e</w:t>
      </w:r>
      <w:r w:rsidRPr="00364545">
        <w:t>) in the Kyoto scope in the AMS scenario (with additional measures)</w:t>
      </w:r>
    </w:p>
    <w:p w14:paraId="2D3EB264" w14:textId="77777777" w:rsidR="00920B68" w:rsidRPr="00364545" w:rsidRDefault="00920B68" w:rsidP="00920B68">
      <w:pPr>
        <w:pStyle w:val="Caption"/>
      </w:pPr>
      <w:r w:rsidRPr="00364545">
        <w:t>Source: UNF</w:t>
      </w:r>
      <w:r>
        <w:t>CCC inventory, Citepa/MTES, 2022</w:t>
      </w:r>
      <w:r w:rsidRPr="00364545">
        <w:t xml:space="preserve"> submission and MTES emission projections, 2018</w:t>
      </w:r>
    </w:p>
    <w:p w14:paraId="594E69B0" w14:textId="77777777" w:rsidR="00920B68" w:rsidRPr="00364545" w:rsidRDefault="00920B68" w:rsidP="00920B68"/>
    <w:p w14:paraId="30396A18" w14:textId="77777777" w:rsidR="00920B68" w:rsidRPr="00364545" w:rsidRDefault="00920B68" w:rsidP="00920B68">
      <w:pPr>
        <w:rPr>
          <w:szCs w:val="21"/>
        </w:rPr>
      </w:pPr>
    </w:p>
    <w:p w14:paraId="25A7D670" w14:textId="77777777" w:rsidR="00920B68" w:rsidRDefault="00920B68" w:rsidP="00920B68">
      <w:pPr>
        <w:pStyle w:val="Caption"/>
        <w:jc w:val="center"/>
      </w:pPr>
      <w:r>
        <w:rPr>
          <w:noProof/>
          <w:lang w:val="fr-FR"/>
        </w:rPr>
        <w:drawing>
          <wp:inline distT="0" distB="0" distL="0" distR="0" wp14:anchorId="07A90678" wp14:editId="7A69E6BB">
            <wp:extent cx="5630333" cy="2743200"/>
            <wp:effectExtent l="0" t="0" r="8890" b="0"/>
            <wp:docPr id="28713" name="Graphique 287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2DA579C" w14:textId="77777777" w:rsidR="00920B68" w:rsidRPr="00364545" w:rsidRDefault="00920B68" w:rsidP="00920B68">
      <w:pPr>
        <w:pStyle w:val="Caption"/>
      </w:pPr>
      <w:r w:rsidRPr="00364545">
        <w:t xml:space="preserve">Figure </w:t>
      </w:r>
      <w:fldSimple w:instr=" SEQ Figure \* ARABIC ">
        <w:r w:rsidRPr="00364545">
          <w:rPr>
            <w:noProof/>
          </w:rPr>
          <w:t>57</w:t>
        </w:r>
      </w:fldSimple>
      <w:r w:rsidRPr="00364545">
        <w:t>: Details of energy sector categories in ktCO</w:t>
      </w:r>
      <w:r w:rsidRPr="00364545">
        <w:rPr>
          <w:vertAlign w:val="subscript"/>
        </w:rPr>
        <w:t>2e</w:t>
      </w:r>
      <w:r w:rsidRPr="00364545">
        <w:t>, in the Kyoto scope, AMS 2018 scenario</w:t>
      </w:r>
    </w:p>
    <w:p w14:paraId="7D5FDC1A" w14:textId="77777777" w:rsidR="00920B68" w:rsidRPr="00364545" w:rsidRDefault="00920B68" w:rsidP="00920B68">
      <w:pPr>
        <w:pStyle w:val="Caption"/>
        <w:rPr>
          <w:szCs w:val="21"/>
        </w:rPr>
      </w:pPr>
      <w:r w:rsidRPr="00364545">
        <w:t>Source: UNF</w:t>
      </w:r>
      <w:r>
        <w:t>CCC inventory, Citepa/MTES, 2022</w:t>
      </w:r>
      <w:r w:rsidRPr="00364545">
        <w:t xml:space="preserve"> submission and MTES emission projections, 2018</w:t>
      </w:r>
    </w:p>
    <w:p w14:paraId="618BC8E1" w14:textId="77777777" w:rsidR="00920B68" w:rsidRPr="00364545" w:rsidRDefault="00920B68" w:rsidP="00920B68"/>
    <w:p w14:paraId="4AA64E42" w14:textId="77777777" w:rsidR="00920B68" w:rsidRPr="00364545" w:rsidRDefault="00920B68" w:rsidP="00920B68">
      <w:pPr>
        <w:pStyle w:val="Titre3Niveau3"/>
        <w:numPr>
          <w:ilvl w:val="1"/>
          <w:numId w:val="108"/>
        </w:numPr>
        <w:spacing w:before="480" w:after="240" w:line="240" w:lineRule="exact"/>
        <w:ind w:right="1701"/>
      </w:pPr>
      <w:bookmarkStart w:id="127" w:name="_Toc138344697"/>
      <w:r w:rsidRPr="00364545">
        <w:t>Trends by gas</w:t>
      </w:r>
      <w:bookmarkEnd w:id="127"/>
    </w:p>
    <w:p w14:paraId="691510BE" w14:textId="77777777" w:rsidR="00920B68" w:rsidRPr="00364545" w:rsidRDefault="00920B68" w:rsidP="00920B68">
      <w:pPr>
        <w:rPr>
          <w:szCs w:val="21"/>
        </w:rPr>
      </w:pPr>
      <w:r w:rsidRPr="00364545">
        <w:t>In accordance with UNFCCC guidelines, changes in emissions by gas are presented in the tables and graphs below (overall and then by sector).</w:t>
      </w:r>
    </w:p>
    <w:p w14:paraId="68302FE6" w14:textId="77777777" w:rsidR="00920B68" w:rsidRPr="00364545" w:rsidRDefault="00920B68" w:rsidP="00920B68">
      <w:pPr>
        <w:pStyle w:val="Titre4niveau4"/>
        <w:numPr>
          <w:ilvl w:val="2"/>
          <w:numId w:val="108"/>
        </w:numPr>
        <w:spacing w:before="240"/>
      </w:pPr>
      <w:r w:rsidRPr="00364545">
        <w:t>Overall trends</w:t>
      </w:r>
    </w:p>
    <w:p w14:paraId="1BAA7375" w14:textId="77777777" w:rsidR="00920B68" w:rsidRPr="00364545" w:rsidRDefault="00920B68" w:rsidP="00920B68">
      <w:pPr>
        <w:pStyle w:val="titreencadre"/>
        <w:numPr>
          <w:ilvl w:val="3"/>
          <w:numId w:val="108"/>
        </w:numPr>
        <w:spacing w:before="120" w:after="60" w:line="240" w:lineRule="auto"/>
      </w:pPr>
      <w:r w:rsidRPr="00364545">
        <w:t>AME 2021</w:t>
      </w:r>
    </w:p>
    <w:tbl>
      <w:tblPr>
        <w:tblStyle w:val="TableGrid0"/>
        <w:tblW w:w="9937" w:type="dxa"/>
        <w:tblInd w:w="7" w:type="dxa"/>
        <w:tblCellMar>
          <w:top w:w="106" w:type="dxa"/>
          <w:left w:w="27" w:type="dxa"/>
        </w:tblCellMar>
        <w:tblLook w:val="04A0" w:firstRow="1" w:lastRow="0" w:firstColumn="1" w:lastColumn="0" w:noHBand="0" w:noVBand="1"/>
      </w:tblPr>
      <w:tblGrid>
        <w:gridCol w:w="866"/>
        <w:gridCol w:w="780"/>
        <w:gridCol w:w="731"/>
        <w:gridCol w:w="731"/>
        <w:gridCol w:w="731"/>
        <w:gridCol w:w="731"/>
        <w:gridCol w:w="731"/>
        <w:gridCol w:w="736"/>
        <w:gridCol w:w="780"/>
        <w:gridCol w:w="780"/>
        <w:gridCol w:w="780"/>
        <w:gridCol w:w="780"/>
        <w:gridCol w:w="780"/>
      </w:tblGrid>
      <w:tr w:rsidR="00920B68" w:rsidRPr="00364545" w14:paraId="2BBEAABD" w14:textId="77777777" w:rsidTr="00920B68">
        <w:trPr>
          <w:trHeight w:val="401"/>
        </w:trPr>
        <w:tc>
          <w:tcPr>
            <w:tcW w:w="866" w:type="dxa"/>
            <w:tcBorders>
              <w:top w:val="single" w:sz="2" w:space="0" w:color="000000"/>
              <w:left w:val="single" w:sz="2" w:space="0" w:color="000000"/>
              <w:bottom w:val="single" w:sz="2" w:space="0" w:color="000000"/>
              <w:right w:val="single" w:sz="2" w:space="0" w:color="000000"/>
            </w:tcBorders>
            <w:shd w:val="clear" w:color="auto" w:fill="6D2A78"/>
          </w:tcPr>
          <w:p w14:paraId="751C0E5E" w14:textId="77777777" w:rsidR="00920B68" w:rsidRPr="00364545" w:rsidRDefault="00920B68" w:rsidP="00920B68">
            <w:pPr>
              <w:spacing w:line="259" w:lineRule="auto"/>
              <w:rPr>
                <w:b/>
              </w:rPr>
            </w:pPr>
            <w:r w:rsidRPr="00364545">
              <w:rPr>
                <w:b/>
                <w:color w:val="FFFFFF" w:themeColor="background1"/>
              </w:rPr>
              <w:t>AME 2021</w:t>
            </w:r>
          </w:p>
        </w:tc>
        <w:tc>
          <w:tcPr>
            <w:tcW w:w="780" w:type="dxa"/>
            <w:tcBorders>
              <w:top w:val="single" w:sz="2" w:space="0" w:color="000000"/>
              <w:left w:val="single" w:sz="2" w:space="0" w:color="000000"/>
              <w:bottom w:val="single" w:sz="2" w:space="0" w:color="000000"/>
              <w:right w:val="single" w:sz="2" w:space="0" w:color="000000"/>
            </w:tcBorders>
            <w:shd w:val="clear" w:color="auto" w:fill="6D2A78"/>
          </w:tcPr>
          <w:p w14:paraId="50601532" w14:textId="77777777" w:rsidR="00920B68" w:rsidRPr="00364545" w:rsidRDefault="00920B68" w:rsidP="00920B68">
            <w:pPr>
              <w:spacing w:line="259" w:lineRule="auto"/>
              <w:ind w:right="23"/>
              <w:jc w:val="center"/>
            </w:pPr>
            <w:r w:rsidRPr="00364545">
              <w:rPr>
                <w:b/>
                <w:color w:val="FFFFFF"/>
                <w:sz w:val="18"/>
              </w:rPr>
              <w:t xml:space="preserve">1990 </w:t>
            </w:r>
          </w:p>
        </w:tc>
        <w:tc>
          <w:tcPr>
            <w:tcW w:w="731" w:type="dxa"/>
            <w:tcBorders>
              <w:top w:val="single" w:sz="2" w:space="0" w:color="000000"/>
              <w:left w:val="single" w:sz="2" w:space="0" w:color="000000"/>
              <w:bottom w:val="single" w:sz="2" w:space="0" w:color="000000"/>
              <w:right w:val="single" w:sz="2" w:space="0" w:color="000000"/>
            </w:tcBorders>
            <w:shd w:val="clear" w:color="auto" w:fill="6D2A78"/>
          </w:tcPr>
          <w:p w14:paraId="111A127B" w14:textId="77777777" w:rsidR="00920B68" w:rsidRPr="00364545" w:rsidRDefault="00920B68" w:rsidP="00920B68">
            <w:pPr>
              <w:spacing w:line="259" w:lineRule="auto"/>
              <w:ind w:right="26"/>
              <w:jc w:val="center"/>
              <w:rPr>
                <w:b/>
                <w:color w:val="FFFFFF"/>
                <w:sz w:val="18"/>
              </w:rPr>
            </w:pPr>
            <w:r w:rsidRPr="00364545">
              <w:rPr>
                <w:b/>
                <w:color w:val="FFFFFF"/>
                <w:sz w:val="18"/>
              </w:rPr>
              <w:t>1995</w:t>
            </w:r>
          </w:p>
        </w:tc>
        <w:tc>
          <w:tcPr>
            <w:tcW w:w="731" w:type="dxa"/>
            <w:tcBorders>
              <w:top w:val="single" w:sz="2" w:space="0" w:color="000000"/>
              <w:left w:val="single" w:sz="2" w:space="0" w:color="000000"/>
              <w:bottom w:val="single" w:sz="2" w:space="0" w:color="000000"/>
              <w:right w:val="single" w:sz="2" w:space="0" w:color="000000"/>
            </w:tcBorders>
            <w:shd w:val="clear" w:color="auto" w:fill="6D2A78"/>
          </w:tcPr>
          <w:p w14:paraId="3043C111" w14:textId="77777777" w:rsidR="00920B68" w:rsidRPr="00364545" w:rsidRDefault="00920B68" w:rsidP="00920B68">
            <w:pPr>
              <w:spacing w:line="259" w:lineRule="auto"/>
              <w:ind w:right="26"/>
              <w:jc w:val="center"/>
            </w:pPr>
            <w:r w:rsidRPr="00364545">
              <w:rPr>
                <w:b/>
                <w:color w:val="FFFFFF"/>
                <w:sz w:val="18"/>
              </w:rPr>
              <w:t xml:space="preserve">2000 </w:t>
            </w:r>
          </w:p>
        </w:tc>
        <w:tc>
          <w:tcPr>
            <w:tcW w:w="731" w:type="dxa"/>
            <w:tcBorders>
              <w:top w:val="single" w:sz="2" w:space="0" w:color="000000"/>
              <w:left w:val="single" w:sz="2" w:space="0" w:color="000000"/>
              <w:bottom w:val="single" w:sz="2" w:space="0" w:color="000000"/>
              <w:right w:val="single" w:sz="2" w:space="0" w:color="000000"/>
            </w:tcBorders>
            <w:shd w:val="clear" w:color="auto" w:fill="6D2A78"/>
          </w:tcPr>
          <w:p w14:paraId="32526E7C" w14:textId="77777777" w:rsidR="00920B68" w:rsidRPr="00364545" w:rsidRDefault="00920B68" w:rsidP="00920B68">
            <w:pPr>
              <w:spacing w:line="259" w:lineRule="auto"/>
              <w:ind w:right="23"/>
              <w:jc w:val="center"/>
            </w:pPr>
            <w:r w:rsidRPr="00364545">
              <w:rPr>
                <w:b/>
                <w:color w:val="FFFFFF"/>
                <w:sz w:val="18"/>
              </w:rPr>
              <w:t xml:space="preserve">2005 </w:t>
            </w:r>
          </w:p>
        </w:tc>
        <w:tc>
          <w:tcPr>
            <w:tcW w:w="731" w:type="dxa"/>
            <w:tcBorders>
              <w:top w:val="single" w:sz="2" w:space="0" w:color="000000"/>
              <w:left w:val="single" w:sz="2" w:space="0" w:color="000000"/>
              <w:bottom w:val="single" w:sz="2" w:space="0" w:color="000000"/>
              <w:right w:val="single" w:sz="2" w:space="0" w:color="000000"/>
            </w:tcBorders>
            <w:shd w:val="clear" w:color="auto" w:fill="6D2A78"/>
          </w:tcPr>
          <w:p w14:paraId="1F656590" w14:textId="77777777" w:rsidR="00920B68" w:rsidRPr="00364545" w:rsidRDefault="00920B68" w:rsidP="00920B68">
            <w:pPr>
              <w:spacing w:line="259" w:lineRule="auto"/>
              <w:ind w:right="26"/>
              <w:jc w:val="center"/>
            </w:pPr>
            <w:r w:rsidRPr="00364545">
              <w:rPr>
                <w:b/>
                <w:color w:val="FFFFFF"/>
                <w:sz w:val="18"/>
              </w:rPr>
              <w:t xml:space="preserve">2010 </w:t>
            </w:r>
          </w:p>
        </w:tc>
        <w:tc>
          <w:tcPr>
            <w:tcW w:w="731" w:type="dxa"/>
            <w:tcBorders>
              <w:top w:val="single" w:sz="2" w:space="0" w:color="000000"/>
              <w:left w:val="single" w:sz="2" w:space="0" w:color="000000"/>
              <w:bottom w:val="single" w:sz="2" w:space="0" w:color="000000"/>
              <w:right w:val="single" w:sz="2" w:space="0" w:color="000000"/>
            </w:tcBorders>
            <w:shd w:val="clear" w:color="auto" w:fill="6D2A78"/>
          </w:tcPr>
          <w:p w14:paraId="0FF608FA" w14:textId="77777777" w:rsidR="00920B68" w:rsidRPr="00364545" w:rsidRDefault="00920B68" w:rsidP="00920B68">
            <w:pPr>
              <w:spacing w:line="259" w:lineRule="auto"/>
              <w:ind w:right="23"/>
              <w:jc w:val="center"/>
            </w:pPr>
            <w:r w:rsidRPr="00364545">
              <w:rPr>
                <w:b/>
                <w:color w:val="FFFFFF"/>
                <w:sz w:val="18"/>
              </w:rPr>
              <w:t xml:space="preserve">2015 </w:t>
            </w:r>
          </w:p>
        </w:tc>
        <w:tc>
          <w:tcPr>
            <w:tcW w:w="736" w:type="dxa"/>
            <w:tcBorders>
              <w:top w:val="single" w:sz="2" w:space="0" w:color="000000"/>
              <w:left w:val="single" w:sz="2" w:space="0" w:color="000000"/>
              <w:bottom w:val="single" w:sz="2" w:space="0" w:color="000000"/>
              <w:right w:val="single" w:sz="2" w:space="0" w:color="000000"/>
            </w:tcBorders>
            <w:shd w:val="clear" w:color="auto" w:fill="6D2A78"/>
          </w:tcPr>
          <w:p w14:paraId="6CC3131E" w14:textId="77777777" w:rsidR="00920B68" w:rsidRPr="00364545" w:rsidRDefault="00920B68" w:rsidP="00920B68">
            <w:pPr>
              <w:spacing w:line="259" w:lineRule="auto"/>
              <w:ind w:right="26"/>
              <w:jc w:val="center"/>
              <w:rPr>
                <w:b/>
                <w:color w:val="FFFFFF"/>
                <w:sz w:val="18"/>
              </w:rPr>
            </w:pPr>
            <w:r w:rsidRPr="00364545">
              <w:rPr>
                <w:b/>
                <w:color w:val="FFFFFF"/>
                <w:sz w:val="18"/>
              </w:rPr>
              <w:t>2019</w:t>
            </w:r>
          </w:p>
        </w:tc>
        <w:tc>
          <w:tcPr>
            <w:tcW w:w="780" w:type="dxa"/>
            <w:tcBorders>
              <w:top w:val="single" w:sz="2" w:space="0" w:color="000000"/>
              <w:left w:val="single" w:sz="2" w:space="0" w:color="000000"/>
              <w:bottom w:val="single" w:sz="2" w:space="0" w:color="000000"/>
              <w:right w:val="single" w:sz="2" w:space="0" w:color="000000"/>
            </w:tcBorders>
            <w:shd w:val="clear" w:color="auto" w:fill="6D2A78"/>
          </w:tcPr>
          <w:p w14:paraId="12C15DDD" w14:textId="77777777" w:rsidR="00920B68" w:rsidRPr="00364545" w:rsidRDefault="00920B68" w:rsidP="00920B68">
            <w:pPr>
              <w:spacing w:line="259" w:lineRule="auto"/>
              <w:ind w:right="26"/>
              <w:jc w:val="center"/>
            </w:pPr>
            <w:r w:rsidRPr="00364545">
              <w:rPr>
                <w:b/>
                <w:color w:val="FFFFFF"/>
                <w:sz w:val="18"/>
              </w:rPr>
              <w:t xml:space="preserve">2020 </w:t>
            </w:r>
          </w:p>
        </w:tc>
        <w:tc>
          <w:tcPr>
            <w:tcW w:w="780" w:type="dxa"/>
            <w:tcBorders>
              <w:top w:val="single" w:sz="2" w:space="0" w:color="000000"/>
              <w:left w:val="single" w:sz="2" w:space="0" w:color="000000"/>
              <w:bottom w:val="single" w:sz="2" w:space="0" w:color="000000"/>
              <w:right w:val="single" w:sz="2" w:space="0" w:color="000000"/>
            </w:tcBorders>
            <w:shd w:val="clear" w:color="auto" w:fill="6D2A78"/>
          </w:tcPr>
          <w:p w14:paraId="1F3A936C" w14:textId="77777777" w:rsidR="00920B68" w:rsidRPr="00364545" w:rsidRDefault="00920B68" w:rsidP="00920B68">
            <w:pPr>
              <w:spacing w:line="259" w:lineRule="auto"/>
              <w:ind w:right="23"/>
              <w:jc w:val="center"/>
            </w:pPr>
            <w:r w:rsidRPr="00364545">
              <w:rPr>
                <w:b/>
                <w:color w:val="FFFFFF"/>
                <w:sz w:val="18"/>
              </w:rPr>
              <w:t xml:space="preserve">2025 </w:t>
            </w:r>
          </w:p>
        </w:tc>
        <w:tc>
          <w:tcPr>
            <w:tcW w:w="780" w:type="dxa"/>
            <w:tcBorders>
              <w:top w:val="single" w:sz="2" w:space="0" w:color="000000"/>
              <w:left w:val="single" w:sz="2" w:space="0" w:color="000000"/>
              <w:bottom w:val="single" w:sz="2" w:space="0" w:color="000000"/>
              <w:right w:val="single" w:sz="2" w:space="0" w:color="000000"/>
            </w:tcBorders>
            <w:shd w:val="clear" w:color="auto" w:fill="6D2A78"/>
          </w:tcPr>
          <w:p w14:paraId="25364930" w14:textId="77777777" w:rsidR="00920B68" w:rsidRPr="00364545" w:rsidRDefault="00920B68" w:rsidP="00920B68">
            <w:pPr>
              <w:spacing w:line="259" w:lineRule="auto"/>
              <w:ind w:right="26"/>
              <w:jc w:val="center"/>
            </w:pPr>
            <w:r w:rsidRPr="00364545">
              <w:rPr>
                <w:b/>
                <w:color w:val="FFFFFF"/>
                <w:sz w:val="18"/>
              </w:rPr>
              <w:t xml:space="preserve">2030 </w:t>
            </w:r>
          </w:p>
        </w:tc>
        <w:tc>
          <w:tcPr>
            <w:tcW w:w="780" w:type="dxa"/>
            <w:tcBorders>
              <w:top w:val="single" w:sz="2" w:space="0" w:color="000000"/>
              <w:left w:val="single" w:sz="2" w:space="0" w:color="000000"/>
              <w:bottom w:val="single" w:sz="2" w:space="0" w:color="000000"/>
              <w:right w:val="single" w:sz="2" w:space="0" w:color="000000"/>
            </w:tcBorders>
            <w:shd w:val="clear" w:color="auto" w:fill="6D2A78"/>
          </w:tcPr>
          <w:p w14:paraId="2EA27DB2" w14:textId="77777777" w:rsidR="00920B68" w:rsidRPr="00364545" w:rsidRDefault="00920B68" w:rsidP="00920B68">
            <w:pPr>
              <w:spacing w:line="259" w:lineRule="auto"/>
              <w:ind w:right="23"/>
              <w:jc w:val="center"/>
            </w:pPr>
            <w:r w:rsidRPr="00364545">
              <w:rPr>
                <w:b/>
                <w:color w:val="FFFFFF"/>
                <w:sz w:val="18"/>
              </w:rPr>
              <w:t xml:space="preserve">2035 </w:t>
            </w:r>
          </w:p>
        </w:tc>
        <w:tc>
          <w:tcPr>
            <w:tcW w:w="780" w:type="dxa"/>
            <w:tcBorders>
              <w:top w:val="single" w:sz="2" w:space="0" w:color="000000"/>
              <w:left w:val="single" w:sz="2" w:space="0" w:color="000000"/>
              <w:bottom w:val="single" w:sz="2" w:space="0" w:color="000000"/>
              <w:right w:val="single" w:sz="2" w:space="0" w:color="000000"/>
            </w:tcBorders>
            <w:shd w:val="clear" w:color="auto" w:fill="6D2A78"/>
          </w:tcPr>
          <w:p w14:paraId="2ABCE58A" w14:textId="77777777" w:rsidR="00920B68" w:rsidRPr="00364545" w:rsidRDefault="00920B68" w:rsidP="00920B68">
            <w:pPr>
              <w:spacing w:line="259" w:lineRule="auto"/>
              <w:ind w:right="23"/>
              <w:jc w:val="center"/>
              <w:rPr>
                <w:b/>
                <w:color w:val="FFFFFF"/>
                <w:sz w:val="18"/>
              </w:rPr>
            </w:pPr>
            <w:r w:rsidRPr="00364545">
              <w:rPr>
                <w:b/>
                <w:color w:val="FFFFFF"/>
                <w:sz w:val="18"/>
              </w:rPr>
              <w:t>2050</w:t>
            </w:r>
          </w:p>
        </w:tc>
      </w:tr>
      <w:tr w:rsidR="00920B68" w:rsidRPr="00364545" w14:paraId="1BB5A8E0" w14:textId="77777777" w:rsidTr="00920B68">
        <w:trPr>
          <w:trHeight w:val="401"/>
        </w:trPr>
        <w:tc>
          <w:tcPr>
            <w:tcW w:w="866" w:type="dxa"/>
            <w:tcBorders>
              <w:top w:val="single" w:sz="2" w:space="0" w:color="000000"/>
              <w:left w:val="single" w:sz="2" w:space="0" w:color="000000"/>
              <w:bottom w:val="single" w:sz="2" w:space="0" w:color="000000"/>
              <w:right w:val="single" w:sz="2" w:space="0" w:color="000000"/>
            </w:tcBorders>
            <w:shd w:val="clear" w:color="auto" w:fill="6D2A78"/>
          </w:tcPr>
          <w:p w14:paraId="4CA8D2B3" w14:textId="77777777" w:rsidR="00920B68" w:rsidRPr="00364545" w:rsidRDefault="00920B68" w:rsidP="00920B68">
            <w:pPr>
              <w:spacing w:line="259" w:lineRule="auto"/>
              <w:rPr>
                <w:color w:val="FFFFFF" w:themeColor="background1"/>
              </w:rPr>
            </w:pPr>
            <w:r w:rsidRPr="00364545">
              <w:rPr>
                <w:color w:val="FFFFFF" w:themeColor="background1"/>
              </w:rPr>
              <w:t>ktCO</w:t>
            </w:r>
            <w:r w:rsidRPr="00364545">
              <w:rPr>
                <w:color w:val="FFFFFF" w:themeColor="background1"/>
                <w:vertAlign w:val="subscript"/>
              </w:rPr>
              <w:t>2e</w:t>
            </w:r>
          </w:p>
        </w:tc>
        <w:tc>
          <w:tcPr>
            <w:tcW w:w="4435" w:type="dxa"/>
            <w:gridSpan w:val="6"/>
            <w:tcBorders>
              <w:top w:val="single" w:sz="2" w:space="0" w:color="000000"/>
              <w:left w:val="single" w:sz="2" w:space="0" w:color="000000"/>
              <w:bottom w:val="single" w:sz="2" w:space="0" w:color="000000"/>
              <w:right w:val="single" w:sz="2" w:space="0" w:color="000000"/>
            </w:tcBorders>
            <w:shd w:val="clear" w:color="auto" w:fill="6D2A78"/>
          </w:tcPr>
          <w:p w14:paraId="03A80628" w14:textId="77777777" w:rsidR="00920B68" w:rsidRPr="00364545" w:rsidRDefault="00920B68" w:rsidP="00920B68">
            <w:pPr>
              <w:spacing w:line="259" w:lineRule="auto"/>
              <w:ind w:right="23"/>
              <w:jc w:val="center"/>
              <w:rPr>
                <w:b/>
                <w:color w:val="FFFFFF"/>
                <w:sz w:val="18"/>
              </w:rPr>
            </w:pPr>
            <w:r w:rsidRPr="00364545">
              <w:rPr>
                <w:b/>
                <w:color w:val="FFFFFF"/>
                <w:sz w:val="18"/>
              </w:rPr>
              <w:t>Observed</w:t>
            </w:r>
          </w:p>
        </w:tc>
        <w:tc>
          <w:tcPr>
            <w:tcW w:w="4636" w:type="dxa"/>
            <w:gridSpan w:val="6"/>
            <w:tcBorders>
              <w:top w:val="single" w:sz="2" w:space="0" w:color="000000"/>
              <w:left w:val="single" w:sz="2" w:space="0" w:color="000000"/>
              <w:bottom w:val="single" w:sz="2" w:space="0" w:color="000000"/>
              <w:right w:val="single" w:sz="2" w:space="0" w:color="000000"/>
            </w:tcBorders>
            <w:shd w:val="clear" w:color="auto" w:fill="6D2A78"/>
          </w:tcPr>
          <w:p w14:paraId="6000D9F0" w14:textId="77777777" w:rsidR="00920B68" w:rsidRPr="00364545" w:rsidRDefault="00920B68" w:rsidP="00920B68">
            <w:pPr>
              <w:spacing w:line="259" w:lineRule="auto"/>
              <w:ind w:right="23"/>
              <w:jc w:val="center"/>
              <w:rPr>
                <w:b/>
                <w:color w:val="FFFFFF"/>
                <w:sz w:val="18"/>
              </w:rPr>
            </w:pPr>
            <w:r w:rsidRPr="00364545">
              <w:rPr>
                <w:b/>
                <w:color w:val="FFFFFF"/>
                <w:sz w:val="18"/>
              </w:rPr>
              <w:t>Projected</w:t>
            </w:r>
          </w:p>
        </w:tc>
      </w:tr>
      <w:tr w:rsidR="00920B68" w:rsidRPr="00364545" w14:paraId="29CC0049" w14:textId="77777777" w:rsidTr="00920B68">
        <w:trPr>
          <w:trHeight w:val="342"/>
        </w:trPr>
        <w:tc>
          <w:tcPr>
            <w:tcW w:w="866" w:type="dxa"/>
            <w:tcBorders>
              <w:top w:val="single" w:sz="2" w:space="0" w:color="000000"/>
              <w:left w:val="single" w:sz="2" w:space="0" w:color="000000"/>
              <w:bottom w:val="single" w:sz="2" w:space="0" w:color="000000"/>
              <w:right w:val="single" w:sz="2" w:space="0" w:color="000000"/>
            </w:tcBorders>
            <w:shd w:val="clear" w:color="auto" w:fill="ECE6E2"/>
          </w:tcPr>
          <w:p w14:paraId="231C674D"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CO</w:t>
            </w:r>
            <w:r w:rsidRPr="00364545">
              <w:rPr>
                <w:rFonts w:asciiTheme="minorHAnsi" w:hAnsiTheme="minorHAnsi"/>
                <w:sz w:val="18"/>
                <w:vertAlign w:val="subscript"/>
              </w:rPr>
              <w:t>2</w:t>
            </w:r>
            <w:r w:rsidRPr="00364545">
              <w:rPr>
                <w:rFonts w:asciiTheme="minorHAnsi" w:hAnsiTheme="minorHAnsi"/>
                <w:sz w:val="18"/>
              </w:rPr>
              <w:t xml:space="preserve"> excluding LULUCF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3B3CB38"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398425</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387D970"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392916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DADA36F"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414788</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963BC01"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425444</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23054AC"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386872</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2D09F2"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341631</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E38359" w14:textId="77777777" w:rsidR="00920B68" w:rsidRPr="00364545" w:rsidRDefault="00920B68" w:rsidP="00920B68">
            <w:pPr>
              <w:spacing w:line="259" w:lineRule="auto"/>
              <w:ind w:left="64"/>
              <w:jc w:val="center"/>
              <w:rPr>
                <w:rFonts w:asciiTheme="minorHAnsi" w:hAnsiTheme="minorHAnsi"/>
                <w:sz w:val="18"/>
                <w:szCs w:val="18"/>
              </w:rPr>
            </w:pPr>
            <w:r>
              <w:rPr>
                <w:sz w:val="18"/>
                <w:szCs w:val="18"/>
              </w:rPr>
              <w:t>326725</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032BF88" w14:textId="77777777" w:rsidR="00920B68" w:rsidRPr="00364545" w:rsidRDefault="00920B68" w:rsidP="00920B68">
            <w:pPr>
              <w:spacing w:line="259" w:lineRule="auto"/>
              <w:ind w:left="64"/>
              <w:jc w:val="center"/>
              <w:rPr>
                <w:rFonts w:asciiTheme="minorHAnsi" w:hAnsiTheme="minorHAnsi"/>
                <w:sz w:val="18"/>
                <w:szCs w:val="18"/>
              </w:rPr>
            </w:pPr>
            <w:r w:rsidRPr="00364545">
              <w:rPr>
                <w:rFonts w:asciiTheme="minorHAnsi" w:hAnsiTheme="minorHAnsi"/>
                <w:sz w:val="18"/>
              </w:rPr>
              <w:t xml:space="preserve">291487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EA81D9"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292205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0843993"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272039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A18AC8"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262355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F55CDFB"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241265 </w:t>
            </w:r>
          </w:p>
        </w:tc>
      </w:tr>
      <w:tr w:rsidR="00920B68" w:rsidRPr="00364545" w14:paraId="5D709882" w14:textId="77777777" w:rsidTr="00920B68">
        <w:trPr>
          <w:trHeight w:val="347"/>
        </w:trPr>
        <w:tc>
          <w:tcPr>
            <w:tcW w:w="866" w:type="dxa"/>
            <w:tcBorders>
              <w:top w:val="single" w:sz="2" w:space="0" w:color="000000"/>
              <w:left w:val="single" w:sz="2" w:space="0" w:color="000000"/>
              <w:bottom w:val="single" w:sz="2" w:space="0" w:color="000000"/>
              <w:right w:val="single" w:sz="2" w:space="0" w:color="000000"/>
            </w:tcBorders>
          </w:tcPr>
          <w:p w14:paraId="1233ABCA"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CO</w:t>
            </w:r>
            <w:r w:rsidRPr="00364545">
              <w:rPr>
                <w:rFonts w:asciiTheme="minorHAnsi" w:hAnsiTheme="minorHAnsi"/>
                <w:sz w:val="18"/>
                <w:vertAlign w:val="subscript"/>
              </w:rPr>
              <w:t>2</w:t>
            </w:r>
            <w:r w:rsidRPr="00364545">
              <w:rPr>
                <w:rFonts w:asciiTheme="minorHAnsi" w:hAnsiTheme="minorHAnsi"/>
                <w:sz w:val="18"/>
              </w:rPr>
              <w:t xml:space="preserve"> including LULUCF </w:t>
            </w:r>
          </w:p>
        </w:tc>
        <w:tc>
          <w:tcPr>
            <w:tcW w:w="780" w:type="dxa"/>
            <w:tcBorders>
              <w:top w:val="single" w:sz="2" w:space="0" w:color="000000"/>
              <w:left w:val="single" w:sz="2" w:space="0" w:color="000000"/>
              <w:bottom w:val="single" w:sz="2" w:space="0" w:color="000000"/>
              <w:right w:val="single" w:sz="2" w:space="0" w:color="000000"/>
            </w:tcBorders>
            <w:vAlign w:val="center"/>
          </w:tcPr>
          <w:p w14:paraId="635231DB"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370280</w:t>
            </w:r>
          </w:p>
        </w:tc>
        <w:tc>
          <w:tcPr>
            <w:tcW w:w="731" w:type="dxa"/>
            <w:tcBorders>
              <w:top w:val="single" w:sz="2" w:space="0" w:color="000000"/>
              <w:left w:val="single" w:sz="2" w:space="0" w:color="000000"/>
              <w:bottom w:val="single" w:sz="2" w:space="0" w:color="000000"/>
              <w:right w:val="single" w:sz="2" w:space="0" w:color="000000"/>
            </w:tcBorders>
            <w:vAlign w:val="center"/>
          </w:tcPr>
          <w:p w14:paraId="634F97B7"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361121</w:t>
            </w:r>
          </w:p>
        </w:tc>
        <w:tc>
          <w:tcPr>
            <w:tcW w:w="731" w:type="dxa"/>
            <w:tcBorders>
              <w:top w:val="single" w:sz="2" w:space="0" w:color="000000"/>
              <w:left w:val="single" w:sz="2" w:space="0" w:color="000000"/>
              <w:bottom w:val="single" w:sz="2" w:space="0" w:color="000000"/>
              <w:right w:val="single" w:sz="2" w:space="0" w:color="000000"/>
            </w:tcBorders>
            <w:vAlign w:val="center"/>
          </w:tcPr>
          <w:p w14:paraId="7F7C3CAA"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390194</w:t>
            </w:r>
          </w:p>
        </w:tc>
        <w:tc>
          <w:tcPr>
            <w:tcW w:w="731" w:type="dxa"/>
            <w:tcBorders>
              <w:top w:val="single" w:sz="2" w:space="0" w:color="000000"/>
              <w:left w:val="single" w:sz="2" w:space="0" w:color="000000"/>
              <w:bottom w:val="single" w:sz="2" w:space="0" w:color="000000"/>
              <w:right w:val="single" w:sz="2" w:space="0" w:color="000000"/>
            </w:tcBorders>
            <w:vAlign w:val="center"/>
          </w:tcPr>
          <w:p w14:paraId="5C304941"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373972</w:t>
            </w:r>
          </w:p>
        </w:tc>
        <w:tc>
          <w:tcPr>
            <w:tcW w:w="731" w:type="dxa"/>
            <w:tcBorders>
              <w:top w:val="single" w:sz="2" w:space="0" w:color="000000"/>
              <w:left w:val="single" w:sz="2" w:space="0" w:color="000000"/>
              <w:bottom w:val="single" w:sz="2" w:space="0" w:color="000000"/>
              <w:right w:val="single" w:sz="2" w:space="0" w:color="000000"/>
            </w:tcBorders>
            <w:vAlign w:val="center"/>
          </w:tcPr>
          <w:p w14:paraId="43773A6C"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344171</w:t>
            </w:r>
          </w:p>
        </w:tc>
        <w:tc>
          <w:tcPr>
            <w:tcW w:w="731" w:type="dxa"/>
            <w:tcBorders>
              <w:top w:val="single" w:sz="2" w:space="0" w:color="000000"/>
              <w:left w:val="single" w:sz="2" w:space="0" w:color="000000"/>
              <w:bottom w:val="single" w:sz="2" w:space="0" w:color="000000"/>
              <w:right w:val="single" w:sz="2" w:space="0" w:color="000000"/>
            </w:tcBorders>
            <w:vAlign w:val="center"/>
          </w:tcPr>
          <w:p w14:paraId="50092C15"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303032</w:t>
            </w:r>
          </w:p>
        </w:tc>
        <w:tc>
          <w:tcPr>
            <w:tcW w:w="736" w:type="dxa"/>
            <w:tcBorders>
              <w:top w:val="single" w:sz="2" w:space="0" w:color="000000"/>
              <w:left w:val="single" w:sz="2" w:space="0" w:color="000000"/>
              <w:bottom w:val="single" w:sz="2" w:space="0" w:color="000000"/>
              <w:right w:val="single" w:sz="2" w:space="0" w:color="000000"/>
            </w:tcBorders>
            <w:vAlign w:val="center"/>
          </w:tcPr>
          <w:p w14:paraId="0AECFC39"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310432</w:t>
            </w:r>
          </w:p>
        </w:tc>
        <w:tc>
          <w:tcPr>
            <w:tcW w:w="780" w:type="dxa"/>
            <w:tcBorders>
              <w:top w:val="single" w:sz="2" w:space="0" w:color="000000"/>
              <w:left w:val="single" w:sz="2" w:space="0" w:color="000000"/>
              <w:bottom w:val="single" w:sz="2" w:space="0" w:color="000000"/>
              <w:right w:val="single" w:sz="2" w:space="0" w:color="000000"/>
            </w:tcBorders>
            <w:vAlign w:val="center"/>
          </w:tcPr>
          <w:p w14:paraId="4094BAF9"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254402 </w:t>
            </w:r>
          </w:p>
        </w:tc>
        <w:tc>
          <w:tcPr>
            <w:tcW w:w="780" w:type="dxa"/>
            <w:tcBorders>
              <w:top w:val="single" w:sz="2" w:space="0" w:color="000000"/>
              <w:left w:val="single" w:sz="2" w:space="0" w:color="000000"/>
              <w:bottom w:val="single" w:sz="2" w:space="0" w:color="000000"/>
              <w:right w:val="single" w:sz="2" w:space="0" w:color="000000"/>
            </w:tcBorders>
            <w:vAlign w:val="center"/>
          </w:tcPr>
          <w:p w14:paraId="24D5B900"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259213 </w:t>
            </w:r>
          </w:p>
        </w:tc>
        <w:tc>
          <w:tcPr>
            <w:tcW w:w="780" w:type="dxa"/>
            <w:tcBorders>
              <w:top w:val="single" w:sz="2" w:space="0" w:color="000000"/>
              <w:left w:val="single" w:sz="2" w:space="0" w:color="000000"/>
              <w:bottom w:val="single" w:sz="2" w:space="0" w:color="000000"/>
              <w:right w:val="single" w:sz="2" w:space="0" w:color="000000"/>
            </w:tcBorders>
            <w:vAlign w:val="center"/>
          </w:tcPr>
          <w:p w14:paraId="362706F9"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241362 </w:t>
            </w:r>
          </w:p>
        </w:tc>
        <w:tc>
          <w:tcPr>
            <w:tcW w:w="780" w:type="dxa"/>
            <w:tcBorders>
              <w:top w:val="single" w:sz="2" w:space="0" w:color="000000"/>
              <w:left w:val="single" w:sz="2" w:space="0" w:color="000000"/>
              <w:bottom w:val="single" w:sz="2" w:space="0" w:color="000000"/>
              <w:right w:val="single" w:sz="2" w:space="0" w:color="000000"/>
            </w:tcBorders>
            <w:vAlign w:val="center"/>
          </w:tcPr>
          <w:p w14:paraId="12434D5C"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236549 </w:t>
            </w:r>
          </w:p>
        </w:tc>
        <w:tc>
          <w:tcPr>
            <w:tcW w:w="780" w:type="dxa"/>
            <w:tcBorders>
              <w:top w:val="single" w:sz="2" w:space="0" w:color="000000"/>
              <w:left w:val="single" w:sz="2" w:space="0" w:color="000000"/>
              <w:bottom w:val="single" w:sz="2" w:space="0" w:color="000000"/>
              <w:right w:val="single" w:sz="2" w:space="0" w:color="000000"/>
            </w:tcBorders>
            <w:vAlign w:val="center"/>
          </w:tcPr>
          <w:p w14:paraId="3AFB802A"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224391 </w:t>
            </w:r>
          </w:p>
        </w:tc>
      </w:tr>
      <w:tr w:rsidR="00920B68" w:rsidRPr="00364545" w14:paraId="0AE9AF10" w14:textId="77777777" w:rsidTr="00920B68">
        <w:trPr>
          <w:trHeight w:val="344"/>
        </w:trPr>
        <w:tc>
          <w:tcPr>
            <w:tcW w:w="866" w:type="dxa"/>
            <w:tcBorders>
              <w:top w:val="single" w:sz="2" w:space="0" w:color="000000"/>
              <w:left w:val="single" w:sz="2" w:space="0" w:color="000000"/>
              <w:bottom w:val="single" w:sz="2" w:space="0" w:color="000000"/>
              <w:right w:val="single" w:sz="2" w:space="0" w:color="000000"/>
            </w:tcBorders>
            <w:shd w:val="clear" w:color="auto" w:fill="ECE6E2"/>
          </w:tcPr>
          <w:p w14:paraId="4397977B"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CH</w:t>
            </w:r>
            <w:r w:rsidRPr="00364545">
              <w:rPr>
                <w:rFonts w:asciiTheme="minorHAnsi" w:hAnsiTheme="minorHAnsi"/>
                <w:sz w:val="18"/>
                <w:vertAlign w:val="subscript"/>
              </w:rPr>
              <w:t>4</w:t>
            </w:r>
            <w:r w:rsidRPr="00364545">
              <w:rPr>
                <w:rFonts w:asciiTheme="minorHAnsi" w:hAnsiTheme="minorHAnsi"/>
                <w:sz w:val="18"/>
              </w:rPr>
              <w:t xml:space="preserve"> excluding LULUCF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99B24DF"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69161</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FE25B06"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70383</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9CAD11D"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68603</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4C540DE"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63632</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565DBD"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61663</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256F461"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57862</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E9E31D"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55740</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3BA9A04"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55161.5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8B3540F"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53575.1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2AC9DAA"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52448.1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32950E8"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51718.6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311BF6D"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51049.8 </w:t>
            </w:r>
          </w:p>
        </w:tc>
      </w:tr>
      <w:tr w:rsidR="00920B68" w:rsidRPr="00364545" w14:paraId="7AF3FFD1" w14:textId="77777777" w:rsidTr="00920B68">
        <w:trPr>
          <w:trHeight w:val="347"/>
        </w:trPr>
        <w:tc>
          <w:tcPr>
            <w:tcW w:w="866" w:type="dxa"/>
            <w:tcBorders>
              <w:top w:val="single" w:sz="2" w:space="0" w:color="000000"/>
              <w:left w:val="single" w:sz="2" w:space="0" w:color="000000"/>
              <w:bottom w:val="single" w:sz="2" w:space="0" w:color="000000"/>
              <w:right w:val="single" w:sz="2" w:space="0" w:color="000000"/>
            </w:tcBorders>
          </w:tcPr>
          <w:p w14:paraId="41EDB308"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CH</w:t>
            </w:r>
            <w:r w:rsidRPr="00364545">
              <w:rPr>
                <w:rFonts w:asciiTheme="minorHAnsi" w:hAnsiTheme="minorHAnsi"/>
                <w:sz w:val="18"/>
                <w:vertAlign w:val="subscript"/>
              </w:rPr>
              <w:t>4</w:t>
            </w:r>
            <w:r w:rsidRPr="00364545">
              <w:rPr>
                <w:rFonts w:asciiTheme="minorHAnsi" w:hAnsiTheme="minorHAnsi"/>
                <w:sz w:val="18"/>
              </w:rPr>
              <w:t xml:space="preserve"> including LULUCF </w:t>
            </w:r>
          </w:p>
        </w:tc>
        <w:tc>
          <w:tcPr>
            <w:tcW w:w="780" w:type="dxa"/>
            <w:tcBorders>
              <w:top w:val="single" w:sz="2" w:space="0" w:color="000000"/>
              <w:left w:val="single" w:sz="2" w:space="0" w:color="000000"/>
              <w:bottom w:val="single" w:sz="2" w:space="0" w:color="000000"/>
              <w:right w:val="single" w:sz="2" w:space="0" w:color="000000"/>
            </w:tcBorders>
            <w:vAlign w:val="center"/>
          </w:tcPr>
          <w:p w14:paraId="56FA18EA"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70094</w:t>
            </w:r>
          </w:p>
        </w:tc>
        <w:tc>
          <w:tcPr>
            <w:tcW w:w="731" w:type="dxa"/>
            <w:tcBorders>
              <w:top w:val="single" w:sz="2" w:space="0" w:color="000000"/>
              <w:left w:val="single" w:sz="2" w:space="0" w:color="000000"/>
              <w:bottom w:val="single" w:sz="2" w:space="0" w:color="000000"/>
              <w:right w:val="single" w:sz="2" w:space="0" w:color="000000"/>
            </w:tcBorders>
            <w:vAlign w:val="center"/>
          </w:tcPr>
          <w:p w14:paraId="539AAF22"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74053</w:t>
            </w:r>
          </w:p>
        </w:tc>
        <w:tc>
          <w:tcPr>
            <w:tcW w:w="731" w:type="dxa"/>
            <w:tcBorders>
              <w:top w:val="single" w:sz="2" w:space="0" w:color="000000"/>
              <w:left w:val="single" w:sz="2" w:space="0" w:color="000000"/>
              <w:bottom w:val="single" w:sz="2" w:space="0" w:color="000000"/>
              <w:right w:val="single" w:sz="2" w:space="0" w:color="000000"/>
            </w:tcBorders>
            <w:vAlign w:val="center"/>
          </w:tcPr>
          <w:p w14:paraId="703D9B4B"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70296</w:t>
            </w:r>
          </w:p>
        </w:tc>
        <w:tc>
          <w:tcPr>
            <w:tcW w:w="731" w:type="dxa"/>
            <w:tcBorders>
              <w:top w:val="single" w:sz="2" w:space="0" w:color="000000"/>
              <w:left w:val="single" w:sz="2" w:space="0" w:color="000000"/>
              <w:bottom w:val="single" w:sz="2" w:space="0" w:color="000000"/>
              <w:right w:val="single" w:sz="2" w:space="0" w:color="000000"/>
            </w:tcBorders>
            <w:vAlign w:val="center"/>
          </w:tcPr>
          <w:p w14:paraId="067B7453"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64820</w:t>
            </w:r>
          </w:p>
        </w:tc>
        <w:tc>
          <w:tcPr>
            <w:tcW w:w="731" w:type="dxa"/>
            <w:tcBorders>
              <w:top w:val="single" w:sz="2" w:space="0" w:color="000000"/>
              <w:left w:val="single" w:sz="2" w:space="0" w:color="000000"/>
              <w:bottom w:val="single" w:sz="2" w:space="0" w:color="000000"/>
              <w:right w:val="single" w:sz="2" w:space="0" w:color="000000"/>
            </w:tcBorders>
            <w:vAlign w:val="center"/>
          </w:tcPr>
          <w:p w14:paraId="492A532B"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62793</w:t>
            </w:r>
          </w:p>
        </w:tc>
        <w:tc>
          <w:tcPr>
            <w:tcW w:w="731" w:type="dxa"/>
            <w:tcBorders>
              <w:top w:val="single" w:sz="2" w:space="0" w:color="000000"/>
              <w:left w:val="single" w:sz="2" w:space="0" w:color="000000"/>
              <w:bottom w:val="single" w:sz="2" w:space="0" w:color="000000"/>
              <w:right w:val="single" w:sz="2" w:space="0" w:color="000000"/>
            </w:tcBorders>
            <w:vAlign w:val="center"/>
          </w:tcPr>
          <w:p w14:paraId="77C5693E"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58940</w:t>
            </w:r>
          </w:p>
        </w:tc>
        <w:tc>
          <w:tcPr>
            <w:tcW w:w="736" w:type="dxa"/>
            <w:tcBorders>
              <w:top w:val="single" w:sz="2" w:space="0" w:color="000000"/>
              <w:left w:val="single" w:sz="2" w:space="0" w:color="000000"/>
              <w:bottom w:val="single" w:sz="2" w:space="0" w:color="000000"/>
              <w:right w:val="single" w:sz="2" w:space="0" w:color="000000"/>
            </w:tcBorders>
            <w:vAlign w:val="center"/>
          </w:tcPr>
          <w:p w14:paraId="6B635A72"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56877</w:t>
            </w:r>
          </w:p>
        </w:tc>
        <w:tc>
          <w:tcPr>
            <w:tcW w:w="780" w:type="dxa"/>
            <w:tcBorders>
              <w:top w:val="single" w:sz="2" w:space="0" w:color="000000"/>
              <w:left w:val="single" w:sz="2" w:space="0" w:color="000000"/>
              <w:bottom w:val="single" w:sz="2" w:space="0" w:color="000000"/>
              <w:right w:val="single" w:sz="2" w:space="0" w:color="000000"/>
            </w:tcBorders>
            <w:vAlign w:val="center"/>
          </w:tcPr>
          <w:p w14:paraId="5D91A90B"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56289.0 </w:t>
            </w:r>
          </w:p>
        </w:tc>
        <w:tc>
          <w:tcPr>
            <w:tcW w:w="780" w:type="dxa"/>
            <w:tcBorders>
              <w:top w:val="single" w:sz="2" w:space="0" w:color="000000"/>
              <w:left w:val="single" w:sz="2" w:space="0" w:color="000000"/>
              <w:bottom w:val="single" w:sz="2" w:space="0" w:color="000000"/>
              <w:right w:val="single" w:sz="2" w:space="0" w:color="000000"/>
            </w:tcBorders>
            <w:vAlign w:val="center"/>
          </w:tcPr>
          <w:p w14:paraId="380EFEE9"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54702.2 </w:t>
            </w:r>
          </w:p>
        </w:tc>
        <w:tc>
          <w:tcPr>
            <w:tcW w:w="780" w:type="dxa"/>
            <w:tcBorders>
              <w:top w:val="single" w:sz="2" w:space="0" w:color="000000"/>
              <w:left w:val="single" w:sz="2" w:space="0" w:color="000000"/>
              <w:bottom w:val="single" w:sz="2" w:space="0" w:color="000000"/>
              <w:right w:val="single" w:sz="2" w:space="0" w:color="000000"/>
            </w:tcBorders>
            <w:vAlign w:val="center"/>
          </w:tcPr>
          <w:p w14:paraId="32560A69"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53575.1 </w:t>
            </w:r>
          </w:p>
        </w:tc>
        <w:tc>
          <w:tcPr>
            <w:tcW w:w="780" w:type="dxa"/>
            <w:tcBorders>
              <w:top w:val="single" w:sz="2" w:space="0" w:color="000000"/>
              <w:left w:val="single" w:sz="2" w:space="0" w:color="000000"/>
              <w:bottom w:val="single" w:sz="2" w:space="0" w:color="000000"/>
              <w:right w:val="single" w:sz="2" w:space="0" w:color="000000"/>
            </w:tcBorders>
            <w:vAlign w:val="center"/>
          </w:tcPr>
          <w:p w14:paraId="29DA28DA"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52845.5 </w:t>
            </w:r>
          </w:p>
        </w:tc>
        <w:tc>
          <w:tcPr>
            <w:tcW w:w="780" w:type="dxa"/>
            <w:tcBorders>
              <w:top w:val="single" w:sz="2" w:space="0" w:color="000000"/>
              <w:left w:val="single" w:sz="2" w:space="0" w:color="000000"/>
              <w:bottom w:val="single" w:sz="2" w:space="0" w:color="000000"/>
              <w:right w:val="single" w:sz="2" w:space="0" w:color="000000"/>
            </w:tcBorders>
            <w:vAlign w:val="center"/>
          </w:tcPr>
          <w:p w14:paraId="315DEA58"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52176.8 </w:t>
            </w:r>
          </w:p>
        </w:tc>
      </w:tr>
      <w:tr w:rsidR="00920B68" w:rsidRPr="00364545" w14:paraId="2D153FD9" w14:textId="77777777" w:rsidTr="00920B68">
        <w:trPr>
          <w:trHeight w:val="342"/>
        </w:trPr>
        <w:tc>
          <w:tcPr>
            <w:tcW w:w="866" w:type="dxa"/>
            <w:tcBorders>
              <w:top w:val="single" w:sz="2" w:space="0" w:color="000000"/>
              <w:left w:val="single" w:sz="2" w:space="0" w:color="000000"/>
              <w:bottom w:val="single" w:sz="2" w:space="0" w:color="000000"/>
              <w:right w:val="single" w:sz="2" w:space="0" w:color="000000"/>
            </w:tcBorders>
            <w:shd w:val="clear" w:color="auto" w:fill="ECE6E2"/>
          </w:tcPr>
          <w:p w14:paraId="7DA9EA8F"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N</w:t>
            </w:r>
            <w:r w:rsidRPr="00364545">
              <w:rPr>
                <w:rFonts w:asciiTheme="minorHAnsi" w:hAnsiTheme="minorHAnsi"/>
                <w:sz w:val="18"/>
                <w:vertAlign w:val="subscript"/>
              </w:rPr>
              <w:t>2</w:t>
            </w:r>
            <w:r w:rsidRPr="00364545">
              <w:rPr>
                <w:rFonts w:asciiTheme="minorHAnsi" w:hAnsiTheme="minorHAnsi"/>
                <w:sz w:val="18"/>
              </w:rPr>
              <w:t xml:space="preserve">O excluding LULUCF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98770B"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64725</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61BCE04"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65937</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3BB5462"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53681</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4A100C7"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46307</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A7AF95"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40478</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F07A012"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39895</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94D48A"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38071</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2AA91AC"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38446.9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4A3174C"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37839.2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FC1B812"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36921.5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5BF65E1"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36417.5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AB42C53"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35003.5 </w:t>
            </w:r>
          </w:p>
        </w:tc>
      </w:tr>
      <w:tr w:rsidR="00920B68" w:rsidRPr="00364545" w14:paraId="40B5E311" w14:textId="77777777" w:rsidTr="00920B68">
        <w:trPr>
          <w:trHeight w:val="347"/>
        </w:trPr>
        <w:tc>
          <w:tcPr>
            <w:tcW w:w="866" w:type="dxa"/>
            <w:tcBorders>
              <w:top w:val="single" w:sz="2" w:space="0" w:color="000000"/>
              <w:left w:val="single" w:sz="2" w:space="0" w:color="000000"/>
              <w:bottom w:val="single" w:sz="2" w:space="0" w:color="000000"/>
              <w:right w:val="single" w:sz="2" w:space="0" w:color="000000"/>
            </w:tcBorders>
          </w:tcPr>
          <w:p w14:paraId="233F3D8D"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N</w:t>
            </w:r>
            <w:r w:rsidRPr="00364545">
              <w:rPr>
                <w:rFonts w:asciiTheme="minorHAnsi" w:hAnsiTheme="minorHAnsi"/>
                <w:sz w:val="18"/>
                <w:vertAlign w:val="subscript"/>
              </w:rPr>
              <w:t>2</w:t>
            </w:r>
            <w:r w:rsidRPr="00364545">
              <w:rPr>
                <w:rFonts w:asciiTheme="minorHAnsi" w:hAnsiTheme="minorHAnsi"/>
                <w:sz w:val="18"/>
              </w:rPr>
              <w:t xml:space="preserve">O including LULUCF </w:t>
            </w:r>
          </w:p>
        </w:tc>
        <w:tc>
          <w:tcPr>
            <w:tcW w:w="780" w:type="dxa"/>
            <w:tcBorders>
              <w:top w:val="single" w:sz="2" w:space="0" w:color="000000"/>
              <w:left w:val="single" w:sz="2" w:space="0" w:color="000000"/>
              <w:bottom w:val="single" w:sz="2" w:space="0" w:color="000000"/>
              <w:right w:val="single" w:sz="2" w:space="0" w:color="000000"/>
            </w:tcBorders>
            <w:vAlign w:val="center"/>
          </w:tcPr>
          <w:p w14:paraId="4C291C45"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67951</w:t>
            </w:r>
          </w:p>
        </w:tc>
        <w:tc>
          <w:tcPr>
            <w:tcW w:w="731" w:type="dxa"/>
            <w:tcBorders>
              <w:top w:val="single" w:sz="2" w:space="0" w:color="000000"/>
              <w:left w:val="single" w:sz="2" w:space="0" w:color="000000"/>
              <w:bottom w:val="single" w:sz="2" w:space="0" w:color="000000"/>
              <w:right w:val="single" w:sz="2" w:space="0" w:color="000000"/>
            </w:tcBorders>
            <w:vAlign w:val="center"/>
          </w:tcPr>
          <w:p w14:paraId="602E58EF"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69183</w:t>
            </w:r>
          </w:p>
        </w:tc>
        <w:tc>
          <w:tcPr>
            <w:tcW w:w="731" w:type="dxa"/>
            <w:tcBorders>
              <w:top w:val="single" w:sz="2" w:space="0" w:color="000000"/>
              <w:left w:val="single" w:sz="2" w:space="0" w:color="000000"/>
              <w:bottom w:val="single" w:sz="2" w:space="0" w:color="000000"/>
              <w:right w:val="single" w:sz="2" w:space="0" w:color="000000"/>
            </w:tcBorders>
            <w:vAlign w:val="center"/>
          </w:tcPr>
          <w:p w14:paraId="6D16A8CE"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56873</w:t>
            </w:r>
          </w:p>
        </w:tc>
        <w:tc>
          <w:tcPr>
            <w:tcW w:w="731" w:type="dxa"/>
            <w:tcBorders>
              <w:top w:val="single" w:sz="2" w:space="0" w:color="000000"/>
              <w:left w:val="single" w:sz="2" w:space="0" w:color="000000"/>
              <w:bottom w:val="single" w:sz="2" w:space="0" w:color="000000"/>
              <w:right w:val="single" w:sz="2" w:space="0" w:color="000000"/>
            </w:tcBorders>
            <w:vAlign w:val="center"/>
          </w:tcPr>
          <w:p w14:paraId="1956DAD4"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49279</w:t>
            </w:r>
          </w:p>
        </w:tc>
        <w:tc>
          <w:tcPr>
            <w:tcW w:w="731" w:type="dxa"/>
            <w:tcBorders>
              <w:top w:val="single" w:sz="2" w:space="0" w:color="000000"/>
              <w:left w:val="single" w:sz="2" w:space="0" w:color="000000"/>
              <w:bottom w:val="single" w:sz="2" w:space="0" w:color="000000"/>
              <w:right w:val="single" w:sz="2" w:space="0" w:color="000000"/>
            </w:tcBorders>
            <w:vAlign w:val="center"/>
          </w:tcPr>
          <w:p w14:paraId="3415B163"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43694</w:t>
            </w:r>
          </w:p>
        </w:tc>
        <w:tc>
          <w:tcPr>
            <w:tcW w:w="731" w:type="dxa"/>
            <w:tcBorders>
              <w:top w:val="single" w:sz="2" w:space="0" w:color="000000"/>
              <w:left w:val="single" w:sz="2" w:space="0" w:color="000000"/>
              <w:bottom w:val="single" w:sz="2" w:space="0" w:color="000000"/>
              <w:right w:val="single" w:sz="2" w:space="0" w:color="000000"/>
            </w:tcBorders>
            <w:vAlign w:val="center"/>
          </w:tcPr>
          <w:p w14:paraId="3F42E98C"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42840</w:t>
            </w:r>
          </w:p>
        </w:tc>
        <w:tc>
          <w:tcPr>
            <w:tcW w:w="736" w:type="dxa"/>
            <w:tcBorders>
              <w:top w:val="single" w:sz="2" w:space="0" w:color="000000"/>
              <w:left w:val="single" w:sz="2" w:space="0" w:color="000000"/>
              <w:bottom w:val="single" w:sz="2" w:space="0" w:color="000000"/>
              <w:right w:val="single" w:sz="2" w:space="0" w:color="000000"/>
            </w:tcBorders>
            <w:vAlign w:val="center"/>
          </w:tcPr>
          <w:p w14:paraId="05067DC0"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40939</w:t>
            </w:r>
          </w:p>
        </w:tc>
        <w:tc>
          <w:tcPr>
            <w:tcW w:w="780" w:type="dxa"/>
            <w:tcBorders>
              <w:top w:val="single" w:sz="2" w:space="0" w:color="000000"/>
              <w:left w:val="single" w:sz="2" w:space="0" w:color="000000"/>
              <w:bottom w:val="single" w:sz="2" w:space="0" w:color="000000"/>
              <w:right w:val="single" w:sz="2" w:space="0" w:color="000000"/>
            </w:tcBorders>
            <w:vAlign w:val="center"/>
          </w:tcPr>
          <w:p w14:paraId="6512D2B7"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41566.3 </w:t>
            </w:r>
          </w:p>
        </w:tc>
        <w:tc>
          <w:tcPr>
            <w:tcW w:w="780" w:type="dxa"/>
            <w:tcBorders>
              <w:top w:val="single" w:sz="2" w:space="0" w:color="000000"/>
              <w:left w:val="single" w:sz="2" w:space="0" w:color="000000"/>
              <w:bottom w:val="single" w:sz="2" w:space="0" w:color="000000"/>
              <w:right w:val="single" w:sz="2" w:space="0" w:color="000000"/>
            </w:tcBorders>
            <w:vAlign w:val="center"/>
          </w:tcPr>
          <w:p w14:paraId="1E2A9784"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40958.6 </w:t>
            </w:r>
          </w:p>
        </w:tc>
        <w:tc>
          <w:tcPr>
            <w:tcW w:w="780" w:type="dxa"/>
            <w:tcBorders>
              <w:top w:val="single" w:sz="2" w:space="0" w:color="000000"/>
              <w:left w:val="single" w:sz="2" w:space="0" w:color="000000"/>
              <w:bottom w:val="single" w:sz="2" w:space="0" w:color="000000"/>
              <w:right w:val="single" w:sz="2" w:space="0" w:color="000000"/>
            </w:tcBorders>
            <w:vAlign w:val="center"/>
          </w:tcPr>
          <w:p w14:paraId="63035F0B"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40040.9 </w:t>
            </w:r>
          </w:p>
        </w:tc>
        <w:tc>
          <w:tcPr>
            <w:tcW w:w="780" w:type="dxa"/>
            <w:tcBorders>
              <w:top w:val="single" w:sz="2" w:space="0" w:color="000000"/>
              <w:left w:val="single" w:sz="2" w:space="0" w:color="000000"/>
              <w:bottom w:val="single" w:sz="2" w:space="0" w:color="000000"/>
              <w:right w:val="single" w:sz="2" w:space="0" w:color="000000"/>
            </w:tcBorders>
            <w:vAlign w:val="center"/>
          </w:tcPr>
          <w:p w14:paraId="13621CC3"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39537.0 </w:t>
            </w:r>
          </w:p>
        </w:tc>
        <w:tc>
          <w:tcPr>
            <w:tcW w:w="780" w:type="dxa"/>
            <w:tcBorders>
              <w:top w:val="single" w:sz="2" w:space="0" w:color="000000"/>
              <w:left w:val="single" w:sz="2" w:space="0" w:color="000000"/>
              <w:bottom w:val="single" w:sz="2" w:space="0" w:color="000000"/>
              <w:right w:val="single" w:sz="2" w:space="0" w:color="000000"/>
            </w:tcBorders>
            <w:vAlign w:val="center"/>
          </w:tcPr>
          <w:p w14:paraId="35F630AB"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38123.0 </w:t>
            </w:r>
          </w:p>
        </w:tc>
      </w:tr>
      <w:tr w:rsidR="00920B68" w:rsidRPr="00364545" w14:paraId="7CDDBDC0" w14:textId="77777777" w:rsidTr="00920B68">
        <w:trPr>
          <w:trHeight w:val="344"/>
        </w:trPr>
        <w:tc>
          <w:tcPr>
            <w:tcW w:w="866" w:type="dxa"/>
            <w:tcBorders>
              <w:top w:val="single" w:sz="2" w:space="0" w:color="000000"/>
              <w:left w:val="single" w:sz="2" w:space="0" w:color="000000"/>
              <w:bottom w:val="single" w:sz="2" w:space="0" w:color="000000"/>
              <w:right w:val="single" w:sz="2" w:space="0" w:color="000000"/>
            </w:tcBorders>
            <w:shd w:val="clear" w:color="auto" w:fill="ECE6E2"/>
          </w:tcPr>
          <w:p w14:paraId="1CD4DFF1"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 xml:space="preserve">HFCs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D9FCF15" w14:textId="77777777" w:rsidR="00920B68" w:rsidRPr="00364545" w:rsidRDefault="00920B68" w:rsidP="00920B68">
            <w:pPr>
              <w:spacing w:line="259" w:lineRule="auto"/>
              <w:ind w:left="59"/>
              <w:rPr>
                <w:rFonts w:asciiTheme="minorHAnsi" w:hAnsiTheme="minorHAnsi"/>
                <w:sz w:val="18"/>
                <w:szCs w:val="18"/>
              </w:rPr>
            </w:pPr>
            <w:r>
              <w:rPr>
                <w:sz w:val="18"/>
                <w:szCs w:val="18"/>
              </w:rPr>
              <w:t>4402</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6D82AC0"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1702</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DECE497"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6736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40A2A5A"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12862</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507B310"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16930</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36D23A9"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17494</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FDE2BB"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12992</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2F0260E"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12721.1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F0C652"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7816.6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CF50C75"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5052.7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EBC815"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3427.2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67B6D4"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1830.7 </w:t>
            </w:r>
          </w:p>
        </w:tc>
      </w:tr>
      <w:tr w:rsidR="00920B68" w:rsidRPr="00364545" w14:paraId="5A9224C7" w14:textId="77777777" w:rsidTr="00920B68">
        <w:trPr>
          <w:trHeight w:val="347"/>
        </w:trPr>
        <w:tc>
          <w:tcPr>
            <w:tcW w:w="866" w:type="dxa"/>
            <w:tcBorders>
              <w:top w:val="single" w:sz="2" w:space="0" w:color="000000"/>
              <w:left w:val="single" w:sz="2" w:space="0" w:color="000000"/>
              <w:bottom w:val="single" w:sz="2" w:space="0" w:color="000000"/>
              <w:right w:val="single" w:sz="2" w:space="0" w:color="000000"/>
            </w:tcBorders>
          </w:tcPr>
          <w:p w14:paraId="61C56DAD"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 xml:space="preserve">PFCs </w:t>
            </w:r>
          </w:p>
        </w:tc>
        <w:tc>
          <w:tcPr>
            <w:tcW w:w="780" w:type="dxa"/>
            <w:tcBorders>
              <w:top w:val="single" w:sz="2" w:space="0" w:color="000000"/>
              <w:left w:val="single" w:sz="2" w:space="0" w:color="000000"/>
              <w:bottom w:val="single" w:sz="2" w:space="0" w:color="000000"/>
              <w:right w:val="single" w:sz="2" w:space="0" w:color="000000"/>
            </w:tcBorders>
            <w:vAlign w:val="center"/>
          </w:tcPr>
          <w:p w14:paraId="6E0D7AA9"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5202</w:t>
            </w:r>
          </w:p>
        </w:tc>
        <w:tc>
          <w:tcPr>
            <w:tcW w:w="731" w:type="dxa"/>
            <w:tcBorders>
              <w:top w:val="single" w:sz="2" w:space="0" w:color="000000"/>
              <w:left w:val="single" w:sz="2" w:space="0" w:color="000000"/>
              <w:bottom w:val="single" w:sz="2" w:space="0" w:color="000000"/>
              <w:right w:val="single" w:sz="2" w:space="0" w:color="000000"/>
            </w:tcBorders>
            <w:vAlign w:val="center"/>
          </w:tcPr>
          <w:p w14:paraId="1627860E"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3065</w:t>
            </w:r>
          </w:p>
        </w:tc>
        <w:tc>
          <w:tcPr>
            <w:tcW w:w="731" w:type="dxa"/>
            <w:tcBorders>
              <w:top w:val="single" w:sz="2" w:space="0" w:color="000000"/>
              <w:left w:val="single" w:sz="2" w:space="0" w:color="000000"/>
              <w:bottom w:val="single" w:sz="2" w:space="0" w:color="000000"/>
              <w:right w:val="single" w:sz="2" w:space="0" w:color="000000"/>
            </w:tcBorders>
            <w:vAlign w:val="center"/>
          </w:tcPr>
          <w:p w14:paraId="054E86DB"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2997</w:t>
            </w:r>
          </w:p>
        </w:tc>
        <w:tc>
          <w:tcPr>
            <w:tcW w:w="731" w:type="dxa"/>
            <w:tcBorders>
              <w:top w:val="single" w:sz="2" w:space="0" w:color="000000"/>
              <w:left w:val="single" w:sz="2" w:space="0" w:color="000000"/>
              <w:bottom w:val="single" w:sz="2" w:space="0" w:color="000000"/>
              <w:right w:val="single" w:sz="2" w:space="0" w:color="000000"/>
            </w:tcBorders>
            <w:vAlign w:val="center"/>
          </w:tcPr>
          <w:p w14:paraId="309822C7"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1760</w:t>
            </w:r>
          </w:p>
        </w:tc>
        <w:tc>
          <w:tcPr>
            <w:tcW w:w="731" w:type="dxa"/>
            <w:tcBorders>
              <w:top w:val="single" w:sz="2" w:space="0" w:color="000000"/>
              <w:left w:val="single" w:sz="2" w:space="0" w:color="000000"/>
              <w:bottom w:val="single" w:sz="2" w:space="0" w:color="000000"/>
              <w:right w:val="single" w:sz="2" w:space="0" w:color="000000"/>
            </w:tcBorders>
            <w:vAlign w:val="center"/>
          </w:tcPr>
          <w:p w14:paraId="577AEE01"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617</w:t>
            </w:r>
          </w:p>
        </w:tc>
        <w:tc>
          <w:tcPr>
            <w:tcW w:w="731" w:type="dxa"/>
            <w:tcBorders>
              <w:top w:val="single" w:sz="2" w:space="0" w:color="000000"/>
              <w:left w:val="single" w:sz="2" w:space="0" w:color="000000"/>
              <w:bottom w:val="single" w:sz="2" w:space="0" w:color="000000"/>
              <w:right w:val="single" w:sz="2" w:space="0" w:color="000000"/>
            </w:tcBorders>
            <w:vAlign w:val="center"/>
          </w:tcPr>
          <w:p w14:paraId="220981AB"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537</w:t>
            </w:r>
          </w:p>
        </w:tc>
        <w:tc>
          <w:tcPr>
            <w:tcW w:w="736" w:type="dxa"/>
            <w:tcBorders>
              <w:top w:val="single" w:sz="2" w:space="0" w:color="000000"/>
              <w:left w:val="single" w:sz="2" w:space="0" w:color="000000"/>
              <w:bottom w:val="single" w:sz="2" w:space="0" w:color="000000"/>
              <w:right w:val="single" w:sz="2" w:space="0" w:color="000000"/>
            </w:tcBorders>
            <w:vAlign w:val="center"/>
          </w:tcPr>
          <w:p w14:paraId="61C046C6"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615</w:t>
            </w:r>
          </w:p>
        </w:tc>
        <w:tc>
          <w:tcPr>
            <w:tcW w:w="780" w:type="dxa"/>
            <w:tcBorders>
              <w:top w:val="single" w:sz="2" w:space="0" w:color="000000"/>
              <w:left w:val="single" w:sz="2" w:space="0" w:color="000000"/>
              <w:bottom w:val="single" w:sz="2" w:space="0" w:color="000000"/>
              <w:right w:val="single" w:sz="2" w:space="0" w:color="000000"/>
            </w:tcBorders>
            <w:vAlign w:val="center"/>
          </w:tcPr>
          <w:p w14:paraId="286808FA"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462.9 </w:t>
            </w:r>
          </w:p>
        </w:tc>
        <w:tc>
          <w:tcPr>
            <w:tcW w:w="780" w:type="dxa"/>
            <w:tcBorders>
              <w:top w:val="single" w:sz="2" w:space="0" w:color="000000"/>
              <w:left w:val="single" w:sz="2" w:space="0" w:color="000000"/>
              <w:bottom w:val="single" w:sz="2" w:space="0" w:color="000000"/>
              <w:right w:val="single" w:sz="2" w:space="0" w:color="000000"/>
            </w:tcBorders>
            <w:vAlign w:val="center"/>
          </w:tcPr>
          <w:p w14:paraId="3A2D19A4"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290.7 </w:t>
            </w:r>
          </w:p>
        </w:tc>
        <w:tc>
          <w:tcPr>
            <w:tcW w:w="780" w:type="dxa"/>
            <w:tcBorders>
              <w:top w:val="single" w:sz="2" w:space="0" w:color="000000"/>
              <w:left w:val="single" w:sz="2" w:space="0" w:color="000000"/>
              <w:bottom w:val="single" w:sz="2" w:space="0" w:color="000000"/>
              <w:right w:val="single" w:sz="2" w:space="0" w:color="000000"/>
            </w:tcBorders>
            <w:vAlign w:val="center"/>
          </w:tcPr>
          <w:p w14:paraId="6F3D729B"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217.7 </w:t>
            </w:r>
          </w:p>
        </w:tc>
        <w:tc>
          <w:tcPr>
            <w:tcW w:w="780" w:type="dxa"/>
            <w:tcBorders>
              <w:top w:val="single" w:sz="2" w:space="0" w:color="000000"/>
              <w:left w:val="single" w:sz="2" w:space="0" w:color="000000"/>
              <w:bottom w:val="single" w:sz="2" w:space="0" w:color="000000"/>
              <w:right w:val="single" w:sz="2" w:space="0" w:color="000000"/>
            </w:tcBorders>
            <w:vAlign w:val="center"/>
          </w:tcPr>
          <w:p w14:paraId="23628FD5"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156.5 </w:t>
            </w:r>
          </w:p>
        </w:tc>
        <w:tc>
          <w:tcPr>
            <w:tcW w:w="780" w:type="dxa"/>
            <w:tcBorders>
              <w:top w:val="single" w:sz="2" w:space="0" w:color="000000"/>
              <w:left w:val="single" w:sz="2" w:space="0" w:color="000000"/>
              <w:bottom w:val="single" w:sz="2" w:space="0" w:color="000000"/>
              <w:right w:val="single" w:sz="2" w:space="0" w:color="000000"/>
            </w:tcBorders>
            <w:vAlign w:val="center"/>
          </w:tcPr>
          <w:p w14:paraId="1734AB09"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130.9 </w:t>
            </w:r>
          </w:p>
        </w:tc>
      </w:tr>
      <w:tr w:rsidR="00920B68" w:rsidRPr="00364545" w14:paraId="57376C32" w14:textId="77777777" w:rsidTr="00920B68">
        <w:trPr>
          <w:trHeight w:val="342"/>
        </w:trPr>
        <w:tc>
          <w:tcPr>
            <w:tcW w:w="866" w:type="dxa"/>
            <w:tcBorders>
              <w:top w:val="single" w:sz="2" w:space="0" w:color="000000"/>
              <w:left w:val="single" w:sz="2" w:space="0" w:color="000000"/>
              <w:bottom w:val="single" w:sz="2" w:space="0" w:color="000000"/>
              <w:right w:val="single" w:sz="2" w:space="0" w:color="000000"/>
            </w:tcBorders>
            <w:shd w:val="clear" w:color="auto" w:fill="ECE6E2"/>
          </w:tcPr>
          <w:p w14:paraId="3399BC16"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SF</w:t>
            </w:r>
            <w:r w:rsidRPr="00364545">
              <w:rPr>
                <w:rFonts w:asciiTheme="minorHAnsi" w:hAnsiTheme="minorHAnsi"/>
                <w:sz w:val="18"/>
                <w:vertAlign w:val="subscript"/>
              </w:rPr>
              <w:t>6</w:t>
            </w:r>
            <w:r w:rsidRPr="00364545">
              <w:rPr>
                <w:rFonts w:asciiTheme="minorHAnsi" w:hAnsiTheme="minorHAnsi"/>
                <w:sz w:val="18"/>
              </w:rPr>
              <w:t xml:space="preserve">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BD17102"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2155</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E92B7A"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2467</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835A151"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2180</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7A6A87"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1355</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F55AF88"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875</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3BE33A"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498</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588F46C"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385</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15B098"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387.4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5249D7E"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358.1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BAE8A8"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359.2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7C2E80"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360.2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10CA8E"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363.0 </w:t>
            </w:r>
          </w:p>
        </w:tc>
      </w:tr>
      <w:tr w:rsidR="00920B68" w:rsidRPr="00364545" w14:paraId="1CD8D56B" w14:textId="77777777" w:rsidTr="00920B68">
        <w:trPr>
          <w:trHeight w:val="347"/>
        </w:trPr>
        <w:tc>
          <w:tcPr>
            <w:tcW w:w="866" w:type="dxa"/>
            <w:tcBorders>
              <w:top w:val="single" w:sz="2" w:space="0" w:color="000000"/>
              <w:left w:val="single" w:sz="2" w:space="0" w:color="000000"/>
              <w:bottom w:val="single" w:sz="2" w:space="0" w:color="000000"/>
              <w:right w:val="single" w:sz="2" w:space="0" w:color="000000"/>
            </w:tcBorders>
          </w:tcPr>
          <w:p w14:paraId="043EA65D" w14:textId="77777777" w:rsidR="00920B68" w:rsidRPr="00364545" w:rsidRDefault="00920B68" w:rsidP="00920B68">
            <w:pPr>
              <w:spacing w:line="259" w:lineRule="auto"/>
              <w:rPr>
                <w:rFonts w:asciiTheme="minorHAnsi" w:hAnsiTheme="minorHAnsi"/>
                <w:sz w:val="18"/>
                <w:szCs w:val="18"/>
              </w:rPr>
            </w:pPr>
            <w:r w:rsidRPr="00364545">
              <w:rPr>
                <w:rFonts w:asciiTheme="minorHAnsi" w:hAnsiTheme="minorHAnsi"/>
                <w:sz w:val="18"/>
              </w:rPr>
              <w:t>NF</w:t>
            </w:r>
            <w:r w:rsidRPr="00364545">
              <w:rPr>
                <w:rFonts w:asciiTheme="minorHAnsi" w:hAnsiTheme="minorHAnsi"/>
                <w:sz w:val="18"/>
                <w:vertAlign w:val="subscript"/>
              </w:rPr>
              <w:t>3</w:t>
            </w:r>
            <w:r w:rsidRPr="00364545">
              <w:rPr>
                <w:rFonts w:asciiTheme="minorHAnsi" w:hAnsiTheme="minorHAnsi"/>
                <w:sz w:val="18"/>
              </w:rPr>
              <w:t xml:space="preserve"> </w:t>
            </w:r>
          </w:p>
        </w:tc>
        <w:tc>
          <w:tcPr>
            <w:tcW w:w="780" w:type="dxa"/>
            <w:tcBorders>
              <w:top w:val="single" w:sz="2" w:space="0" w:color="000000"/>
              <w:left w:val="single" w:sz="2" w:space="0" w:color="000000"/>
              <w:bottom w:val="single" w:sz="2" w:space="0" w:color="000000"/>
              <w:right w:val="single" w:sz="2" w:space="0" w:color="000000"/>
            </w:tcBorders>
            <w:vAlign w:val="center"/>
          </w:tcPr>
          <w:p w14:paraId="7280FC59"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16</w:t>
            </w:r>
          </w:p>
        </w:tc>
        <w:tc>
          <w:tcPr>
            <w:tcW w:w="731" w:type="dxa"/>
            <w:tcBorders>
              <w:top w:val="single" w:sz="2" w:space="0" w:color="000000"/>
              <w:left w:val="single" w:sz="2" w:space="0" w:color="000000"/>
              <w:bottom w:val="single" w:sz="2" w:space="0" w:color="000000"/>
              <w:right w:val="single" w:sz="2" w:space="0" w:color="000000"/>
            </w:tcBorders>
            <w:vAlign w:val="center"/>
          </w:tcPr>
          <w:p w14:paraId="595DD5DF"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w:t>
            </w:r>
          </w:p>
        </w:tc>
        <w:tc>
          <w:tcPr>
            <w:tcW w:w="731" w:type="dxa"/>
            <w:tcBorders>
              <w:top w:val="single" w:sz="2" w:space="0" w:color="000000"/>
              <w:left w:val="single" w:sz="2" w:space="0" w:color="000000"/>
              <w:bottom w:val="single" w:sz="2" w:space="0" w:color="000000"/>
              <w:right w:val="single" w:sz="2" w:space="0" w:color="000000"/>
            </w:tcBorders>
            <w:vAlign w:val="center"/>
          </w:tcPr>
          <w:p w14:paraId="7FE2A972"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20</w:t>
            </w:r>
          </w:p>
        </w:tc>
        <w:tc>
          <w:tcPr>
            <w:tcW w:w="731" w:type="dxa"/>
            <w:tcBorders>
              <w:top w:val="single" w:sz="2" w:space="0" w:color="000000"/>
              <w:left w:val="single" w:sz="2" w:space="0" w:color="000000"/>
              <w:bottom w:val="single" w:sz="2" w:space="0" w:color="000000"/>
              <w:right w:val="single" w:sz="2" w:space="0" w:color="000000"/>
            </w:tcBorders>
            <w:vAlign w:val="center"/>
          </w:tcPr>
          <w:p w14:paraId="358B67A9"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31</w:t>
            </w:r>
          </w:p>
        </w:tc>
        <w:tc>
          <w:tcPr>
            <w:tcW w:w="731" w:type="dxa"/>
            <w:tcBorders>
              <w:top w:val="single" w:sz="2" w:space="0" w:color="000000"/>
              <w:left w:val="single" w:sz="2" w:space="0" w:color="000000"/>
              <w:bottom w:val="single" w:sz="2" w:space="0" w:color="000000"/>
              <w:right w:val="single" w:sz="2" w:space="0" w:color="000000"/>
            </w:tcBorders>
            <w:vAlign w:val="center"/>
          </w:tcPr>
          <w:p w14:paraId="401491F1"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32</w:t>
            </w:r>
          </w:p>
        </w:tc>
        <w:tc>
          <w:tcPr>
            <w:tcW w:w="731" w:type="dxa"/>
            <w:tcBorders>
              <w:top w:val="single" w:sz="2" w:space="0" w:color="000000"/>
              <w:left w:val="single" w:sz="2" w:space="0" w:color="000000"/>
              <w:bottom w:val="single" w:sz="2" w:space="0" w:color="000000"/>
              <w:right w:val="single" w:sz="2" w:space="0" w:color="000000"/>
            </w:tcBorders>
            <w:vAlign w:val="center"/>
          </w:tcPr>
          <w:p w14:paraId="702F9254" w14:textId="77777777" w:rsidR="00920B68" w:rsidRPr="00364545" w:rsidRDefault="00920B68" w:rsidP="00920B68">
            <w:pPr>
              <w:spacing w:line="259" w:lineRule="auto"/>
              <w:ind w:left="59"/>
              <w:jc w:val="center"/>
              <w:rPr>
                <w:rFonts w:asciiTheme="minorHAnsi" w:hAnsiTheme="minorHAnsi"/>
                <w:sz w:val="18"/>
                <w:szCs w:val="18"/>
              </w:rPr>
            </w:pPr>
            <w:r>
              <w:rPr>
                <w:sz w:val="18"/>
                <w:szCs w:val="18"/>
              </w:rPr>
              <w:t>6</w:t>
            </w:r>
          </w:p>
        </w:tc>
        <w:tc>
          <w:tcPr>
            <w:tcW w:w="736" w:type="dxa"/>
            <w:tcBorders>
              <w:top w:val="single" w:sz="2" w:space="0" w:color="000000"/>
              <w:left w:val="single" w:sz="2" w:space="0" w:color="000000"/>
              <w:bottom w:val="single" w:sz="2" w:space="0" w:color="000000"/>
              <w:right w:val="single" w:sz="2" w:space="0" w:color="000000"/>
            </w:tcBorders>
            <w:vAlign w:val="center"/>
          </w:tcPr>
          <w:p w14:paraId="6C0DA12A" w14:textId="77777777" w:rsidR="00920B68" w:rsidRPr="00364545" w:rsidRDefault="00920B68" w:rsidP="00920B68">
            <w:pPr>
              <w:spacing w:line="259" w:lineRule="auto"/>
              <w:ind w:left="59"/>
              <w:jc w:val="center"/>
              <w:rPr>
                <w:rFonts w:asciiTheme="minorHAnsi" w:hAnsiTheme="minorHAnsi"/>
                <w:sz w:val="18"/>
                <w:szCs w:val="18"/>
              </w:rPr>
            </w:pPr>
            <w:r w:rsidRPr="00634E4C">
              <w:rPr>
                <w:sz w:val="18"/>
              </w:rPr>
              <w:t>10</w:t>
            </w:r>
          </w:p>
        </w:tc>
        <w:tc>
          <w:tcPr>
            <w:tcW w:w="780" w:type="dxa"/>
            <w:tcBorders>
              <w:top w:val="single" w:sz="2" w:space="0" w:color="000000"/>
              <w:left w:val="single" w:sz="2" w:space="0" w:color="000000"/>
              <w:bottom w:val="single" w:sz="2" w:space="0" w:color="000000"/>
              <w:right w:val="single" w:sz="2" w:space="0" w:color="000000"/>
            </w:tcBorders>
            <w:vAlign w:val="center"/>
          </w:tcPr>
          <w:p w14:paraId="61ECC3D0"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9.4 </w:t>
            </w:r>
          </w:p>
        </w:tc>
        <w:tc>
          <w:tcPr>
            <w:tcW w:w="780" w:type="dxa"/>
            <w:tcBorders>
              <w:top w:val="single" w:sz="2" w:space="0" w:color="000000"/>
              <w:left w:val="single" w:sz="2" w:space="0" w:color="000000"/>
              <w:bottom w:val="single" w:sz="2" w:space="0" w:color="000000"/>
              <w:right w:val="single" w:sz="2" w:space="0" w:color="000000"/>
            </w:tcBorders>
            <w:vAlign w:val="center"/>
          </w:tcPr>
          <w:p w14:paraId="5320F0A2"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10.4 </w:t>
            </w:r>
          </w:p>
        </w:tc>
        <w:tc>
          <w:tcPr>
            <w:tcW w:w="780" w:type="dxa"/>
            <w:tcBorders>
              <w:top w:val="single" w:sz="2" w:space="0" w:color="000000"/>
              <w:left w:val="single" w:sz="2" w:space="0" w:color="000000"/>
              <w:bottom w:val="single" w:sz="2" w:space="0" w:color="000000"/>
              <w:right w:val="single" w:sz="2" w:space="0" w:color="000000"/>
            </w:tcBorders>
            <w:vAlign w:val="center"/>
          </w:tcPr>
          <w:p w14:paraId="31BC4A2C"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10.4 </w:t>
            </w:r>
          </w:p>
        </w:tc>
        <w:tc>
          <w:tcPr>
            <w:tcW w:w="780" w:type="dxa"/>
            <w:tcBorders>
              <w:top w:val="single" w:sz="2" w:space="0" w:color="000000"/>
              <w:left w:val="single" w:sz="2" w:space="0" w:color="000000"/>
              <w:bottom w:val="single" w:sz="2" w:space="0" w:color="000000"/>
              <w:right w:val="single" w:sz="2" w:space="0" w:color="000000"/>
            </w:tcBorders>
            <w:vAlign w:val="center"/>
          </w:tcPr>
          <w:p w14:paraId="1F76533A"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10.4 </w:t>
            </w:r>
          </w:p>
        </w:tc>
        <w:tc>
          <w:tcPr>
            <w:tcW w:w="780" w:type="dxa"/>
            <w:tcBorders>
              <w:top w:val="single" w:sz="2" w:space="0" w:color="000000"/>
              <w:left w:val="single" w:sz="2" w:space="0" w:color="000000"/>
              <w:bottom w:val="single" w:sz="2" w:space="0" w:color="000000"/>
              <w:right w:val="single" w:sz="2" w:space="0" w:color="000000"/>
            </w:tcBorders>
            <w:vAlign w:val="center"/>
          </w:tcPr>
          <w:p w14:paraId="1963985D" w14:textId="77777777" w:rsidR="00920B68" w:rsidRPr="00364545" w:rsidRDefault="00920B68" w:rsidP="00920B68">
            <w:pPr>
              <w:spacing w:line="259" w:lineRule="auto"/>
              <w:ind w:left="59"/>
              <w:jc w:val="center"/>
              <w:rPr>
                <w:rFonts w:asciiTheme="minorHAnsi" w:hAnsiTheme="minorHAnsi"/>
                <w:sz w:val="18"/>
                <w:szCs w:val="18"/>
              </w:rPr>
            </w:pPr>
            <w:r w:rsidRPr="00364545">
              <w:rPr>
                <w:rFonts w:asciiTheme="minorHAnsi" w:hAnsiTheme="minorHAnsi"/>
                <w:sz w:val="18"/>
              </w:rPr>
              <w:t xml:space="preserve">10.5 </w:t>
            </w:r>
          </w:p>
        </w:tc>
      </w:tr>
      <w:tr w:rsidR="00920B68" w:rsidRPr="00364545" w14:paraId="31A9F4E3" w14:textId="77777777" w:rsidTr="00920B68">
        <w:trPr>
          <w:trHeight w:val="344"/>
        </w:trPr>
        <w:tc>
          <w:tcPr>
            <w:tcW w:w="866" w:type="dxa"/>
            <w:tcBorders>
              <w:top w:val="single" w:sz="2" w:space="0" w:color="000000"/>
              <w:left w:val="single" w:sz="2" w:space="0" w:color="000000"/>
              <w:bottom w:val="single" w:sz="2" w:space="0" w:color="000000"/>
              <w:right w:val="single" w:sz="2" w:space="0" w:color="000000"/>
            </w:tcBorders>
            <w:shd w:val="clear" w:color="auto" w:fill="ECE6E2"/>
          </w:tcPr>
          <w:p w14:paraId="45803519" w14:textId="77777777" w:rsidR="00920B68" w:rsidRPr="00364545" w:rsidRDefault="00920B68" w:rsidP="00920B68">
            <w:pPr>
              <w:spacing w:line="259" w:lineRule="auto"/>
              <w:rPr>
                <w:rFonts w:asciiTheme="minorHAnsi" w:hAnsiTheme="minorHAnsi"/>
                <w:b/>
                <w:sz w:val="18"/>
                <w:szCs w:val="18"/>
              </w:rPr>
            </w:pPr>
            <w:r w:rsidRPr="00364545">
              <w:rPr>
                <w:rFonts w:asciiTheme="minorHAnsi" w:hAnsiTheme="minorHAnsi"/>
                <w:b/>
                <w:sz w:val="18"/>
              </w:rPr>
              <w:t xml:space="preserve">Ensemble (hors UTCF)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81E801"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544086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AE6C18"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536476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A75A69E"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549005</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E85C354"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551391</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A355BD" w14:textId="77777777" w:rsidR="00920B68" w:rsidRPr="00664108" w:rsidRDefault="00920B68" w:rsidP="00920B68">
            <w:pPr>
              <w:spacing w:line="259" w:lineRule="auto"/>
              <w:ind w:left="64"/>
              <w:jc w:val="center"/>
              <w:rPr>
                <w:rFonts w:asciiTheme="minorHAnsi" w:hAnsiTheme="minorHAnsi"/>
                <w:b/>
                <w:sz w:val="18"/>
                <w:szCs w:val="18"/>
              </w:rPr>
            </w:pPr>
            <w:r w:rsidRPr="00664108">
              <w:rPr>
                <w:b/>
                <w:sz w:val="18"/>
                <w:szCs w:val="18"/>
              </w:rPr>
              <w:t>507468</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11D26E7"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457924</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66A2D7A"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434540</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5F9F0C" w14:textId="77777777" w:rsidR="00920B68" w:rsidRPr="00364545" w:rsidRDefault="00920B68" w:rsidP="00920B68">
            <w:pPr>
              <w:spacing w:line="259" w:lineRule="auto"/>
              <w:ind w:left="59"/>
              <w:jc w:val="center"/>
              <w:rPr>
                <w:rFonts w:asciiTheme="minorHAnsi" w:hAnsiTheme="minorHAnsi"/>
                <w:b/>
                <w:sz w:val="18"/>
                <w:szCs w:val="18"/>
              </w:rPr>
            </w:pPr>
            <w:r w:rsidRPr="00364545">
              <w:rPr>
                <w:rFonts w:asciiTheme="minorHAnsi" w:hAnsiTheme="minorHAnsi"/>
                <w:b/>
                <w:sz w:val="18"/>
              </w:rPr>
              <w:t xml:space="preserve">398676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6587C6" w14:textId="77777777" w:rsidR="00920B68" w:rsidRPr="00364545" w:rsidRDefault="00920B68" w:rsidP="00920B68">
            <w:pPr>
              <w:spacing w:line="259" w:lineRule="auto"/>
              <w:ind w:left="59"/>
              <w:rPr>
                <w:rFonts w:asciiTheme="minorHAnsi" w:hAnsiTheme="minorHAnsi"/>
                <w:b/>
                <w:sz w:val="18"/>
                <w:szCs w:val="18"/>
              </w:rPr>
            </w:pPr>
            <w:r w:rsidRPr="00364545">
              <w:rPr>
                <w:rFonts w:asciiTheme="minorHAnsi" w:hAnsiTheme="minorHAnsi"/>
                <w:b/>
                <w:sz w:val="18"/>
              </w:rPr>
              <w:t xml:space="preserve">392095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7166670" w14:textId="77777777" w:rsidR="00920B68" w:rsidRPr="00364545" w:rsidRDefault="00920B68" w:rsidP="00920B68">
            <w:pPr>
              <w:spacing w:line="259" w:lineRule="auto"/>
              <w:ind w:left="59"/>
              <w:rPr>
                <w:rFonts w:asciiTheme="minorHAnsi" w:hAnsiTheme="minorHAnsi"/>
                <w:b/>
                <w:sz w:val="18"/>
                <w:szCs w:val="18"/>
              </w:rPr>
            </w:pPr>
            <w:r w:rsidRPr="00364545">
              <w:rPr>
                <w:rFonts w:asciiTheme="minorHAnsi" w:hAnsiTheme="minorHAnsi"/>
                <w:b/>
                <w:sz w:val="18"/>
              </w:rPr>
              <w:t xml:space="preserve">367049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64904E" w14:textId="77777777" w:rsidR="00920B68" w:rsidRPr="00364545" w:rsidRDefault="00920B68" w:rsidP="00920B68">
            <w:pPr>
              <w:spacing w:line="259" w:lineRule="auto"/>
              <w:ind w:left="59"/>
              <w:rPr>
                <w:rFonts w:asciiTheme="minorHAnsi" w:hAnsiTheme="minorHAnsi"/>
                <w:b/>
                <w:sz w:val="18"/>
                <w:szCs w:val="18"/>
              </w:rPr>
            </w:pPr>
            <w:r w:rsidRPr="00364545">
              <w:rPr>
                <w:rFonts w:asciiTheme="minorHAnsi" w:hAnsiTheme="minorHAnsi"/>
                <w:b/>
                <w:sz w:val="18"/>
              </w:rPr>
              <w:t xml:space="preserve">354446 </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A00F454" w14:textId="77777777" w:rsidR="00920B68" w:rsidRPr="00364545" w:rsidRDefault="00920B68" w:rsidP="00920B68">
            <w:pPr>
              <w:spacing w:line="259" w:lineRule="auto"/>
              <w:ind w:left="59"/>
              <w:rPr>
                <w:rFonts w:asciiTheme="minorHAnsi" w:hAnsiTheme="minorHAnsi"/>
                <w:b/>
                <w:sz w:val="18"/>
                <w:szCs w:val="18"/>
              </w:rPr>
            </w:pPr>
            <w:r w:rsidRPr="00364545">
              <w:rPr>
                <w:rFonts w:asciiTheme="minorHAnsi" w:hAnsiTheme="minorHAnsi"/>
                <w:b/>
                <w:sz w:val="18"/>
              </w:rPr>
              <w:t xml:space="preserve">329653 </w:t>
            </w:r>
          </w:p>
        </w:tc>
      </w:tr>
      <w:tr w:rsidR="00920B68" w:rsidRPr="00364545" w14:paraId="6086C627" w14:textId="77777777" w:rsidTr="00920B68">
        <w:trPr>
          <w:trHeight w:val="346"/>
        </w:trPr>
        <w:tc>
          <w:tcPr>
            <w:tcW w:w="866" w:type="dxa"/>
            <w:tcBorders>
              <w:top w:val="single" w:sz="2" w:space="0" w:color="000000"/>
              <w:left w:val="single" w:sz="2" w:space="0" w:color="000000"/>
              <w:bottom w:val="single" w:sz="2" w:space="0" w:color="000000"/>
              <w:right w:val="single" w:sz="2" w:space="0" w:color="000000"/>
            </w:tcBorders>
          </w:tcPr>
          <w:p w14:paraId="60246F0C" w14:textId="77777777" w:rsidR="00920B68" w:rsidRPr="00364545" w:rsidRDefault="00920B68" w:rsidP="00920B68">
            <w:pPr>
              <w:spacing w:line="259" w:lineRule="auto"/>
              <w:rPr>
                <w:rFonts w:asciiTheme="minorHAnsi" w:hAnsiTheme="minorHAnsi"/>
                <w:b/>
                <w:sz w:val="18"/>
                <w:szCs w:val="18"/>
              </w:rPr>
            </w:pPr>
            <w:r w:rsidRPr="00364545">
              <w:rPr>
                <w:rFonts w:asciiTheme="minorHAnsi" w:hAnsiTheme="minorHAnsi"/>
                <w:b/>
                <w:sz w:val="18"/>
              </w:rPr>
              <w:t xml:space="preserve">Ensemble (avec UTCF) </w:t>
            </w:r>
          </w:p>
        </w:tc>
        <w:tc>
          <w:tcPr>
            <w:tcW w:w="780" w:type="dxa"/>
            <w:tcBorders>
              <w:top w:val="single" w:sz="2" w:space="0" w:color="000000"/>
              <w:left w:val="single" w:sz="2" w:space="0" w:color="000000"/>
              <w:bottom w:val="single" w:sz="2" w:space="0" w:color="000000"/>
              <w:right w:val="single" w:sz="2" w:space="0" w:color="000000"/>
            </w:tcBorders>
            <w:vAlign w:val="center"/>
          </w:tcPr>
          <w:p w14:paraId="70C4FD3E"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520100</w:t>
            </w:r>
          </w:p>
        </w:tc>
        <w:tc>
          <w:tcPr>
            <w:tcW w:w="731" w:type="dxa"/>
            <w:tcBorders>
              <w:top w:val="single" w:sz="2" w:space="0" w:color="000000"/>
              <w:left w:val="single" w:sz="2" w:space="0" w:color="000000"/>
              <w:bottom w:val="single" w:sz="2" w:space="0" w:color="000000"/>
              <w:right w:val="single" w:sz="2" w:space="0" w:color="000000"/>
            </w:tcBorders>
            <w:vAlign w:val="center"/>
          </w:tcPr>
          <w:p w14:paraId="50342437"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511596</w:t>
            </w:r>
          </w:p>
        </w:tc>
        <w:tc>
          <w:tcPr>
            <w:tcW w:w="731" w:type="dxa"/>
            <w:tcBorders>
              <w:top w:val="single" w:sz="2" w:space="0" w:color="000000"/>
              <w:left w:val="single" w:sz="2" w:space="0" w:color="000000"/>
              <w:bottom w:val="single" w:sz="2" w:space="0" w:color="000000"/>
              <w:right w:val="single" w:sz="2" w:space="0" w:color="000000"/>
            </w:tcBorders>
            <w:vAlign w:val="center"/>
          </w:tcPr>
          <w:p w14:paraId="7B5E3302"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529296</w:t>
            </w:r>
          </w:p>
        </w:tc>
        <w:tc>
          <w:tcPr>
            <w:tcW w:w="731" w:type="dxa"/>
            <w:tcBorders>
              <w:top w:val="single" w:sz="2" w:space="0" w:color="000000"/>
              <w:left w:val="single" w:sz="2" w:space="0" w:color="000000"/>
              <w:bottom w:val="single" w:sz="2" w:space="0" w:color="000000"/>
              <w:right w:val="single" w:sz="2" w:space="0" w:color="000000"/>
            </w:tcBorders>
            <w:vAlign w:val="center"/>
          </w:tcPr>
          <w:p w14:paraId="67D7DC8B"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504080</w:t>
            </w:r>
          </w:p>
        </w:tc>
        <w:tc>
          <w:tcPr>
            <w:tcW w:w="731" w:type="dxa"/>
            <w:tcBorders>
              <w:top w:val="single" w:sz="2" w:space="0" w:color="000000"/>
              <w:left w:val="single" w:sz="2" w:space="0" w:color="000000"/>
              <w:bottom w:val="single" w:sz="2" w:space="0" w:color="000000"/>
              <w:right w:val="single" w:sz="2" w:space="0" w:color="000000"/>
            </w:tcBorders>
            <w:vAlign w:val="center"/>
          </w:tcPr>
          <w:p w14:paraId="5F34B469"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469113</w:t>
            </w:r>
          </w:p>
        </w:tc>
        <w:tc>
          <w:tcPr>
            <w:tcW w:w="731" w:type="dxa"/>
            <w:tcBorders>
              <w:top w:val="single" w:sz="2" w:space="0" w:color="000000"/>
              <w:left w:val="single" w:sz="2" w:space="0" w:color="000000"/>
              <w:bottom w:val="single" w:sz="2" w:space="0" w:color="000000"/>
              <w:right w:val="single" w:sz="2" w:space="0" w:color="000000"/>
            </w:tcBorders>
            <w:vAlign w:val="center"/>
          </w:tcPr>
          <w:p w14:paraId="03F9F9EA"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423346</w:t>
            </w:r>
          </w:p>
        </w:tc>
        <w:tc>
          <w:tcPr>
            <w:tcW w:w="736" w:type="dxa"/>
            <w:tcBorders>
              <w:top w:val="single" w:sz="2" w:space="0" w:color="000000"/>
              <w:left w:val="single" w:sz="2" w:space="0" w:color="000000"/>
              <w:bottom w:val="single" w:sz="2" w:space="0" w:color="000000"/>
              <w:right w:val="single" w:sz="2" w:space="0" w:color="000000"/>
            </w:tcBorders>
            <w:vAlign w:val="center"/>
          </w:tcPr>
          <w:p w14:paraId="27F52A5A" w14:textId="77777777" w:rsidR="00920B68" w:rsidRPr="00664108" w:rsidRDefault="00920B68" w:rsidP="00920B68">
            <w:pPr>
              <w:spacing w:line="259" w:lineRule="auto"/>
              <w:ind w:left="59"/>
              <w:jc w:val="center"/>
              <w:rPr>
                <w:rFonts w:asciiTheme="minorHAnsi" w:hAnsiTheme="minorHAnsi"/>
                <w:b/>
                <w:sz w:val="18"/>
                <w:szCs w:val="18"/>
              </w:rPr>
            </w:pPr>
            <w:r w:rsidRPr="00664108">
              <w:rPr>
                <w:b/>
                <w:sz w:val="18"/>
                <w:szCs w:val="18"/>
              </w:rPr>
              <w:t>422252</w:t>
            </w:r>
          </w:p>
        </w:tc>
        <w:tc>
          <w:tcPr>
            <w:tcW w:w="780" w:type="dxa"/>
            <w:tcBorders>
              <w:top w:val="single" w:sz="2" w:space="0" w:color="000000"/>
              <w:left w:val="single" w:sz="2" w:space="0" w:color="000000"/>
              <w:bottom w:val="single" w:sz="2" w:space="0" w:color="000000"/>
              <w:right w:val="single" w:sz="2" w:space="0" w:color="000000"/>
            </w:tcBorders>
            <w:vAlign w:val="center"/>
          </w:tcPr>
          <w:p w14:paraId="036675D9" w14:textId="77777777" w:rsidR="00920B68" w:rsidRPr="00364545" w:rsidRDefault="00920B68" w:rsidP="00920B68">
            <w:pPr>
              <w:spacing w:line="259" w:lineRule="auto"/>
              <w:rPr>
                <w:rFonts w:asciiTheme="minorHAnsi" w:hAnsiTheme="minorHAnsi"/>
                <w:b/>
                <w:sz w:val="18"/>
                <w:szCs w:val="18"/>
              </w:rPr>
            </w:pPr>
            <w:r>
              <w:rPr>
                <w:rFonts w:asciiTheme="minorHAnsi" w:hAnsiTheme="minorHAnsi"/>
                <w:b/>
                <w:sz w:val="18"/>
              </w:rPr>
              <w:t xml:space="preserve"> </w:t>
            </w:r>
            <w:r w:rsidRPr="00364545">
              <w:rPr>
                <w:rFonts w:asciiTheme="minorHAnsi" w:hAnsiTheme="minorHAnsi"/>
                <w:b/>
                <w:sz w:val="18"/>
              </w:rPr>
              <w:t xml:space="preserve">365838 </w:t>
            </w:r>
          </w:p>
        </w:tc>
        <w:tc>
          <w:tcPr>
            <w:tcW w:w="780" w:type="dxa"/>
            <w:tcBorders>
              <w:top w:val="single" w:sz="2" w:space="0" w:color="000000"/>
              <w:left w:val="single" w:sz="2" w:space="0" w:color="000000"/>
              <w:bottom w:val="single" w:sz="2" w:space="0" w:color="000000"/>
              <w:right w:val="single" w:sz="2" w:space="0" w:color="000000"/>
            </w:tcBorders>
            <w:vAlign w:val="center"/>
          </w:tcPr>
          <w:p w14:paraId="0CC3AD53" w14:textId="77777777" w:rsidR="00920B68" w:rsidRPr="00364545" w:rsidRDefault="00920B68" w:rsidP="00920B68">
            <w:pPr>
              <w:spacing w:line="259" w:lineRule="auto"/>
              <w:ind w:left="59"/>
              <w:rPr>
                <w:rFonts w:asciiTheme="minorHAnsi" w:hAnsiTheme="minorHAnsi"/>
                <w:b/>
                <w:sz w:val="18"/>
                <w:szCs w:val="18"/>
              </w:rPr>
            </w:pPr>
            <w:r w:rsidRPr="00364545">
              <w:rPr>
                <w:rFonts w:asciiTheme="minorHAnsi" w:hAnsiTheme="minorHAnsi"/>
                <w:b/>
                <w:sz w:val="18"/>
              </w:rPr>
              <w:t xml:space="preserve">363349 </w:t>
            </w:r>
          </w:p>
        </w:tc>
        <w:tc>
          <w:tcPr>
            <w:tcW w:w="780" w:type="dxa"/>
            <w:tcBorders>
              <w:top w:val="single" w:sz="2" w:space="0" w:color="000000"/>
              <w:left w:val="single" w:sz="2" w:space="0" w:color="000000"/>
              <w:bottom w:val="single" w:sz="2" w:space="0" w:color="000000"/>
              <w:right w:val="single" w:sz="2" w:space="0" w:color="000000"/>
            </w:tcBorders>
            <w:vAlign w:val="center"/>
          </w:tcPr>
          <w:p w14:paraId="49DCF210" w14:textId="77777777" w:rsidR="00920B68" w:rsidRPr="00364545" w:rsidRDefault="00920B68" w:rsidP="00920B68">
            <w:pPr>
              <w:spacing w:line="259" w:lineRule="auto"/>
              <w:ind w:left="59"/>
              <w:rPr>
                <w:rFonts w:asciiTheme="minorHAnsi" w:hAnsiTheme="minorHAnsi"/>
                <w:b/>
                <w:sz w:val="18"/>
                <w:szCs w:val="18"/>
              </w:rPr>
            </w:pPr>
            <w:r w:rsidRPr="00364545">
              <w:rPr>
                <w:rFonts w:asciiTheme="minorHAnsi" w:hAnsiTheme="minorHAnsi"/>
                <w:b/>
                <w:sz w:val="18"/>
              </w:rPr>
              <w:t xml:space="preserve">340618 </w:t>
            </w:r>
          </w:p>
        </w:tc>
        <w:tc>
          <w:tcPr>
            <w:tcW w:w="780" w:type="dxa"/>
            <w:tcBorders>
              <w:top w:val="single" w:sz="2" w:space="0" w:color="000000"/>
              <w:left w:val="single" w:sz="2" w:space="0" w:color="000000"/>
              <w:bottom w:val="single" w:sz="2" w:space="0" w:color="000000"/>
              <w:right w:val="single" w:sz="2" w:space="0" w:color="000000"/>
            </w:tcBorders>
            <w:vAlign w:val="center"/>
          </w:tcPr>
          <w:p w14:paraId="3C3F3065" w14:textId="77777777" w:rsidR="00920B68" w:rsidRPr="00364545" w:rsidRDefault="00920B68" w:rsidP="00920B68">
            <w:pPr>
              <w:spacing w:line="259" w:lineRule="auto"/>
              <w:ind w:left="63"/>
              <w:rPr>
                <w:rFonts w:asciiTheme="minorHAnsi" w:hAnsiTheme="minorHAnsi"/>
                <w:b/>
                <w:sz w:val="18"/>
                <w:szCs w:val="18"/>
              </w:rPr>
            </w:pPr>
            <w:r w:rsidRPr="00364545">
              <w:rPr>
                <w:rFonts w:asciiTheme="minorHAnsi" w:hAnsiTheme="minorHAnsi"/>
                <w:b/>
                <w:sz w:val="18"/>
              </w:rPr>
              <w:t xml:space="preserve">332886 </w:t>
            </w:r>
          </w:p>
        </w:tc>
        <w:tc>
          <w:tcPr>
            <w:tcW w:w="780" w:type="dxa"/>
            <w:tcBorders>
              <w:top w:val="single" w:sz="2" w:space="0" w:color="000000"/>
              <w:left w:val="single" w:sz="2" w:space="0" w:color="000000"/>
              <w:bottom w:val="single" w:sz="2" w:space="0" w:color="000000"/>
              <w:right w:val="single" w:sz="2" w:space="0" w:color="000000"/>
            </w:tcBorders>
            <w:vAlign w:val="center"/>
          </w:tcPr>
          <w:p w14:paraId="5F3071B3" w14:textId="77777777" w:rsidR="00920B68" w:rsidRPr="00364545" w:rsidRDefault="00920B68" w:rsidP="00920B68">
            <w:pPr>
              <w:spacing w:line="259" w:lineRule="auto"/>
              <w:ind w:left="63"/>
              <w:rPr>
                <w:rFonts w:asciiTheme="minorHAnsi" w:hAnsiTheme="minorHAnsi"/>
                <w:b/>
                <w:sz w:val="18"/>
                <w:szCs w:val="18"/>
              </w:rPr>
            </w:pPr>
            <w:r w:rsidRPr="00364545">
              <w:rPr>
                <w:rFonts w:asciiTheme="minorHAnsi" w:hAnsiTheme="minorHAnsi"/>
                <w:b/>
                <w:sz w:val="18"/>
              </w:rPr>
              <w:t xml:space="preserve">317026 </w:t>
            </w:r>
          </w:p>
        </w:tc>
      </w:tr>
    </w:tbl>
    <w:p w14:paraId="2D6CB61D" w14:textId="77777777" w:rsidR="00920B68" w:rsidRPr="00364545" w:rsidRDefault="00920B68" w:rsidP="00920B68">
      <w:pPr>
        <w:pStyle w:val="Default"/>
        <w:rPr>
          <w:sz w:val="16"/>
          <w:szCs w:val="16"/>
        </w:rPr>
      </w:pPr>
      <w:r w:rsidRPr="00364545">
        <w:rPr>
          <w:i/>
          <w:sz w:val="16"/>
        </w:rPr>
        <w:t xml:space="preserve">Reading the table: Energy = category CRF1; industrial processes and solvents = category CRF2 and 3; agriculture (non-energy) = category CRF4; waste treatment = category CRF 6. </w:t>
      </w:r>
    </w:p>
    <w:p w14:paraId="3E93383F" w14:textId="77777777" w:rsidR="00920B68" w:rsidRPr="00364545" w:rsidRDefault="00920B68" w:rsidP="00920B68">
      <w:pPr>
        <w:pStyle w:val="Caption"/>
      </w:pPr>
      <w:r w:rsidRPr="00364545">
        <w:t xml:space="preserve">Table </w:t>
      </w:r>
      <w:fldSimple w:instr=" SEQ Tableau \* ARABIC ">
        <w:r w:rsidRPr="00364545">
          <w:rPr>
            <w:noProof/>
          </w:rPr>
          <w:t>17</w:t>
        </w:r>
      </w:fldSimple>
      <w:r w:rsidRPr="00364545">
        <w:t>: GHG emissions projections by gas (in ktCO</w:t>
      </w:r>
      <w:r w:rsidRPr="00364545">
        <w:rPr>
          <w:vertAlign w:val="subscript"/>
        </w:rPr>
        <w:t>2e</w:t>
      </w:r>
      <w:r w:rsidRPr="00364545">
        <w:t>) in the Kyoto scope in the AME 2021 scenario (with existing measures)</w:t>
      </w:r>
    </w:p>
    <w:p w14:paraId="30E1AE31" w14:textId="77777777" w:rsidR="00920B68" w:rsidRPr="00364545" w:rsidRDefault="00920B68" w:rsidP="00920B68">
      <w:pPr>
        <w:pStyle w:val="Caption"/>
      </w:pPr>
      <w:r w:rsidRPr="00364545">
        <w:t>Source: UN</w:t>
      </w:r>
      <w:r>
        <w:t>FCCC inventory, Citepa/MTE, 2022</w:t>
      </w:r>
      <w:r w:rsidRPr="00364545">
        <w:t xml:space="preserve"> submission and MTE emission projections, 2021</w:t>
      </w:r>
    </w:p>
    <w:p w14:paraId="5CE45774" w14:textId="77777777" w:rsidR="00920B68" w:rsidRDefault="00920B68" w:rsidP="00920B68">
      <w:pPr>
        <w:pStyle w:val="Caption"/>
      </w:pPr>
      <w:r>
        <w:rPr>
          <w:noProof/>
          <w:lang w:val="fr-FR"/>
        </w:rPr>
        <w:drawing>
          <wp:inline distT="0" distB="0" distL="0" distR="0" wp14:anchorId="4BC59C87" wp14:editId="7712C5F9">
            <wp:extent cx="6553200" cy="3767667"/>
            <wp:effectExtent l="0" t="0" r="0" b="4445"/>
            <wp:docPr id="28701" name="Graphique 287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EFBEC2F" w14:textId="77777777" w:rsidR="00920B68" w:rsidRPr="00364545" w:rsidRDefault="00920B68" w:rsidP="00920B68">
      <w:pPr>
        <w:pStyle w:val="Caption"/>
      </w:pPr>
      <w:r w:rsidRPr="00364545">
        <w:t xml:space="preserve">Figure </w:t>
      </w:r>
      <w:fldSimple w:instr=" SEQ Figure \* ARABIC ">
        <w:r w:rsidRPr="00364545">
          <w:rPr>
            <w:noProof/>
          </w:rPr>
          <w:t>58</w:t>
        </w:r>
      </w:fldSimple>
      <w:r w:rsidRPr="00364545">
        <w:t>: Projection by gas, excluding LULUCF in ktCO</w:t>
      </w:r>
      <w:r w:rsidRPr="00364545">
        <w:rPr>
          <w:vertAlign w:val="subscript"/>
        </w:rPr>
        <w:t>2e</w:t>
      </w:r>
      <w:r w:rsidRPr="00364545">
        <w:t>, in the Kyoto format, AME 2021 scenario</w:t>
      </w:r>
    </w:p>
    <w:p w14:paraId="61A0A841" w14:textId="77777777" w:rsidR="00920B68" w:rsidRPr="00364545" w:rsidRDefault="00920B68" w:rsidP="00920B68">
      <w:pPr>
        <w:pStyle w:val="Caption"/>
      </w:pPr>
      <w:r w:rsidRPr="00364545">
        <w:t>Source: UN</w:t>
      </w:r>
      <w:r>
        <w:t>FCCC inventory, Citepa/MTE, 2022</w:t>
      </w:r>
      <w:r w:rsidRPr="00364545">
        <w:t xml:space="preserve"> submission and MTE emission projections, 2021 </w:t>
      </w:r>
    </w:p>
    <w:p w14:paraId="6B63B601" w14:textId="77777777" w:rsidR="00920B68" w:rsidRDefault="00920B68" w:rsidP="00920B68">
      <w:pPr>
        <w:pStyle w:val="Caption"/>
      </w:pPr>
      <w:r>
        <w:rPr>
          <w:noProof/>
          <w:lang w:val="fr-FR"/>
        </w:rPr>
        <w:drawing>
          <wp:inline distT="0" distB="0" distL="0" distR="0" wp14:anchorId="2641E6FB" wp14:editId="4946F909">
            <wp:extent cx="6318250" cy="3420533"/>
            <wp:effectExtent l="0" t="0" r="6350" b="8890"/>
            <wp:docPr id="28702" name="Graphique 287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B4A2FE2" w14:textId="77777777" w:rsidR="00920B68" w:rsidRPr="00364545" w:rsidRDefault="00920B68" w:rsidP="00920B68">
      <w:pPr>
        <w:pStyle w:val="Caption"/>
      </w:pPr>
      <w:r w:rsidRPr="00364545">
        <w:t xml:space="preserve">Figure </w:t>
      </w:r>
      <w:fldSimple w:instr=" SEQ Figure \* ARABIC ">
        <w:r w:rsidRPr="00364545">
          <w:rPr>
            <w:noProof/>
          </w:rPr>
          <w:t>59</w:t>
        </w:r>
      </w:fldSimple>
      <w:r w:rsidRPr="00364545">
        <w:t>: Projection by gas, including LULUCF in ktCO</w:t>
      </w:r>
      <w:r w:rsidRPr="00364545">
        <w:rPr>
          <w:vertAlign w:val="subscript"/>
        </w:rPr>
        <w:t>2e</w:t>
      </w:r>
      <w:r w:rsidRPr="00364545">
        <w:t>, in the Kyoto format, AME 2021 scenario</w:t>
      </w:r>
    </w:p>
    <w:p w14:paraId="181BE41F" w14:textId="77777777" w:rsidR="00920B68" w:rsidRPr="00364545" w:rsidRDefault="00920B68" w:rsidP="00920B68">
      <w:pPr>
        <w:pStyle w:val="Caption"/>
      </w:pPr>
      <w:r w:rsidRPr="00364545">
        <w:t>Source: UNF</w:t>
      </w:r>
      <w:r>
        <w:t>CCC inventory, Citepa/MTES, 2022</w:t>
      </w:r>
      <w:r w:rsidRPr="00364545">
        <w:t xml:space="preserve"> submission and MTES emission projections, 2021</w:t>
      </w:r>
    </w:p>
    <w:p w14:paraId="010B25D9" w14:textId="77777777" w:rsidR="00920B68" w:rsidRPr="00364545" w:rsidRDefault="00920B68" w:rsidP="00920B68"/>
    <w:p w14:paraId="23B7AC3B" w14:textId="77777777" w:rsidR="00920B68" w:rsidRPr="00364545" w:rsidRDefault="00920B68" w:rsidP="00920B68">
      <w:pPr>
        <w:pStyle w:val="titreencadre"/>
        <w:numPr>
          <w:ilvl w:val="3"/>
          <w:numId w:val="108"/>
        </w:numPr>
        <w:spacing w:before="120" w:after="60" w:line="240" w:lineRule="auto"/>
      </w:pPr>
      <w:r w:rsidRPr="00364545">
        <w:t>AMS 2018</w:t>
      </w:r>
    </w:p>
    <w:p w14:paraId="58572854" w14:textId="77777777" w:rsidR="00920B68" w:rsidRPr="00364545" w:rsidRDefault="00920B68" w:rsidP="00920B68"/>
    <w:tbl>
      <w:tblPr>
        <w:tblStyle w:val="TableGrid0"/>
        <w:tblpPr w:leftFromText="141" w:rightFromText="141" w:vertAnchor="text" w:tblpXSpec="center" w:tblpY="1"/>
        <w:tblOverlap w:val="never"/>
        <w:tblW w:w="9937" w:type="dxa"/>
        <w:tblInd w:w="0" w:type="dxa"/>
        <w:tblCellMar>
          <w:top w:w="106" w:type="dxa"/>
          <w:left w:w="27" w:type="dxa"/>
        </w:tblCellMar>
        <w:tblLook w:val="04A0" w:firstRow="1" w:lastRow="0" w:firstColumn="1" w:lastColumn="0" w:noHBand="0" w:noVBand="1"/>
      </w:tblPr>
      <w:tblGrid>
        <w:gridCol w:w="1078"/>
        <w:gridCol w:w="754"/>
        <w:gridCol w:w="743"/>
        <w:gridCol w:w="742"/>
        <w:gridCol w:w="742"/>
        <w:gridCol w:w="745"/>
        <w:gridCol w:w="742"/>
        <w:gridCol w:w="739"/>
        <w:gridCol w:w="743"/>
        <w:gridCol w:w="742"/>
        <w:gridCol w:w="742"/>
        <w:gridCol w:w="745"/>
        <w:gridCol w:w="680"/>
      </w:tblGrid>
      <w:tr w:rsidR="00920B68" w:rsidRPr="00364545" w14:paraId="1749731A" w14:textId="77777777" w:rsidTr="00745926">
        <w:trPr>
          <w:trHeight w:val="401"/>
        </w:trPr>
        <w:tc>
          <w:tcPr>
            <w:tcW w:w="1078" w:type="dxa"/>
            <w:tcBorders>
              <w:top w:val="single" w:sz="2" w:space="0" w:color="000000"/>
              <w:left w:val="single" w:sz="2" w:space="0" w:color="000000"/>
              <w:bottom w:val="single" w:sz="2" w:space="0" w:color="000000"/>
              <w:right w:val="single" w:sz="2" w:space="0" w:color="000000"/>
            </w:tcBorders>
            <w:shd w:val="clear" w:color="auto" w:fill="6D2A78"/>
          </w:tcPr>
          <w:p w14:paraId="22B2FC24" w14:textId="77777777" w:rsidR="00920B68" w:rsidRPr="00364545" w:rsidRDefault="00920B68" w:rsidP="00920B68">
            <w:pPr>
              <w:spacing w:line="259" w:lineRule="auto"/>
              <w:rPr>
                <w:b/>
              </w:rPr>
            </w:pPr>
            <w:r w:rsidRPr="00364545">
              <w:rPr>
                <w:b/>
                <w:color w:val="FFFFFF" w:themeColor="background1"/>
              </w:rPr>
              <w:t>AMS 2018</w:t>
            </w:r>
          </w:p>
        </w:tc>
        <w:tc>
          <w:tcPr>
            <w:tcW w:w="754" w:type="dxa"/>
            <w:tcBorders>
              <w:top w:val="single" w:sz="2" w:space="0" w:color="000000"/>
              <w:left w:val="single" w:sz="2" w:space="0" w:color="000000"/>
              <w:bottom w:val="single" w:sz="2" w:space="0" w:color="000000"/>
              <w:right w:val="single" w:sz="2" w:space="0" w:color="000000"/>
            </w:tcBorders>
            <w:shd w:val="clear" w:color="auto" w:fill="6D2A78"/>
          </w:tcPr>
          <w:p w14:paraId="477FB629" w14:textId="77777777" w:rsidR="00920B68" w:rsidRPr="00364545" w:rsidRDefault="00920B68" w:rsidP="00920B68">
            <w:pPr>
              <w:spacing w:line="259" w:lineRule="auto"/>
              <w:ind w:right="23"/>
              <w:jc w:val="center"/>
            </w:pPr>
            <w:r w:rsidRPr="00364545">
              <w:rPr>
                <w:b/>
                <w:color w:val="FFFFFF"/>
                <w:sz w:val="18"/>
              </w:rPr>
              <w:t xml:space="preserve">1990 </w:t>
            </w:r>
          </w:p>
        </w:tc>
        <w:tc>
          <w:tcPr>
            <w:tcW w:w="743" w:type="dxa"/>
            <w:tcBorders>
              <w:top w:val="single" w:sz="2" w:space="0" w:color="000000"/>
              <w:left w:val="single" w:sz="2" w:space="0" w:color="000000"/>
              <w:bottom w:val="single" w:sz="2" w:space="0" w:color="000000"/>
              <w:right w:val="single" w:sz="2" w:space="0" w:color="000000"/>
            </w:tcBorders>
            <w:shd w:val="clear" w:color="auto" w:fill="6D2A78"/>
          </w:tcPr>
          <w:p w14:paraId="097C2EDF" w14:textId="77777777" w:rsidR="00920B68" w:rsidRPr="00364545" w:rsidRDefault="00920B68" w:rsidP="00920B68">
            <w:pPr>
              <w:spacing w:line="259" w:lineRule="auto"/>
              <w:ind w:right="26"/>
              <w:jc w:val="center"/>
              <w:rPr>
                <w:b/>
                <w:color w:val="FFFFFF"/>
                <w:sz w:val="18"/>
              </w:rPr>
            </w:pPr>
            <w:r w:rsidRPr="00364545">
              <w:rPr>
                <w:b/>
                <w:color w:val="FFFFFF"/>
                <w:sz w:val="18"/>
              </w:rPr>
              <w:t>1995</w:t>
            </w:r>
          </w:p>
        </w:tc>
        <w:tc>
          <w:tcPr>
            <w:tcW w:w="742" w:type="dxa"/>
            <w:tcBorders>
              <w:top w:val="single" w:sz="2" w:space="0" w:color="000000"/>
              <w:left w:val="single" w:sz="2" w:space="0" w:color="000000"/>
              <w:bottom w:val="single" w:sz="2" w:space="0" w:color="000000"/>
              <w:right w:val="single" w:sz="2" w:space="0" w:color="000000"/>
            </w:tcBorders>
            <w:shd w:val="clear" w:color="auto" w:fill="6D2A78"/>
          </w:tcPr>
          <w:p w14:paraId="7C1ECAAB" w14:textId="77777777" w:rsidR="00920B68" w:rsidRPr="00364545" w:rsidRDefault="00920B68" w:rsidP="00920B68">
            <w:pPr>
              <w:spacing w:line="259" w:lineRule="auto"/>
              <w:ind w:right="26"/>
              <w:jc w:val="center"/>
            </w:pPr>
            <w:r w:rsidRPr="00364545">
              <w:rPr>
                <w:b/>
                <w:color w:val="FFFFFF"/>
                <w:sz w:val="18"/>
              </w:rPr>
              <w:t xml:space="preserve">2000 </w:t>
            </w:r>
          </w:p>
        </w:tc>
        <w:tc>
          <w:tcPr>
            <w:tcW w:w="742" w:type="dxa"/>
            <w:tcBorders>
              <w:top w:val="single" w:sz="2" w:space="0" w:color="000000"/>
              <w:left w:val="single" w:sz="2" w:space="0" w:color="000000"/>
              <w:bottom w:val="single" w:sz="2" w:space="0" w:color="000000"/>
              <w:right w:val="single" w:sz="2" w:space="0" w:color="000000"/>
            </w:tcBorders>
            <w:shd w:val="clear" w:color="auto" w:fill="6D2A78"/>
          </w:tcPr>
          <w:p w14:paraId="44520206" w14:textId="77777777" w:rsidR="00920B68" w:rsidRPr="00364545" w:rsidRDefault="00920B68" w:rsidP="00920B68">
            <w:pPr>
              <w:spacing w:line="259" w:lineRule="auto"/>
              <w:ind w:right="23"/>
              <w:jc w:val="center"/>
            </w:pPr>
            <w:r w:rsidRPr="00364545">
              <w:rPr>
                <w:b/>
                <w:color w:val="FFFFFF"/>
                <w:sz w:val="18"/>
              </w:rPr>
              <w:t xml:space="preserve">2005 </w:t>
            </w:r>
          </w:p>
        </w:tc>
        <w:tc>
          <w:tcPr>
            <w:tcW w:w="745" w:type="dxa"/>
            <w:tcBorders>
              <w:top w:val="single" w:sz="2" w:space="0" w:color="000000"/>
              <w:left w:val="single" w:sz="2" w:space="0" w:color="000000"/>
              <w:bottom w:val="single" w:sz="2" w:space="0" w:color="000000"/>
              <w:right w:val="single" w:sz="2" w:space="0" w:color="000000"/>
            </w:tcBorders>
            <w:shd w:val="clear" w:color="auto" w:fill="6D2A78"/>
          </w:tcPr>
          <w:p w14:paraId="19247C6B" w14:textId="77777777" w:rsidR="00920B68" w:rsidRPr="00364545" w:rsidRDefault="00920B68" w:rsidP="00920B68">
            <w:pPr>
              <w:spacing w:line="259" w:lineRule="auto"/>
              <w:ind w:right="26"/>
              <w:jc w:val="center"/>
            </w:pPr>
            <w:r w:rsidRPr="00364545">
              <w:rPr>
                <w:b/>
                <w:color w:val="FFFFFF"/>
                <w:sz w:val="18"/>
              </w:rPr>
              <w:t xml:space="preserve">2010 </w:t>
            </w:r>
          </w:p>
        </w:tc>
        <w:tc>
          <w:tcPr>
            <w:tcW w:w="742" w:type="dxa"/>
            <w:tcBorders>
              <w:top w:val="single" w:sz="2" w:space="0" w:color="000000"/>
              <w:left w:val="single" w:sz="2" w:space="0" w:color="000000"/>
              <w:bottom w:val="single" w:sz="2" w:space="0" w:color="000000"/>
              <w:right w:val="single" w:sz="2" w:space="0" w:color="000000"/>
            </w:tcBorders>
            <w:shd w:val="clear" w:color="auto" w:fill="6D2A78"/>
          </w:tcPr>
          <w:p w14:paraId="27C5DF5A" w14:textId="77777777" w:rsidR="00920B68" w:rsidRPr="00364545" w:rsidRDefault="00920B68" w:rsidP="00920B68">
            <w:pPr>
              <w:spacing w:line="259" w:lineRule="auto"/>
              <w:ind w:right="23"/>
              <w:jc w:val="center"/>
            </w:pPr>
            <w:r w:rsidRPr="00364545">
              <w:rPr>
                <w:b/>
                <w:color w:val="FFFFFF"/>
                <w:sz w:val="18"/>
              </w:rPr>
              <w:t xml:space="preserve">2015 </w:t>
            </w:r>
          </w:p>
        </w:tc>
        <w:tc>
          <w:tcPr>
            <w:tcW w:w="739" w:type="dxa"/>
            <w:tcBorders>
              <w:top w:val="single" w:sz="2" w:space="0" w:color="000000"/>
              <w:left w:val="single" w:sz="2" w:space="0" w:color="000000"/>
              <w:bottom w:val="single" w:sz="2" w:space="0" w:color="000000"/>
              <w:right w:val="single" w:sz="2" w:space="0" w:color="000000"/>
            </w:tcBorders>
            <w:shd w:val="clear" w:color="auto" w:fill="6D2A78"/>
          </w:tcPr>
          <w:p w14:paraId="6D16484C" w14:textId="77777777" w:rsidR="00920B68" w:rsidRPr="00364545" w:rsidRDefault="00920B68" w:rsidP="00920B68">
            <w:pPr>
              <w:spacing w:line="259" w:lineRule="auto"/>
              <w:ind w:right="26"/>
              <w:jc w:val="center"/>
              <w:rPr>
                <w:b/>
                <w:color w:val="FFFFFF"/>
                <w:sz w:val="18"/>
              </w:rPr>
            </w:pPr>
            <w:r>
              <w:rPr>
                <w:b/>
                <w:color w:val="FFFFFF"/>
                <w:sz w:val="18"/>
              </w:rPr>
              <w:t>2019</w:t>
            </w:r>
          </w:p>
        </w:tc>
        <w:tc>
          <w:tcPr>
            <w:tcW w:w="743" w:type="dxa"/>
            <w:tcBorders>
              <w:top w:val="single" w:sz="2" w:space="0" w:color="000000"/>
              <w:left w:val="single" w:sz="2" w:space="0" w:color="000000"/>
              <w:bottom w:val="single" w:sz="2" w:space="0" w:color="000000"/>
              <w:right w:val="single" w:sz="2" w:space="0" w:color="000000"/>
            </w:tcBorders>
            <w:shd w:val="clear" w:color="auto" w:fill="6D2A78"/>
          </w:tcPr>
          <w:p w14:paraId="0AE08C31" w14:textId="77777777" w:rsidR="00920B68" w:rsidRPr="00364545" w:rsidRDefault="00920B68" w:rsidP="00920B68">
            <w:pPr>
              <w:spacing w:line="259" w:lineRule="auto"/>
              <w:ind w:right="26"/>
              <w:jc w:val="center"/>
            </w:pPr>
            <w:r w:rsidRPr="00364545">
              <w:rPr>
                <w:b/>
                <w:color w:val="FFFFFF"/>
                <w:sz w:val="18"/>
              </w:rPr>
              <w:t xml:space="preserve">2020 </w:t>
            </w:r>
          </w:p>
        </w:tc>
        <w:tc>
          <w:tcPr>
            <w:tcW w:w="742" w:type="dxa"/>
            <w:tcBorders>
              <w:top w:val="single" w:sz="2" w:space="0" w:color="000000"/>
              <w:left w:val="single" w:sz="2" w:space="0" w:color="000000"/>
              <w:bottom w:val="single" w:sz="2" w:space="0" w:color="000000"/>
              <w:right w:val="single" w:sz="2" w:space="0" w:color="000000"/>
            </w:tcBorders>
            <w:shd w:val="clear" w:color="auto" w:fill="6D2A78"/>
          </w:tcPr>
          <w:p w14:paraId="636EDB96" w14:textId="77777777" w:rsidR="00920B68" w:rsidRPr="00364545" w:rsidRDefault="00920B68" w:rsidP="00920B68">
            <w:pPr>
              <w:spacing w:line="259" w:lineRule="auto"/>
              <w:ind w:right="23"/>
              <w:jc w:val="center"/>
            </w:pPr>
            <w:r w:rsidRPr="00364545">
              <w:rPr>
                <w:b/>
                <w:color w:val="FFFFFF"/>
                <w:sz w:val="18"/>
              </w:rPr>
              <w:t xml:space="preserve">2025 </w:t>
            </w:r>
          </w:p>
        </w:tc>
        <w:tc>
          <w:tcPr>
            <w:tcW w:w="742" w:type="dxa"/>
            <w:tcBorders>
              <w:top w:val="single" w:sz="2" w:space="0" w:color="000000"/>
              <w:left w:val="single" w:sz="2" w:space="0" w:color="000000"/>
              <w:bottom w:val="single" w:sz="2" w:space="0" w:color="000000"/>
              <w:right w:val="single" w:sz="2" w:space="0" w:color="000000"/>
            </w:tcBorders>
            <w:shd w:val="clear" w:color="auto" w:fill="6D2A78"/>
          </w:tcPr>
          <w:p w14:paraId="2EEAF4A4" w14:textId="77777777" w:rsidR="00920B68" w:rsidRPr="00364545" w:rsidRDefault="00920B68" w:rsidP="00920B68">
            <w:pPr>
              <w:spacing w:line="259" w:lineRule="auto"/>
              <w:ind w:right="26"/>
              <w:jc w:val="center"/>
            </w:pPr>
            <w:r w:rsidRPr="00364545">
              <w:rPr>
                <w:b/>
                <w:color w:val="FFFFFF"/>
                <w:sz w:val="18"/>
              </w:rPr>
              <w:t xml:space="preserve">2030 </w:t>
            </w:r>
          </w:p>
        </w:tc>
        <w:tc>
          <w:tcPr>
            <w:tcW w:w="745" w:type="dxa"/>
            <w:tcBorders>
              <w:top w:val="single" w:sz="2" w:space="0" w:color="000000"/>
              <w:left w:val="single" w:sz="2" w:space="0" w:color="000000"/>
              <w:bottom w:val="single" w:sz="2" w:space="0" w:color="000000"/>
              <w:right w:val="single" w:sz="2" w:space="0" w:color="000000"/>
            </w:tcBorders>
            <w:shd w:val="clear" w:color="auto" w:fill="6D2A78"/>
          </w:tcPr>
          <w:p w14:paraId="06B807AE" w14:textId="77777777" w:rsidR="00920B68" w:rsidRPr="00364545" w:rsidRDefault="00920B68" w:rsidP="00920B68">
            <w:pPr>
              <w:spacing w:line="259" w:lineRule="auto"/>
              <w:ind w:right="23"/>
              <w:jc w:val="center"/>
            </w:pPr>
            <w:r w:rsidRPr="00364545">
              <w:rPr>
                <w:b/>
                <w:color w:val="FFFFFF"/>
                <w:sz w:val="18"/>
              </w:rPr>
              <w:t xml:space="preserve">2035 </w:t>
            </w:r>
          </w:p>
        </w:tc>
        <w:tc>
          <w:tcPr>
            <w:tcW w:w="680" w:type="dxa"/>
            <w:tcBorders>
              <w:top w:val="single" w:sz="2" w:space="0" w:color="000000"/>
              <w:left w:val="single" w:sz="2" w:space="0" w:color="000000"/>
              <w:bottom w:val="single" w:sz="2" w:space="0" w:color="000000"/>
              <w:right w:val="single" w:sz="2" w:space="0" w:color="000000"/>
            </w:tcBorders>
            <w:shd w:val="clear" w:color="auto" w:fill="6D2A78"/>
          </w:tcPr>
          <w:p w14:paraId="5D0B585B" w14:textId="77777777" w:rsidR="00920B68" w:rsidRPr="00364545" w:rsidRDefault="00920B68" w:rsidP="00920B68">
            <w:pPr>
              <w:spacing w:line="259" w:lineRule="auto"/>
              <w:ind w:right="23"/>
              <w:jc w:val="center"/>
              <w:rPr>
                <w:b/>
                <w:color w:val="FFFFFF"/>
                <w:sz w:val="18"/>
              </w:rPr>
            </w:pPr>
            <w:r w:rsidRPr="00364545">
              <w:rPr>
                <w:b/>
                <w:color w:val="FFFFFF"/>
                <w:sz w:val="18"/>
              </w:rPr>
              <w:t>2050</w:t>
            </w:r>
          </w:p>
        </w:tc>
      </w:tr>
      <w:tr w:rsidR="00920B68" w:rsidRPr="00364545" w14:paraId="3203F77D" w14:textId="77777777" w:rsidTr="00745926">
        <w:trPr>
          <w:trHeight w:val="401"/>
        </w:trPr>
        <w:tc>
          <w:tcPr>
            <w:tcW w:w="1078" w:type="dxa"/>
            <w:tcBorders>
              <w:top w:val="single" w:sz="2" w:space="0" w:color="000000"/>
              <w:left w:val="single" w:sz="2" w:space="0" w:color="000000"/>
              <w:bottom w:val="single" w:sz="2" w:space="0" w:color="000000"/>
              <w:right w:val="single" w:sz="2" w:space="0" w:color="000000"/>
            </w:tcBorders>
            <w:shd w:val="clear" w:color="auto" w:fill="6D2A78"/>
          </w:tcPr>
          <w:p w14:paraId="77D17054" w14:textId="77777777" w:rsidR="00920B68" w:rsidRPr="00364545" w:rsidRDefault="00920B68" w:rsidP="00920B68">
            <w:pPr>
              <w:spacing w:line="259" w:lineRule="auto"/>
            </w:pPr>
            <w:r w:rsidRPr="00364545">
              <w:rPr>
                <w:color w:val="FFFFFF" w:themeColor="background1"/>
              </w:rPr>
              <w:t>kt</w:t>
            </w:r>
            <w:r w:rsidRPr="00634E4C">
              <w:rPr>
                <w:color w:val="FFFFFF" w:themeColor="background1"/>
              </w:rPr>
              <w:t>CO</w:t>
            </w:r>
            <w:r w:rsidRPr="00634E4C">
              <w:rPr>
                <w:color w:val="FFFFFF" w:themeColor="background1"/>
                <w:vertAlign w:val="subscript"/>
              </w:rPr>
              <w:t>2</w:t>
            </w:r>
            <w:r w:rsidRPr="00364545">
              <w:rPr>
                <w:color w:val="FFFFFF" w:themeColor="background1"/>
                <w:vertAlign w:val="subscript"/>
              </w:rPr>
              <w:t>e</w:t>
            </w:r>
          </w:p>
        </w:tc>
        <w:tc>
          <w:tcPr>
            <w:tcW w:w="5207" w:type="dxa"/>
            <w:gridSpan w:val="7"/>
            <w:tcBorders>
              <w:top w:val="single" w:sz="2" w:space="0" w:color="000000"/>
              <w:left w:val="single" w:sz="2" w:space="0" w:color="000000"/>
              <w:bottom w:val="single" w:sz="2" w:space="0" w:color="000000"/>
              <w:right w:val="single" w:sz="2" w:space="0" w:color="000000"/>
            </w:tcBorders>
            <w:shd w:val="clear" w:color="auto" w:fill="6D2A78"/>
          </w:tcPr>
          <w:p w14:paraId="38CF3616" w14:textId="77777777" w:rsidR="00920B68" w:rsidRPr="00364545" w:rsidRDefault="00920B68" w:rsidP="00920B68">
            <w:pPr>
              <w:spacing w:line="259" w:lineRule="auto"/>
              <w:ind w:right="23"/>
              <w:jc w:val="center"/>
              <w:rPr>
                <w:b/>
                <w:color w:val="FFFFFF"/>
                <w:sz w:val="18"/>
              </w:rPr>
            </w:pPr>
            <w:r w:rsidRPr="00364545">
              <w:rPr>
                <w:b/>
                <w:color w:val="FFFFFF"/>
                <w:sz w:val="18"/>
              </w:rPr>
              <w:t>Observed</w:t>
            </w:r>
          </w:p>
        </w:tc>
        <w:tc>
          <w:tcPr>
            <w:tcW w:w="3652" w:type="dxa"/>
            <w:gridSpan w:val="5"/>
            <w:tcBorders>
              <w:top w:val="single" w:sz="2" w:space="0" w:color="000000"/>
              <w:left w:val="single" w:sz="2" w:space="0" w:color="000000"/>
              <w:bottom w:val="single" w:sz="2" w:space="0" w:color="000000"/>
              <w:right w:val="single" w:sz="2" w:space="0" w:color="000000"/>
            </w:tcBorders>
            <w:shd w:val="clear" w:color="auto" w:fill="6D2A78"/>
          </w:tcPr>
          <w:p w14:paraId="005AAF4E" w14:textId="77777777" w:rsidR="00920B68" w:rsidRPr="00364545" w:rsidRDefault="00920B68" w:rsidP="00920B68">
            <w:pPr>
              <w:spacing w:line="259" w:lineRule="auto"/>
              <w:ind w:right="23"/>
              <w:jc w:val="center"/>
              <w:rPr>
                <w:b/>
                <w:color w:val="FFFFFF"/>
                <w:sz w:val="18"/>
              </w:rPr>
            </w:pPr>
            <w:r w:rsidRPr="00364545">
              <w:rPr>
                <w:b/>
                <w:color w:val="FFFFFF"/>
                <w:sz w:val="18"/>
              </w:rPr>
              <w:t>Projected</w:t>
            </w:r>
          </w:p>
        </w:tc>
      </w:tr>
      <w:tr w:rsidR="00920B68" w:rsidRPr="00364545" w14:paraId="68AF3CF2" w14:textId="77777777" w:rsidTr="00745926">
        <w:trPr>
          <w:trHeight w:val="342"/>
        </w:trPr>
        <w:tc>
          <w:tcPr>
            <w:tcW w:w="1078" w:type="dxa"/>
            <w:tcBorders>
              <w:top w:val="single" w:sz="2" w:space="0" w:color="000000"/>
              <w:left w:val="single" w:sz="2" w:space="0" w:color="000000"/>
              <w:bottom w:val="single" w:sz="2" w:space="0" w:color="000000"/>
              <w:right w:val="single" w:sz="2" w:space="0" w:color="000000"/>
            </w:tcBorders>
            <w:shd w:val="clear" w:color="auto" w:fill="ECE6E2"/>
          </w:tcPr>
          <w:p w14:paraId="5D3A3A12" w14:textId="77777777" w:rsidR="00920B68" w:rsidRPr="00364545" w:rsidRDefault="00920B68" w:rsidP="00920B68">
            <w:pPr>
              <w:spacing w:line="259" w:lineRule="auto"/>
              <w:jc w:val="left"/>
            </w:pPr>
            <w:r w:rsidRPr="00364545">
              <w:t>CO</w:t>
            </w:r>
            <w:r w:rsidRPr="00364545">
              <w:rPr>
                <w:vertAlign w:val="subscript"/>
              </w:rPr>
              <w:t>2</w:t>
            </w:r>
            <w:r w:rsidRPr="00364545">
              <w:rPr>
                <w:sz w:val="18"/>
              </w:rPr>
              <w:t xml:space="preserve"> excluding LULUCF </w:t>
            </w:r>
          </w:p>
        </w:tc>
        <w:tc>
          <w:tcPr>
            <w:tcW w:w="75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D2AD97" w14:textId="77777777" w:rsidR="00920B68" w:rsidRPr="00364545" w:rsidRDefault="00920B68" w:rsidP="00920B68">
            <w:pPr>
              <w:spacing w:line="259" w:lineRule="auto"/>
              <w:ind w:left="59"/>
              <w:jc w:val="left"/>
              <w:rPr>
                <w:sz w:val="16"/>
                <w:szCs w:val="16"/>
              </w:rPr>
            </w:pPr>
            <w:r>
              <w:rPr>
                <w:sz w:val="18"/>
                <w:szCs w:val="18"/>
              </w:rPr>
              <w:t>398425</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65A46A8" w14:textId="77777777" w:rsidR="00920B68" w:rsidRPr="00364545" w:rsidRDefault="00920B68" w:rsidP="00920B68">
            <w:pPr>
              <w:spacing w:line="259" w:lineRule="auto"/>
              <w:ind w:left="59"/>
              <w:jc w:val="left"/>
              <w:rPr>
                <w:sz w:val="16"/>
                <w:szCs w:val="16"/>
              </w:rPr>
            </w:pPr>
            <w:r>
              <w:rPr>
                <w:sz w:val="18"/>
                <w:szCs w:val="18"/>
              </w:rPr>
              <w:t>392916</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0557BD7" w14:textId="77777777" w:rsidR="00920B68" w:rsidRPr="00364545" w:rsidRDefault="00920B68" w:rsidP="00920B68">
            <w:pPr>
              <w:spacing w:line="259" w:lineRule="auto"/>
              <w:ind w:left="59"/>
              <w:jc w:val="left"/>
              <w:rPr>
                <w:sz w:val="16"/>
                <w:szCs w:val="16"/>
              </w:rPr>
            </w:pPr>
            <w:r>
              <w:rPr>
                <w:sz w:val="18"/>
                <w:szCs w:val="18"/>
              </w:rPr>
              <w:t>414788</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A7CB4A8" w14:textId="77777777" w:rsidR="00920B68" w:rsidRPr="00364545" w:rsidRDefault="00920B68" w:rsidP="00920B68">
            <w:pPr>
              <w:spacing w:line="259" w:lineRule="auto"/>
              <w:ind w:left="59"/>
              <w:jc w:val="left"/>
              <w:rPr>
                <w:sz w:val="16"/>
                <w:szCs w:val="16"/>
              </w:rPr>
            </w:pPr>
            <w:r>
              <w:rPr>
                <w:sz w:val="18"/>
                <w:szCs w:val="18"/>
              </w:rPr>
              <w:t>425444</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D2B6ACC" w14:textId="77777777" w:rsidR="00920B68" w:rsidRPr="00364545" w:rsidRDefault="00920B68" w:rsidP="00920B68">
            <w:pPr>
              <w:spacing w:line="259" w:lineRule="auto"/>
              <w:ind w:left="59"/>
              <w:jc w:val="left"/>
              <w:rPr>
                <w:sz w:val="16"/>
                <w:szCs w:val="16"/>
              </w:rPr>
            </w:pPr>
            <w:r>
              <w:rPr>
                <w:sz w:val="18"/>
                <w:szCs w:val="18"/>
              </w:rPr>
              <w:t>386872</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ACDED0" w14:textId="77777777" w:rsidR="00920B68" w:rsidRPr="00364545" w:rsidRDefault="00920B68" w:rsidP="00920B68">
            <w:pPr>
              <w:spacing w:line="259" w:lineRule="auto"/>
              <w:ind w:left="59"/>
              <w:jc w:val="left"/>
              <w:rPr>
                <w:sz w:val="16"/>
                <w:szCs w:val="16"/>
              </w:rPr>
            </w:pPr>
            <w:r>
              <w:rPr>
                <w:sz w:val="18"/>
                <w:szCs w:val="18"/>
              </w:rPr>
              <w:t>341631</w:t>
            </w:r>
          </w:p>
        </w:tc>
        <w:tc>
          <w:tcPr>
            <w:tcW w:w="73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ECAF12" w14:textId="77777777" w:rsidR="00920B68" w:rsidRPr="00634E4C" w:rsidRDefault="00920B68" w:rsidP="00920B68">
            <w:pPr>
              <w:spacing w:line="259" w:lineRule="auto"/>
              <w:ind w:left="64"/>
              <w:jc w:val="left"/>
              <w:rPr>
                <w:rFonts w:ascii="Calibri" w:hAnsi="Calibri"/>
                <w:sz w:val="20"/>
              </w:rPr>
            </w:pPr>
            <w:r>
              <w:rPr>
                <w:sz w:val="18"/>
                <w:szCs w:val="18"/>
              </w:rPr>
              <w:t>326725</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A0539C2" w14:textId="77777777" w:rsidR="00920B68" w:rsidRPr="00634E4C" w:rsidRDefault="00920B68" w:rsidP="00920B68">
            <w:pPr>
              <w:spacing w:line="259" w:lineRule="auto"/>
              <w:jc w:val="left"/>
              <w:rPr>
                <w:rFonts w:asciiTheme="majorHAnsi" w:hAnsiTheme="majorHAnsi"/>
                <w:sz w:val="18"/>
              </w:rPr>
            </w:pPr>
            <w:r>
              <w:rPr>
                <w:rFonts w:asciiTheme="majorHAnsi" w:hAnsiTheme="majorHAnsi"/>
                <w:sz w:val="18"/>
                <w:szCs w:val="18"/>
              </w:rPr>
              <w:t>325904</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5857064" w14:textId="77777777" w:rsidR="00920B68" w:rsidRPr="00634E4C" w:rsidRDefault="00920B68" w:rsidP="00920B68">
            <w:pPr>
              <w:spacing w:line="259" w:lineRule="auto"/>
              <w:jc w:val="left"/>
              <w:rPr>
                <w:rFonts w:asciiTheme="majorHAnsi" w:hAnsiTheme="majorHAnsi"/>
                <w:sz w:val="18"/>
              </w:rPr>
            </w:pPr>
            <w:r>
              <w:rPr>
                <w:rFonts w:asciiTheme="majorHAnsi" w:hAnsiTheme="majorHAnsi"/>
                <w:sz w:val="18"/>
                <w:szCs w:val="18"/>
              </w:rPr>
              <w:t>273167</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B35668C" w14:textId="77777777" w:rsidR="00920B68" w:rsidRPr="00634E4C" w:rsidRDefault="00920B68" w:rsidP="00920B68">
            <w:pPr>
              <w:spacing w:line="259" w:lineRule="auto"/>
              <w:jc w:val="left"/>
              <w:rPr>
                <w:rFonts w:asciiTheme="majorHAnsi" w:hAnsiTheme="majorHAnsi"/>
                <w:sz w:val="18"/>
              </w:rPr>
            </w:pPr>
            <w:r>
              <w:rPr>
                <w:rFonts w:asciiTheme="majorHAnsi" w:hAnsiTheme="majorHAnsi"/>
                <w:sz w:val="18"/>
                <w:szCs w:val="18"/>
              </w:rPr>
              <w:t>220992</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ABE7DD" w14:textId="77777777" w:rsidR="00920B68" w:rsidRPr="00634E4C" w:rsidRDefault="00920B68" w:rsidP="00920B68">
            <w:pPr>
              <w:spacing w:line="259" w:lineRule="auto"/>
              <w:ind w:left="59"/>
              <w:jc w:val="left"/>
              <w:rPr>
                <w:rFonts w:asciiTheme="majorHAnsi" w:hAnsiTheme="majorHAnsi"/>
                <w:sz w:val="18"/>
              </w:rPr>
            </w:pPr>
            <w:r>
              <w:rPr>
                <w:rFonts w:asciiTheme="majorHAnsi" w:hAnsiTheme="majorHAnsi"/>
                <w:sz w:val="18"/>
                <w:szCs w:val="18"/>
              </w:rPr>
              <w:t>167257</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FEB15C7" w14:textId="28DFC52B" w:rsidR="00920B68" w:rsidRPr="00745926" w:rsidRDefault="00745926" w:rsidP="00920B68">
            <w:pPr>
              <w:spacing w:line="259" w:lineRule="auto"/>
              <w:ind w:left="59"/>
              <w:jc w:val="left"/>
              <w:rPr>
                <w:rFonts w:asciiTheme="majorHAnsi" w:hAnsiTheme="majorHAnsi"/>
                <w:sz w:val="18"/>
                <w:szCs w:val="18"/>
              </w:rPr>
            </w:pPr>
            <w:r>
              <w:rPr>
                <w:sz w:val="18"/>
              </w:rPr>
              <w:t>6</w:t>
            </w:r>
            <w:r w:rsidRPr="00C50CEB">
              <w:rPr>
                <w:sz w:val="18"/>
              </w:rPr>
              <w:t>447</w:t>
            </w:r>
          </w:p>
        </w:tc>
      </w:tr>
      <w:tr w:rsidR="00920B68" w:rsidRPr="00364545" w14:paraId="2466FA31" w14:textId="77777777" w:rsidTr="00745926">
        <w:trPr>
          <w:trHeight w:val="347"/>
        </w:trPr>
        <w:tc>
          <w:tcPr>
            <w:tcW w:w="1078" w:type="dxa"/>
            <w:tcBorders>
              <w:top w:val="single" w:sz="2" w:space="0" w:color="000000"/>
              <w:left w:val="single" w:sz="2" w:space="0" w:color="000000"/>
              <w:bottom w:val="single" w:sz="2" w:space="0" w:color="000000"/>
              <w:right w:val="single" w:sz="2" w:space="0" w:color="000000"/>
            </w:tcBorders>
          </w:tcPr>
          <w:p w14:paraId="25C1FEF6" w14:textId="77777777" w:rsidR="00920B68" w:rsidRPr="00364545" w:rsidRDefault="00920B68" w:rsidP="00920B68">
            <w:pPr>
              <w:spacing w:line="259" w:lineRule="auto"/>
              <w:jc w:val="left"/>
            </w:pPr>
            <w:r w:rsidRPr="00364545">
              <w:t>CO</w:t>
            </w:r>
            <w:r w:rsidRPr="00364545">
              <w:rPr>
                <w:vertAlign w:val="subscript"/>
              </w:rPr>
              <w:t>2</w:t>
            </w:r>
            <w:r w:rsidRPr="00364545">
              <w:rPr>
                <w:sz w:val="18"/>
              </w:rPr>
              <w:t xml:space="preserve"> with LULUCF </w:t>
            </w:r>
          </w:p>
        </w:tc>
        <w:tc>
          <w:tcPr>
            <w:tcW w:w="754" w:type="dxa"/>
            <w:tcBorders>
              <w:top w:val="single" w:sz="2" w:space="0" w:color="000000"/>
              <w:left w:val="single" w:sz="2" w:space="0" w:color="000000"/>
              <w:bottom w:val="single" w:sz="2" w:space="0" w:color="000000"/>
              <w:right w:val="single" w:sz="2" w:space="0" w:color="000000"/>
            </w:tcBorders>
            <w:vAlign w:val="center"/>
          </w:tcPr>
          <w:p w14:paraId="1E5EDE30" w14:textId="77777777" w:rsidR="00920B68" w:rsidRPr="00364545" w:rsidRDefault="00920B68" w:rsidP="00920B68">
            <w:pPr>
              <w:spacing w:line="259" w:lineRule="auto"/>
              <w:ind w:left="59"/>
              <w:jc w:val="left"/>
              <w:rPr>
                <w:sz w:val="16"/>
                <w:szCs w:val="16"/>
              </w:rPr>
            </w:pPr>
            <w:r>
              <w:rPr>
                <w:sz w:val="18"/>
                <w:szCs w:val="18"/>
              </w:rPr>
              <w:t>370280</w:t>
            </w:r>
          </w:p>
        </w:tc>
        <w:tc>
          <w:tcPr>
            <w:tcW w:w="743" w:type="dxa"/>
            <w:tcBorders>
              <w:top w:val="single" w:sz="2" w:space="0" w:color="000000"/>
              <w:left w:val="single" w:sz="2" w:space="0" w:color="000000"/>
              <w:bottom w:val="single" w:sz="2" w:space="0" w:color="000000"/>
              <w:right w:val="single" w:sz="2" w:space="0" w:color="000000"/>
            </w:tcBorders>
            <w:vAlign w:val="center"/>
          </w:tcPr>
          <w:p w14:paraId="387EA178" w14:textId="77777777" w:rsidR="00920B68" w:rsidRPr="00364545" w:rsidRDefault="00920B68" w:rsidP="00920B68">
            <w:pPr>
              <w:spacing w:line="259" w:lineRule="auto"/>
              <w:ind w:left="59"/>
              <w:jc w:val="left"/>
              <w:rPr>
                <w:sz w:val="16"/>
                <w:szCs w:val="16"/>
              </w:rPr>
            </w:pPr>
            <w:r>
              <w:rPr>
                <w:sz w:val="18"/>
                <w:szCs w:val="18"/>
              </w:rPr>
              <w:t>361121</w:t>
            </w:r>
          </w:p>
        </w:tc>
        <w:tc>
          <w:tcPr>
            <w:tcW w:w="742" w:type="dxa"/>
            <w:tcBorders>
              <w:top w:val="single" w:sz="2" w:space="0" w:color="000000"/>
              <w:left w:val="single" w:sz="2" w:space="0" w:color="000000"/>
              <w:bottom w:val="single" w:sz="2" w:space="0" w:color="000000"/>
              <w:right w:val="single" w:sz="2" w:space="0" w:color="000000"/>
            </w:tcBorders>
            <w:vAlign w:val="center"/>
          </w:tcPr>
          <w:p w14:paraId="6D053DC0" w14:textId="77777777" w:rsidR="00920B68" w:rsidRPr="00364545" w:rsidRDefault="00920B68" w:rsidP="00920B68">
            <w:pPr>
              <w:spacing w:line="259" w:lineRule="auto"/>
              <w:ind w:left="59"/>
              <w:jc w:val="left"/>
              <w:rPr>
                <w:sz w:val="16"/>
                <w:szCs w:val="16"/>
              </w:rPr>
            </w:pPr>
            <w:r>
              <w:rPr>
                <w:sz w:val="18"/>
                <w:szCs w:val="18"/>
              </w:rPr>
              <w:t>390194</w:t>
            </w:r>
          </w:p>
        </w:tc>
        <w:tc>
          <w:tcPr>
            <w:tcW w:w="742" w:type="dxa"/>
            <w:tcBorders>
              <w:top w:val="single" w:sz="2" w:space="0" w:color="000000"/>
              <w:left w:val="single" w:sz="2" w:space="0" w:color="000000"/>
              <w:bottom w:val="single" w:sz="2" w:space="0" w:color="000000"/>
              <w:right w:val="single" w:sz="2" w:space="0" w:color="000000"/>
            </w:tcBorders>
            <w:vAlign w:val="center"/>
          </w:tcPr>
          <w:p w14:paraId="7D1EE1B0" w14:textId="77777777" w:rsidR="00920B68" w:rsidRPr="00364545" w:rsidRDefault="00920B68" w:rsidP="00920B68">
            <w:pPr>
              <w:spacing w:line="259" w:lineRule="auto"/>
              <w:ind w:left="59"/>
              <w:jc w:val="left"/>
              <w:rPr>
                <w:sz w:val="16"/>
                <w:szCs w:val="16"/>
              </w:rPr>
            </w:pPr>
            <w:r>
              <w:rPr>
                <w:sz w:val="18"/>
                <w:szCs w:val="18"/>
              </w:rPr>
              <w:t>373972</w:t>
            </w:r>
          </w:p>
        </w:tc>
        <w:tc>
          <w:tcPr>
            <w:tcW w:w="745" w:type="dxa"/>
            <w:tcBorders>
              <w:top w:val="single" w:sz="2" w:space="0" w:color="000000"/>
              <w:left w:val="single" w:sz="2" w:space="0" w:color="000000"/>
              <w:bottom w:val="single" w:sz="2" w:space="0" w:color="000000"/>
              <w:right w:val="single" w:sz="2" w:space="0" w:color="000000"/>
            </w:tcBorders>
            <w:vAlign w:val="center"/>
          </w:tcPr>
          <w:p w14:paraId="24C50F5B" w14:textId="77777777" w:rsidR="00920B68" w:rsidRPr="00364545" w:rsidRDefault="00920B68" w:rsidP="00920B68">
            <w:pPr>
              <w:spacing w:line="259" w:lineRule="auto"/>
              <w:ind w:left="59"/>
              <w:jc w:val="left"/>
              <w:rPr>
                <w:sz w:val="16"/>
                <w:szCs w:val="16"/>
              </w:rPr>
            </w:pPr>
            <w:r>
              <w:rPr>
                <w:sz w:val="18"/>
                <w:szCs w:val="18"/>
              </w:rPr>
              <w:t>344171</w:t>
            </w:r>
          </w:p>
        </w:tc>
        <w:tc>
          <w:tcPr>
            <w:tcW w:w="742" w:type="dxa"/>
            <w:tcBorders>
              <w:top w:val="single" w:sz="2" w:space="0" w:color="000000"/>
              <w:left w:val="single" w:sz="2" w:space="0" w:color="000000"/>
              <w:bottom w:val="single" w:sz="2" w:space="0" w:color="000000"/>
              <w:right w:val="single" w:sz="2" w:space="0" w:color="000000"/>
            </w:tcBorders>
            <w:vAlign w:val="center"/>
          </w:tcPr>
          <w:p w14:paraId="36EAD79F" w14:textId="77777777" w:rsidR="00920B68" w:rsidRPr="00364545" w:rsidRDefault="00920B68" w:rsidP="00920B68">
            <w:pPr>
              <w:spacing w:line="259" w:lineRule="auto"/>
              <w:ind w:left="59"/>
              <w:jc w:val="left"/>
              <w:rPr>
                <w:sz w:val="16"/>
                <w:szCs w:val="16"/>
              </w:rPr>
            </w:pPr>
            <w:r>
              <w:rPr>
                <w:sz w:val="18"/>
                <w:szCs w:val="18"/>
              </w:rPr>
              <w:t>303032</w:t>
            </w:r>
          </w:p>
        </w:tc>
        <w:tc>
          <w:tcPr>
            <w:tcW w:w="739" w:type="dxa"/>
            <w:tcBorders>
              <w:top w:val="single" w:sz="2" w:space="0" w:color="000000"/>
              <w:left w:val="single" w:sz="2" w:space="0" w:color="000000"/>
              <w:bottom w:val="single" w:sz="2" w:space="0" w:color="000000"/>
              <w:right w:val="single" w:sz="2" w:space="0" w:color="000000"/>
            </w:tcBorders>
            <w:vAlign w:val="center"/>
          </w:tcPr>
          <w:p w14:paraId="6A5EC620" w14:textId="77777777" w:rsidR="00920B68" w:rsidRPr="00634E4C" w:rsidRDefault="00920B68" w:rsidP="00920B68">
            <w:pPr>
              <w:spacing w:line="259" w:lineRule="auto"/>
              <w:ind w:left="59"/>
              <w:jc w:val="left"/>
              <w:rPr>
                <w:rFonts w:ascii="Calibri" w:hAnsi="Calibri"/>
                <w:sz w:val="20"/>
              </w:rPr>
            </w:pPr>
            <w:r>
              <w:rPr>
                <w:sz w:val="18"/>
                <w:szCs w:val="18"/>
              </w:rPr>
              <w:t>310432</w:t>
            </w:r>
          </w:p>
        </w:tc>
        <w:tc>
          <w:tcPr>
            <w:tcW w:w="743" w:type="dxa"/>
            <w:tcBorders>
              <w:top w:val="single" w:sz="2" w:space="0" w:color="000000"/>
              <w:left w:val="single" w:sz="2" w:space="0" w:color="000000"/>
              <w:bottom w:val="single" w:sz="2" w:space="0" w:color="000000"/>
              <w:right w:val="single" w:sz="2" w:space="0" w:color="000000"/>
            </w:tcBorders>
            <w:vAlign w:val="center"/>
          </w:tcPr>
          <w:p w14:paraId="50E3B1E2" w14:textId="77777777" w:rsidR="00920B68" w:rsidRPr="00634E4C" w:rsidRDefault="00920B68" w:rsidP="00920B68">
            <w:pPr>
              <w:spacing w:line="259" w:lineRule="auto"/>
              <w:jc w:val="left"/>
              <w:rPr>
                <w:rFonts w:asciiTheme="majorHAnsi" w:hAnsiTheme="majorHAnsi"/>
                <w:sz w:val="18"/>
              </w:rPr>
            </w:pPr>
            <w:r>
              <w:rPr>
                <w:rFonts w:asciiTheme="majorHAnsi" w:hAnsiTheme="majorHAnsi"/>
                <w:sz w:val="18"/>
                <w:szCs w:val="18"/>
              </w:rPr>
              <w:t>282686</w:t>
            </w:r>
          </w:p>
        </w:tc>
        <w:tc>
          <w:tcPr>
            <w:tcW w:w="742" w:type="dxa"/>
            <w:tcBorders>
              <w:top w:val="single" w:sz="2" w:space="0" w:color="000000"/>
              <w:left w:val="single" w:sz="2" w:space="0" w:color="000000"/>
              <w:bottom w:val="single" w:sz="2" w:space="0" w:color="000000"/>
              <w:right w:val="single" w:sz="2" w:space="0" w:color="000000"/>
            </w:tcBorders>
            <w:vAlign w:val="center"/>
          </w:tcPr>
          <w:p w14:paraId="4A2C1965" w14:textId="77777777" w:rsidR="00920B68" w:rsidRPr="00634E4C" w:rsidRDefault="00920B68" w:rsidP="00920B68">
            <w:pPr>
              <w:spacing w:line="259" w:lineRule="auto"/>
              <w:jc w:val="left"/>
              <w:rPr>
                <w:rFonts w:asciiTheme="majorHAnsi" w:hAnsiTheme="majorHAnsi"/>
                <w:sz w:val="18"/>
              </w:rPr>
            </w:pPr>
            <w:r>
              <w:rPr>
                <w:rFonts w:asciiTheme="majorHAnsi" w:hAnsiTheme="majorHAnsi"/>
                <w:sz w:val="18"/>
                <w:szCs w:val="18"/>
              </w:rPr>
              <w:t>231263</w:t>
            </w:r>
          </w:p>
        </w:tc>
        <w:tc>
          <w:tcPr>
            <w:tcW w:w="742" w:type="dxa"/>
            <w:tcBorders>
              <w:top w:val="single" w:sz="2" w:space="0" w:color="000000"/>
              <w:left w:val="single" w:sz="2" w:space="0" w:color="000000"/>
              <w:bottom w:val="single" w:sz="2" w:space="0" w:color="000000"/>
              <w:right w:val="single" w:sz="2" w:space="0" w:color="000000"/>
            </w:tcBorders>
            <w:vAlign w:val="center"/>
          </w:tcPr>
          <w:p w14:paraId="18D71FEB" w14:textId="77777777" w:rsidR="00920B68" w:rsidRPr="00634E4C" w:rsidRDefault="00920B68" w:rsidP="00920B68">
            <w:pPr>
              <w:spacing w:line="259" w:lineRule="auto"/>
              <w:ind w:left="59"/>
              <w:jc w:val="left"/>
              <w:rPr>
                <w:rFonts w:asciiTheme="majorHAnsi" w:hAnsiTheme="majorHAnsi"/>
                <w:sz w:val="18"/>
              </w:rPr>
            </w:pPr>
            <w:r>
              <w:rPr>
                <w:rFonts w:asciiTheme="majorHAnsi" w:hAnsiTheme="majorHAnsi"/>
                <w:sz w:val="18"/>
                <w:szCs w:val="18"/>
              </w:rPr>
              <w:t>176617</w:t>
            </w:r>
          </w:p>
        </w:tc>
        <w:tc>
          <w:tcPr>
            <w:tcW w:w="745" w:type="dxa"/>
            <w:tcBorders>
              <w:top w:val="single" w:sz="2" w:space="0" w:color="000000"/>
              <w:left w:val="single" w:sz="2" w:space="0" w:color="000000"/>
              <w:bottom w:val="single" w:sz="2" w:space="0" w:color="000000"/>
              <w:right w:val="single" w:sz="2" w:space="0" w:color="000000"/>
            </w:tcBorders>
            <w:vAlign w:val="center"/>
          </w:tcPr>
          <w:p w14:paraId="0FF04740" w14:textId="77777777" w:rsidR="00920B68" w:rsidRPr="00634E4C" w:rsidRDefault="00920B68" w:rsidP="00920B68">
            <w:pPr>
              <w:spacing w:line="259" w:lineRule="auto"/>
              <w:ind w:left="59"/>
              <w:jc w:val="left"/>
              <w:rPr>
                <w:rFonts w:asciiTheme="majorHAnsi" w:hAnsiTheme="majorHAnsi"/>
                <w:sz w:val="18"/>
              </w:rPr>
            </w:pPr>
            <w:r>
              <w:rPr>
                <w:rFonts w:asciiTheme="majorHAnsi" w:hAnsiTheme="majorHAnsi"/>
                <w:sz w:val="18"/>
                <w:szCs w:val="18"/>
              </w:rPr>
              <w:t>117863</w:t>
            </w:r>
          </w:p>
        </w:tc>
        <w:tc>
          <w:tcPr>
            <w:tcW w:w="680" w:type="dxa"/>
            <w:tcBorders>
              <w:top w:val="single" w:sz="2" w:space="0" w:color="000000"/>
              <w:left w:val="single" w:sz="2" w:space="0" w:color="000000"/>
              <w:bottom w:val="single" w:sz="2" w:space="0" w:color="000000"/>
              <w:right w:val="single" w:sz="2" w:space="0" w:color="000000"/>
            </w:tcBorders>
            <w:vAlign w:val="center"/>
          </w:tcPr>
          <w:p w14:paraId="0FEA23AA" w14:textId="6FC60994" w:rsidR="00920B68" w:rsidRPr="00745926" w:rsidRDefault="00745926" w:rsidP="00920B68">
            <w:pPr>
              <w:spacing w:line="259" w:lineRule="auto"/>
              <w:jc w:val="left"/>
              <w:rPr>
                <w:rFonts w:asciiTheme="majorHAnsi" w:hAnsiTheme="majorHAnsi"/>
                <w:sz w:val="18"/>
                <w:szCs w:val="18"/>
              </w:rPr>
            </w:pPr>
            <w:r w:rsidRPr="00C50CEB">
              <w:rPr>
                <w:sz w:val="18"/>
              </w:rPr>
              <w:t>-64813</w:t>
            </w:r>
          </w:p>
        </w:tc>
      </w:tr>
      <w:tr w:rsidR="00920B68" w:rsidRPr="00364545" w14:paraId="315E4964" w14:textId="77777777" w:rsidTr="00745926">
        <w:trPr>
          <w:trHeight w:val="344"/>
        </w:trPr>
        <w:tc>
          <w:tcPr>
            <w:tcW w:w="1078" w:type="dxa"/>
            <w:tcBorders>
              <w:top w:val="single" w:sz="2" w:space="0" w:color="000000"/>
              <w:left w:val="single" w:sz="2" w:space="0" w:color="000000"/>
              <w:bottom w:val="single" w:sz="2" w:space="0" w:color="000000"/>
              <w:right w:val="single" w:sz="2" w:space="0" w:color="000000"/>
            </w:tcBorders>
            <w:shd w:val="clear" w:color="auto" w:fill="ECE6E2"/>
          </w:tcPr>
          <w:p w14:paraId="1D98DD94" w14:textId="77777777" w:rsidR="00920B68" w:rsidRPr="00364545" w:rsidRDefault="00920B68" w:rsidP="00920B68">
            <w:pPr>
              <w:spacing w:line="259" w:lineRule="auto"/>
              <w:jc w:val="left"/>
            </w:pPr>
            <w:r w:rsidRPr="00364545">
              <w:t>CH</w:t>
            </w:r>
            <w:r w:rsidRPr="00364545">
              <w:rPr>
                <w:vertAlign w:val="subscript"/>
              </w:rPr>
              <w:t>4</w:t>
            </w:r>
            <w:r w:rsidRPr="00364545">
              <w:t xml:space="preserve"> </w:t>
            </w:r>
            <w:r w:rsidRPr="00364545">
              <w:rPr>
                <w:sz w:val="18"/>
              </w:rPr>
              <w:t xml:space="preserve">excluding LULUCF </w:t>
            </w:r>
          </w:p>
        </w:tc>
        <w:tc>
          <w:tcPr>
            <w:tcW w:w="75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C793DF3" w14:textId="77777777" w:rsidR="00920B68" w:rsidRPr="00364545" w:rsidRDefault="00920B68" w:rsidP="00920B68">
            <w:pPr>
              <w:spacing w:line="259" w:lineRule="auto"/>
              <w:ind w:left="59"/>
              <w:jc w:val="left"/>
              <w:rPr>
                <w:sz w:val="16"/>
                <w:szCs w:val="16"/>
              </w:rPr>
            </w:pPr>
            <w:r>
              <w:rPr>
                <w:sz w:val="18"/>
                <w:szCs w:val="18"/>
              </w:rPr>
              <w:t>69161</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24A5C2F" w14:textId="77777777" w:rsidR="00920B68" w:rsidRPr="00364545" w:rsidRDefault="00920B68" w:rsidP="00920B68">
            <w:pPr>
              <w:spacing w:line="259" w:lineRule="auto"/>
              <w:ind w:left="59"/>
              <w:jc w:val="left"/>
              <w:rPr>
                <w:sz w:val="16"/>
                <w:szCs w:val="16"/>
              </w:rPr>
            </w:pPr>
            <w:r>
              <w:rPr>
                <w:sz w:val="18"/>
                <w:szCs w:val="18"/>
              </w:rPr>
              <w:t>70383</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BF46CD" w14:textId="77777777" w:rsidR="00920B68" w:rsidRPr="00364545" w:rsidRDefault="00920B68" w:rsidP="00920B68">
            <w:pPr>
              <w:spacing w:line="259" w:lineRule="auto"/>
              <w:ind w:left="59"/>
              <w:jc w:val="left"/>
              <w:rPr>
                <w:sz w:val="16"/>
                <w:szCs w:val="16"/>
              </w:rPr>
            </w:pPr>
            <w:r>
              <w:rPr>
                <w:sz w:val="18"/>
                <w:szCs w:val="18"/>
              </w:rPr>
              <w:t>68603</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A0BE423" w14:textId="77777777" w:rsidR="00920B68" w:rsidRPr="00364545" w:rsidRDefault="00920B68" w:rsidP="00920B68">
            <w:pPr>
              <w:spacing w:line="259" w:lineRule="auto"/>
              <w:ind w:left="59"/>
              <w:jc w:val="left"/>
              <w:rPr>
                <w:sz w:val="16"/>
                <w:szCs w:val="16"/>
              </w:rPr>
            </w:pPr>
            <w:r>
              <w:rPr>
                <w:sz w:val="18"/>
                <w:szCs w:val="18"/>
              </w:rPr>
              <w:t>63632</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3BFF5D" w14:textId="77777777" w:rsidR="00920B68" w:rsidRPr="00364545" w:rsidRDefault="00920B68" w:rsidP="00920B68">
            <w:pPr>
              <w:spacing w:line="259" w:lineRule="auto"/>
              <w:ind w:left="59"/>
              <w:jc w:val="left"/>
              <w:rPr>
                <w:sz w:val="16"/>
                <w:szCs w:val="16"/>
              </w:rPr>
            </w:pPr>
            <w:r>
              <w:rPr>
                <w:sz w:val="18"/>
                <w:szCs w:val="18"/>
              </w:rPr>
              <w:t>61663</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9C054CC" w14:textId="77777777" w:rsidR="00920B68" w:rsidRPr="00364545" w:rsidRDefault="00920B68" w:rsidP="00920B68">
            <w:pPr>
              <w:spacing w:line="259" w:lineRule="auto"/>
              <w:ind w:left="59"/>
              <w:jc w:val="left"/>
              <w:rPr>
                <w:sz w:val="16"/>
                <w:szCs w:val="16"/>
              </w:rPr>
            </w:pPr>
            <w:r>
              <w:rPr>
                <w:sz w:val="18"/>
                <w:szCs w:val="18"/>
              </w:rPr>
              <w:t>57862</w:t>
            </w:r>
          </w:p>
        </w:tc>
        <w:tc>
          <w:tcPr>
            <w:tcW w:w="73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281F0ED" w14:textId="77777777" w:rsidR="00920B68" w:rsidRPr="00364545" w:rsidRDefault="00920B68" w:rsidP="00920B68">
            <w:pPr>
              <w:spacing w:line="259" w:lineRule="auto"/>
              <w:ind w:left="59"/>
              <w:jc w:val="left"/>
              <w:rPr>
                <w:rFonts w:ascii="Calibri" w:hAnsi="Calibri"/>
                <w:sz w:val="20"/>
              </w:rPr>
            </w:pPr>
            <w:r>
              <w:rPr>
                <w:sz w:val="18"/>
                <w:szCs w:val="18"/>
              </w:rPr>
              <w:t>55740</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E046D44" w14:textId="77777777" w:rsidR="00920B68" w:rsidRPr="00634E4C" w:rsidRDefault="00920B68" w:rsidP="00920B68">
            <w:pPr>
              <w:spacing w:line="259" w:lineRule="auto"/>
              <w:ind w:left="59"/>
              <w:jc w:val="left"/>
              <w:rPr>
                <w:rFonts w:asciiTheme="majorHAnsi" w:hAnsiTheme="majorHAnsi"/>
                <w:sz w:val="18"/>
              </w:rPr>
            </w:pPr>
            <w:r w:rsidRPr="00634E4C">
              <w:rPr>
                <w:rFonts w:asciiTheme="majorHAnsi" w:hAnsiTheme="majorHAnsi"/>
                <w:sz w:val="18"/>
              </w:rPr>
              <w:t>52531</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AE0BA3F" w14:textId="77777777" w:rsidR="00920B68" w:rsidRPr="00634E4C" w:rsidRDefault="00920B68" w:rsidP="00920B68">
            <w:pPr>
              <w:spacing w:line="259" w:lineRule="auto"/>
              <w:ind w:left="59"/>
              <w:jc w:val="left"/>
              <w:rPr>
                <w:rFonts w:asciiTheme="majorHAnsi" w:hAnsiTheme="majorHAnsi"/>
                <w:sz w:val="18"/>
              </w:rPr>
            </w:pPr>
            <w:r w:rsidRPr="00634E4C">
              <w:rPr>
                <w:rFonts w:asciiTheme="majorHAnsi" w:hAnsiTheme="majorHAnsi"/>
                <w:sz w:val="18"/>
              </w:rPr>
              <w:t>47947</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A55D621" w14:textId="77777777" w:rsidR="00920B68" w:rsidRPr="00634E4C" w:rsidRDefault="00920B68" w:rsidP="00920B68">
            <w:pPr>
              <w:spacing w:line="259" w:lineRule="auto"/>
              <w:ind w:left="59"/>
              <w:jc w:val="left"/>
              <w:rPr>
                <w:rFonts w:asciiTheme="majorHAnsi" w:hAnsiTheme="majorHAnsi"/>
                <w:sz w:val="18"/>
              </w:rPr>
            </w:pPr>
            <w:r w:rsidRPr="00634E4C">
              <w:rPr>
                <w:rFonts w:asciiTheme="majorHAnsi" w:hAnsiTheme="majorHAnsi"/>
                <w:sz w:val="18"/>
              </w:rPr>
              <w:t>44507</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A04A8A0" w14:textId="77777777" w:rsidR="00920B68" w:rsidRPr="00634E4C" w:rsidRDefault="00920B68" w:rsidP="00920B68">
            <w:pPr>
              <w:spacing w:line="259" w:lineRule="auto"/>
              <w:ind w:left="59"/>
              <w:jc w:val="left"/>
              <w:rPr>
                <w:rFonts w:asciiTheme="majorHAnsi" w:hAnsiTheme="majorHAnsi"/>
                <w:sz w:val="18"/>
              </w:rPr>
            </w:pPr>
            <w:r w:rsidRPr="00634E4C">
              <w:rPr>
                <w:rFonts w:asciiTheme="majorHAnsi" w:hAnsiTheme="majorHAnsi"/>
                <w:sz w:val="18"/>
              </w:rPr>
              <w:t>41496</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FC5C68A" w14:textId="0717C5A0" w:rsidR="00920B68" w:rsidRPr="00745926" w:rsidRDefault="00745926" w:rsidP="00920B68">
            <w:pPr>
              <w:spacing w:line="259" w:lineRule="auto"/>
              <w:ind w:left="59"/>
              <w:jc w:val="left"/>
              <w:rPr>
                <w:rFonts w:asciiTheme="majorHAnsi" w:hAnsiTheme="majorHAnsi"/>
                <w:sz w:val="18"/>
              </w:rPr>
            </w:pPr>
            <w:r w:rsidRPr="00C50CEB">
              <w:rPr>
                <w:sz w:val="18"/>
              </w:rPr>
              <w:t>32465</w:t>
            </w:r>
          </w:p>
        </w:tc>
      </w:tr>
      <w:tr w:rsidR="00745926" w:rsidRPr="00364545" w14:paraId="53586C05" w14:textId="77777777" w:rsidTr="00745926">
        <w:trPr>
          <w:trHeight w:val="347"/>
        </w:trPr>
        <w:tc>
          <w:tcPr>
            <w:tcW w:w="1078" w:type="dxa"/>
            <w:tcBorders>
              <w:top w:val="single" w:sz="2" w:space="0" w:color="000000"/>
              <w:left w:val="single" w:sz="2" w:space="0" w:color="000000"/>
              <w:bottom w:val="single" w:sz="2" w:space="0" w:color="000000"/>
              <w:right w:val="single" w:sz="2" w:space="0" w:color="000000"/>
            </w:tcBorders>
          </w:tcPr>
          <w:p w14:paraId="09325015" w14:textId="77777777" w:rsidR="00745926" w:rsidRPr="00364545" w:rsidRDefault="00745926" w:rsidP="00745926">
            <w:pPr>
              <w:spacing w:line="259" w:lineRule="auto"/>
              <w:jc w:val="left"/>
            </w:pPr>
            <w:r w:rsidRPr="00364545">
              <w:t>CH</w:t>
            </w:r>
            <w:r w:rsidRPr="00364545">
              <w:rPr>
                <w:vertAlign w:val="subscript"/>
              </w:rPr>
              <w:t>4</w:t>
            </w:r>
            <w:r w:rsidRPr="00364545">
              <w:t xml:space="preserve"> </w:t>
            </w:r>
            <w:r w:rsidRPr="00364545">
              <w:rPr>
                <w:sz w:val="18"/>
              </w:rPr>
              <w:t xml:space="preserve">with LULUCF </w:t>
            </w:r>
          </w:p>
        </w:tc>
        <w:tc>
          <w:tcPr>
            <w:tcW w:w="754" w:type="dxa"/>
            <w:tcBorders>
              <w:top w:val="single" w:sz="2" w:space="0" w:color="000000"/>
              <w:left w:val="single" w:sz="2" w:space="0" w:color="000000"/>
              <w:bottom w:val="single" w:sz="2" w:space="0" w:color="000000"/>
              <w:right w:val="single" w:sz="2" w:space="0" w:color="000000"/>
            </w:tcBorders>
            <w:vAlign w:val="center"/>
          </w:tcPr>
          <w:p w14:paraId="6A36E56E" w14:textId="77777777" w:rsidR="00745926" w:rsidRPr="00364545" w:rsidRDefault="00745926" w:rsidP="00745926">
            <w:pPr>
              <w:spacing w:line="259" w:lineRule="auto"/>
              <w:ind w:left="59"/>
              <w:jc w:val="left"/>
              <w:rPr>
                <w:sz w:val="16"/>
                <w:szCs w:val="16"/>
              </w:rPr>
            </w:pPr>
            <w:r>
              <w:rPr>
                <w:sz w:val="18"/>
                <w:szCs w:val="18"/>
              </w:rPr>
              <w:t>70094</w:t>
            </w:r>
          </w:p>
        </w:tc>
        <w:tc>
          <w:tcPr>
            <w:tcW w:w="743" w:type="dxa"/>
            <w:tcBorders>
              <w:top w:val="single" w:sz="2" w:space="0" w:color="000000"/>
              <w:left w:val="single" w:sz="2" w:space="0" w:color="000000"/>
              <w:bottom w:val="single" w:sz="2" w:space="0" w:color="000000"/>
              <w:right w:val="single" w:sz="2" w:space="0" w:color="000000"/>
            </w:tcBorders>
            <w:vAlign w:val="center"/>
          </w:tcPr>
          <w:p w14:paraId="570CA8D1" w14:textId="77777777" w:rsidR="00745926" w:rsidRPr="00364545" w:rsidRDefault="00745926" w:rsidP="00745926">
            <w:pPr>
              <w:spacing w:line="259" w:lineRule="auto"/>
              <w:ind w:left="59"/>
              <w:jc w:val="left"/>
              <w:rPr>
                <w:sz w:val="16"/>
                <w:szCs w:val="16"/>
              </w:rPr>
            </w:pPr>
            <w:r>
              <w:rPr>
                <w:sz w:val="18"/>
                <w:szCs w:val="18"/>
              </w:rPr>
              <w:t>74053</w:t>
            </w:r>
          </w:p>
        </w:tc>
        <w:tc>
          <w:tcPr>
            <w:tcW w:w="742" w:type="dxa"/>
            <w:tcBorders>
              <w:top w:val="single" w:sz="2" w:space="0" w:color="000000"/>
              <w:left w:val="single" w:sz="2" w:space="0" w:color="000000"/>
              <w:bottom w:val="single" w:sz="2" w:space="0" w:color="000000"/>
              <w:right w:val="single" w:sz="2" w:space="0" w:color="000000"/>
            </w:tcBorders>
            <w:vAlign w:val="center"/>
          </w:tcPr>
          <w:p w14:paraId="1BB53D6F" w14:textId="77777777" w:rsidR="00745926" w:rsidRPr="00364545" w:rsidRDefault="00745926" w:rsidP="00745926">
            <w:pPr>
              <w:spacing w:line="259" w:lineRule="auto"/>
              <w:ind w:left="59"/>
              <w:jc w:val="left"/>
              <w:rPr>
                <w:sz w:val="16"/>
                <w:szCs w:val="16"/>
              </w:rPr>
            </w:pPr>
            <w:r>
              <w:rPr>
                <w:sz w:val="18"/>
                <w:szCs w:val="18"/>
              </w:rPr>
              <w:t>70296</w:t>
            </w:r>
          </w:p>
        </w:tc>
        <w:tc>
          <w:tcPr>
            <w:tcW w:w="742" w:type="dxa"/>
            <w:tcBorders>
              <w:top w:val="single" w:sz="2" w:space="0" w:color="000000"/>
              <w:left w:val="single" w:sz="2" w:space="0" w:color="000000"/>
              <w:bottom w:val="single" w:sz="2" w:space="0" w:color="000000"/>
              <w:right w:val="single" w:sz="2" w:space="0" w:color="000000"/>
            </w:tcBorders>
            <w:vAlign w:val="center"/>
          </w:tcPr>
          <w:p w14:paraId="13028732" w14:textId="77777777" w:rsidR="00745926" w:rsidRPr="00364545" w:rsidRDefault="00745926" w:rsidP="00745926">
            <w:pPr>
              <w:spacing w:line="259" w:lineRule="auto"/>
              <w:ind w:left="59"/>
              <w:jc w:val="left"/>
              <w:rPr>
                <w:sz w:val="16"/>
                <w:szCs w:val="16"/>
              </w:rPr>
            </w:pPr>
            <w:r>
              <w:rPr>
                <w:sz w:val="18"/>
                <w:szCs w:val="18"/>
              </w:rPr>
              <w:t>64820</w:t>
            </w:r>
          </w:p>
        </w:tc>
        <w:tc>
          <w:tcPr>
            <w:tcW w:w="745" w:type="dxa"/>
            <w:tcBorders>
              <w:top w:val="single" w:sz="2" w:space="0" w:color="000000"/>
              <w:left w:val="single" w:sz="2" w:space="0" w:color="000000"/>
              <w:bottom w:val="single" w:sz="2" w:space="0" w:color="000000"/>
              <w:right w:val="single" w:sz="2" w:space="0" w:color="000000"/>
            </w:tcBorders>
            <w:vAlign w:val="center"/>
          </w:tcPr>
          <w:p w14:paraId="630941A8" w14:textId="77777777" w:rsidR="00745926" w:rsidRPr="00364545" w:rsidRDefault="00745926" w:rsidP="00745926">
            <w:pPr>
              <w:spacing w:line="259" w:lineRule="auto"/>
              <w:ind w:left="59"/>
              <w:jc w:val="left"/>
              <w:rPr>
                <w:sz w:val="16"/>
                <w:szCs w:val="16"/>
              </w:rPr>
            </w:pPr>
            <w:r>
              <w:rPr>
                <w:sz w:val="18"/>
                <w:szCs w:val="18"/>
              </w:rPr>
              <w:t>62793</w:t>
            </w:r>
          </w:p>
        </w:tc>
        <w:tc>
          <w:tcPr>
            <w:tcW w:w="742" w:type="dxa"/>
            <w:tcBorders>
              <w:top w:val="single" w:sz="2" w:space="0" w:color="000000"/>
              <w:left w:val="single" w:sz="2" w:space="0" w:color="000000"/>
              <w:bottom w:val="single" w:sz="2" w:space="0" w:color="000000"/>
              <w:right w:val="single" w:sz="2" w:space="0" w:color="000000"/>
            </w:tcBorders>
            <w:vAlign w:val="center"/>
          </w:tcPr>
          <w:p w14:paraId="7528C895" w14:textId="77777777" w:rsidR="00745926" w:rsidRPr="00364545" w:rsidRDefault="00745926" w:rsidP="00745926">
            <w:pPr>
              <w:spacing w:line="259" w:lineRule="auto"/>
              <w:ind w:left="59"/>
              <w:jc w:val="left"/>
              <w:rPr>
                <w:sz w:val="16"/>
                <w:szCs w:val="16"/>
              </w:rPr>
            </w:pPr>
            <w:r>
              <w:rPr>
                <w:sz w:val="18"/>
                <w:szCs w:val="18"/>
              </w:rPr>
              <w:t>58940</w:t>
            </w:r>
          </w:p>
        </w:tc>
        <w:tc>
          <w:tcPr>
            <w:tcW w:w="739" w:type="dxa"/>
            <w:tcBorders>
              <w:top w:val="single" w:sz="2" w:space="0" w:color="000000"/>
              <w:left w:val="single" w:sz="2" w:space="0" w:color="000000"/>
              <w:bottom w:val="single" w:sz="2" w:space="0" w:color="000000"/>
              <w:right w:val="single" w:sz="2" w:space="0" w:color="000000"/>
            </w:tcBorders>
            <w:vAlign w:val="center"/>
          </w:tcPr>
          <w:p w14:paraId="38A3F451" w14:textId="77777777" w:rsidR="00745926" w:rsidRPr="00364545" w:rsidRDefault="00745926" w:rsidP="00745926">
            <w:pPr>
              <w:spacing w:line="259" w:lineRule="auto"/>
              <w:ind w:left="59"/>
              <w:jc w:val="left"/>
              <w:rPr>
                <w:rFonts w:ascii="Calibri" w:hAnsi="Calibri"/>
                <w:sz w:val="20"/>
              </w:rPr>
            </w:pPr>
            <w:r>
              <w:rPr>
                <w:sz w:val="18"/>
                <w:szCs w:val="18"/>
              </w:rPr>
              <w:t>56877</w:t>
            </w:r>
          </w:p>
        </w:tc>
        <w:tc>
          <w:tcPr>
            <w:tcW w:w="743" w:type="dxa"/>
            <w:tcBorders>
              <w:top w:val="single" w:sz="2" w:space="0" w:color="000000"/>
              <w:left w:val="single" w:sz="2" w:space="0" w:color="000000"/>
              <w:bottom w:val="single" w:sz="2" w:space="0" w:color="000000"/>
              <w:right w:val="single" w:sz="2" w:space="0" w:color="000000"/>
            </w:tcBorders>
            <w:vAlign w:val="center"/>
          </w:tcPr>
          <w:p w14:paraId="04E08864"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53671</w:t>
            </w:r>
          </w:p>
        </w:tc>
        <w:tc>
          <w:tcPr>
            <w:tcW w:w="742" w:type="dxa"/>
            <w:tcBorders>
              <w:top w:val="single" w:sz="2" w:space="0" w:color="000000"/>
              <w:left w:val="single" w:sz="2" w:space="0" w:color="000000"/>
              <w:bottom w:val="single" w:sz="2" w:space="0" w:color="000000"/>
              <w:right w:val="single" w:sz="2" w:space="0" w:color="000000"/>
            </w:tcBorders>
            <w:vAlign w:val="center"/>
          </w:tcPr>
          <w:p w14:paraId="34DD2A50"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49093</w:t>
            </w:r>
          </w:p>
        </w:tc>
        <w:tc>
          <w:tcPr>
            <w:tcW w:w="742" w:type="dxa"/>
            <w:tcBorders>
              <w:top w:val="single" w:sz="2" w:space="0" w:color="000000"/>
              <w:left w:val="single" w:sz="2" w:space="0" w:color="000000"/>
              <w:bottom w:val="single" w:sz="2" w:space="0" w:color="000000"/>
              <w:right w:val="single" w:sz="2" w:space="0" w:color="000000"/>
            </w:tcBorders>
            <w:vAlign w:val="center"/>
          </w:tcPr>
          <w:p w14:paraId="23AD0B91"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45641</w:t>
            </w:r>
          </w:p>
        </w:tc>
        <w:tc>
          <w:tcPr>
            <w:tcW w:w="745" w:type="dxa"/>
            <w:tcBorders>
              <w:top w:val="single" w:sz="2" w:space="0" w:color="000000"/>
              <w:left w:val="single" w:sz="2" w:space="0" w:color="000000"/>
              <w:bottom w:val="single" w:sz="2" w:space="0" w:color="000000"/>
              <w:right w:val="single" w:sz="2" w:space="0" w:color="000000"/>
            </w:tcBorders>
            <w:vAlign w:val="center"/>
          </w:tcPr>
          <w:p w14:paraId="40A17E9C"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42610</w:t>
            </w:r>
          </w:p>
        </w:tc>
        <w:tc>
          <w:tcPr>
            <w:tcW w:w="680" w:type="dxa"/>
            <w:tcBorders>
              <w:top w:val="single" w:sz="2" w:space="0" w:color="000000"/>
              <w:left w:val="single" w:sz="2" w:space="0" w:color="000000"/>
              <w:bottom w:val="single" w:sz="2" w:space="0" w:color="000000"/>
              <w:right w:val="single" w:sz="2" w:space="0" w:color="000000"/>
            </w:tcBorders>
            <w:vAlign w:val="center"/>
          </w:tcPr>
          <w:p w14:paraId="0E8304B6" w14:textId="144DFD0E" w:rsidR="00745926" w:rsidRPr="00745926" w:rsidRDefault="00745926" w:rsidP="00745926">
            <w:pPr>
              <w:spacing w:line="259" w:lineRule="auto"/>
              <w:ind w:left="59"/>
              <w:jc w:val="left"/>
              <w:rPr>
                <w:rFonts w:asciiTheme="majorHAnsi" w:hAnsiTheme="majorHAnsi"/>
                <w:sz w:val="18"/>
              </w:rPr>
            </w:pPr>
            <w:r w:rsidRPr="00C50CEB">
              <w:rPr>
                <w:sz w:val="18"/>
              </w:rPr>
              <w:t>33519</w:t>
            </w:r>
          </w:p>
        </w:tc>
      </w:tr>
      <w:tr w:rsidR="00745926" w:rsidRPr="00364545" w14:paraId="78A84A84" w14:textId="77777777" w:rsidTr="00745926">
        <w:trPr>
          <w:trHeight w:val="342"/>
        </w:trPr>
        <w:tc>
          <w:tcPr>
            <w:tcW w:w="1078" w:type="dxa"/>
            <w:tcBorders>
              <w:top w:val="single" w:sz="2" w:space="0" w:color="000000"/>
              <w:left w:val="single" w:sz="2" w:space="0" w:color="000000"/>
              <w:bottom w:val="single" w:sz="2" w:space="0" w:color="000000"/>
              <w:right w:val="single" w:sz="2" w:space="0" w:color="000000"/>
            </w:tcBorders>
            <w:shd w:val="clear" w:color="auto" w:fill="ECE6E2"/>
          </w:tcPr>
          <w:p w14:paraId="0234D49C" w14:textId="77777777" w:rsidR="00745926" w:rsidRPr="00364545" w:rsidRDefault="00745926" w:rsidP="00745926">
            <w:pPr>
              <w:spacing w:line="259" w:lineRule="auto"/>
              <w:jc w:val="left"/>
            </w:pPr>
            <w:r w:rsidRPr="00364545">
              <w:t>N2</w:t>
            </w:r>
            <w:r w:rsidRPr="00364545">
              <w:rPr>
                <w:vertAlign w:val="subscript"/>
              </w:rPr>
              <w:t>O</w:t>
            </w:r>
            <w:r w:rsidRPr="00364545">
              <w:t xml:space="preserve"> </w:t>
            </w:r>
            <w:r w:rsidRPr="00364545">
              <w:rPr>
                <w:sz w:val="18"/>
              </w:rPr>
              <w:t xml:space="preserve">excluding LULUCF </w:t>
            </w:r>
          </w:p>
        </w:tc>
        <w:tc>
          <w:tcPr>
            <w:tcW w:w="75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FCD2184" w14:textId="77777777" w:rsidR="00745926" w:rsidRPr="00364545" w:rsidRDefault="00745926" w:rsidP="00745926">
            <w:pPr>
              <w:spacing w:line="259" w:lineRule="auto"/>
              <w:ind w:left="59"/>
              <w:jc w:val="left"/>
              <w:rPr>
                <w:sz w:val="16"/>
                <w:szCs w:val="16"/>
              </w:rPr>
            </w:pPr>
            <w:r>
              <w:rPr>
                <w:sz w:val="18"/>
                <w:szCs w:val="18"/>
              </w:rPr>
              <w:t>64725</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B8B8B50" w14:textId="77777777" w:rsidR="00745926" w:rsidRPr="00364545" w:rsidRDefault="00745926" w:rsidP="00745926">
            <w:pPr>
              <w:spacing w:line="259" w:lineRule="auto"/>
              <w:ind w:left="59"/>
              <w:jc w:val="left"/>
              <w:rPr>
                <w:sz w:val="16"/>
                <w:szCs w:val="16"/>
              </w:rPr>
            </w:pPr>
            <w:r>
              <w:rPr>
                <w:sz w:val="18"/>
                <w:szCs w:val="18"/>
              </w:rPr>
              <w:t>65937</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36C5C0B" w14:textId="77777777" w:rsidR="00745926" w:rsidRPr="00364545" w:rsidRDefault="00745926" w:rsidP="00745926">
            <w:pPr>
              <w:spacing w:line="259" w:lineRule="auto"/>
              <w:ind w:left="59"/>
              <w:jc w:val="left"/>
              <w:rPr>
                <w:sz w:val="16"/>
                <w:szCs w:val="16"/>
              </w:rPr>
            </w:pPr>
            <w:r>
              <w:rPr>
                <w:sz w:val="18"/>
                <w:szCs w:val="18"/>
              </w:rPr>
              <w:t>53681</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1405FD" w14:textId="77777777" w:rsidR="00745926" w:rsidRPr="00364545" w:rsidRDefault="00745926" w:rsidP="00745926">
            <w:pPr>
              <w:spacing w:line="259" w:lineRule="auto"/>
              <w:ind w:left="59"/>
              <w:jc w:val="left"/>
              <w:rPr>
                <w:sz w:val="16"/>
                <w:szCs w:val="16"/>
              </w:rPr>
            </w:pPr>
            <w:r>
              <w:rPr>
                <w:sz w:val="18"/>
                <w:szCs w:val="18"/>
              </w:rPr>
              <w:t>46307</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E367547" w14:textId="77777777" w:rsidR="00745926" w:rsidRPr="00364545" w:rsidRDefault="00745926" w:rsidP="00745926">
            <w:pPr>
              <w:spacing w:line="259" w:lineRule="auto"/>
              <w:ind w:left="59"/>
              <w:jc w:val="left"/>
              <w:rPr>
                <w:sz w:val="16"/>
                <w:szCs w:val="16"/>
              </w:rPr>
            </w:pPr>
            <w:r>
              <w:rPr>
                <w:sz w:val="18"/>
                <w:szCs w:val="18"/>
              </w:rPr>
              <w:t>40478</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3E11BD" w14:textId="77777777" w:rsidR="00745926" w:rsidRPr="00364545" w:rsidRDefault="00745926" w:rsidP="00745926">
            <w:pPr>
              <w:spacing w:line="259" w:lineRule="auto"/>
              <w:ind w:left="59"/>
              <w:jc w:val="left"/>
              <w:rPr>
                <w:sz w:val="16"/>
                <w:szCs w:val="16"/>
              </w:rPr>
            </w:pPr>
            <w:r>
              <w:rPr>
                <w:sz w:val="18"/>
                <w:szCs w:val="18"/>
              </w:rPr>
              <w:t>39895</w:t>
            </w:r>
          </w:p>
        </w:tc>
        <w:tc>
          <w:tcPr>
            <w:tcW w:w="73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3B5D8B" w14:textId="77777777" w:rsidR="00745926" w:rsidRPr="00364545" w:rsidRDefault="00745926" w:rsidP="00745926">
            <w:pPr>
              <w:spacing w:line="259" w:lineRule="auto"/>
              <w:ind w:left="59"/>
              <w:jc w:val="left"/>
              <w:rPr>
                <w:rFonts w:ascii="Calibri" w:hAnsi="Calibri"/>
                <w:sz w:val="20"/>
              </w:rPr>
            </w:pPr>
            <w:r>
              <w:rPr>
                <w:sz w:val="18"/>
                <w:szCs w:val="18"/>
              </w:rPr>
              <w:t>38071</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2808E31"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40268</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DBA879"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37693</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DDAE60D"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35559</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1B86521"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33721</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0C65BF" w14:textId="1D612E8A" w:rsidR="00745926" w:rsidRPr="00745926" w:rsidRDefault="00745926" w:rsidP="00745926">
            <w:pPr>
              <w:spacing w:line="259" w:lineRule="auto"/>
              <w:ind w:left="59"/>
              <w:jc w:val="left"/>
              <w:rPr>
                <w:rFonts w:asciiTheme="majorHAnsi" w:hAnsiTheme="majorHAnsi"/>
                <w:sz w:val="18"/>
              </w:rPr>
            </w:pPr>
            <w:r w:rsidRPr="00C50CEB">
              <w:rPr>
                <w:sz w:val="18"/>
              </w:rPr>
              <w:t>22856</w:t>
            </w:r>
          </w:p>
        </w:tc>
      </w:tr>
      <w:tr w:rsidR="00745926" w:rsidRPr="00364545" w14:paraId="3D61BDF5" w14:textId="77777777" w:rsidTr="00745926">
        <w:trPr>
          <w:trHeight w:val="347"/>
        </w:trPr>
        <w:tc>
          <w:tcPr>
            <w:tcW w:w="1078" w:type="dxa"/>
            <w:tcBorders>
              <w:top w:val="single" w:sz="2" w:space="0" w:color="000000"/>
              <w:left w:val="single" w:sz="2" w:space="0" w:color="000000"/>
              <w:bottom w:val="single" w:sz="2" w:space="0" w:color="000000"/>
              <w:right w:val="single" w:sz="2" w:space="0" w:color="000000"/>
            </w:tcBorders>
          </w:tcPr>
          <w:p w14:paraId="6B3FAD00" w14:textId="77777777" w:rsidR="00745926" w:rsidRPr="00364545" w:rsidRDefault="00745926" w:rsidP="00745926">
            <w:pPr>
              <w:spacing w:line="259" w:lineRule="auto"/>
              <w:jc w:val="left"/>
            </w:pPr>
            <w:r w:rsidRPr="00364545">
              <w:t>N2</w:t>
            </w:r>
            <w:r w:rsidRPr="00364545">
              <w:rPr>
                <w:vertAlign w:val="subscript"/>
              </w:rPr>
              <w:t>O</w:t>
            </w:r>
            <w:r w:rsidRPr="00364545">
              <w:t xml:space="preserve"> </w:t>
            </w:r>
            <w:r w:rsidRPr="00364545">
              <w:rPr>
                <w:sz w:val="18"/>
              </w:rPr>
              <w:t xml:space="preserve">with LULUCF </w:t>
            </w:r>
          </w:p>
        </w:tc>
        <w:tc>
          <w:tcPr>
            <w:tcW w:w="754" w:type="dxa"/>
            <w:tcBorders>
              <w:top w:val="single" w:sz="2" w:space="0" w:color="000000"/>
              <w:left w:val="single" w:sz="2" w:space="0" w:color="000000"/>
              <w:bottom w:val="single" w:sz="2" w:space="0" w:color="000000"/>
              <w:right w:val="single" w:sz="2" w:space="0" w:color="000000"/>
            </w:tcBorders>
            <w:vAlign w:val="center"/>
          </w:tcPr>
          <w:p w14:paraId="04DCCD5E" w14:textId="77777777" w:rsidR="00745926" w:rsidRPr="00364545" w:rsidRDefault="00745926" w:rsidP="00745926">
            <w:pPr>
              <w:spacing w:line="259" w:lineRule="auto"/>
              <w:ind w:left="59"/>
              <w:jc w:val="left"/>
              <w:rPr>
                <w:sz w:val="16"/>
                <w:szCs w:val="16"/>
              </w:rPr>
            </w:pPr>
            <w:r>
              <w:rPr>
                <w:sz w:val="18"/>
                <w:szCs w:val="18"/>
              </w:rPr>
              <w:t>67951</w:t>
            </w:r>
          </w:p>
        </w:tc>
        <w:tc>
          <w:tcPr>
            <w:tcW w:w="743" w:type="dxa"/>
            <w:tcBorders>
              <w:top w:val="single" w:sz="2" w:space="0" w:color="000000"/>
              <w:left w:val="single" w:sz="2" w:space="0" w:color="000000"/>
              <w:bottom w:val="single" w:sz="2" w:space="0" w:color="000000"/>
              <w:right w:val="single" w:sz="2" w:space="0" w:color="000000"/>
            </w:tcBorders>
            <w:vAlign w:val="center"/>
          </w:tcPr>
          <w:p w14:paraId="25BF4613" w14:textId="77777777" w:rsidR="00745926" w:rsidRPr="00364545" w:rsidRDefault="00745926" w:rsidP="00745926">
            <w:pPr>
              <w:spacing w:line="259" w:lineRule="auto"/>
              <w:ind w:left="59"/>
              <w:jc w:val="left"/>
              <w:rPr>
                <w:sz w:val="16"/>
                <w:szCs w:val="16"/>
              </w:rPr>
            </w:pPr>
            <w:r>
              <w:rPr>
                <w:sz w:val="18"/>
                <w:szCs w:val="18"/>
              </w:rPr>
              <w:t>69183</w:t>
            </w:r>
          </w:p>
        </w:tc>
        <w:tc>
          <w:tcPr>
            <w:tcW w:w="742" w:type="dxa"/>
            <w:tcBorders>
              <w:top w:val="single" w:sz="2" w:space="0" w:color="000000"/>
              <w:left w:val="single" w:sz="2" w:space="0" w:color="000000"/>
              <w:bottom w:val="single" w:sz="2" w:space="0" w:color="000000"/>
              <w:right w:val="single" w:sz="2" w:space="0" w:color="000000"/>
            </w:tcBorders>
            <w:vAlign w:val="center"/>
          </w:tcPr>
          <w:p w14:paraId="35EFFFD9" w14:textId="77777777" w:rsidR="00745926" w:rsidRPr="00364545" w:rsidRDefault="00745926" w:rsidP="00745926">
            <w:pPr>
              <w:spacing w:line="259" w:lineRule="auto"/>
              <w:ind w:left="59"/>
              <w:jc w:val="left"/>
              <w:rPr>
                <w:sz w:val="16"/>
                <w:szCs w:val="16"/>
              </w:rPr>
            </w:pPr>
            <w:r>
              <w:rPr>
                <w:sz w:val="18"/>
                <w:szCs w:val="18"/>
              </w:rPr>
              <w:t>56873</w:t>
            </w:r>
          </w:p>
        </w:tc>
        <w:tc>
          <w:tcPr>
            <w:tcW w:w="742" w:type="dxa"/>
            <w:tcBorders>
              <w:top w:val="single" w:sz="2" w:space="0" w:color="000000"/>
              <w:left w:val="single" w:sz="2" w:space="0" w:color="000000"/>
              <w:bottom w:val="single" w:sz="2" w:space="0" w:color="000000"/>
              <w:right w:val="single" w:sz="2" w:space="0" w:color="000000"/>
            </w:tcBorders>
            <w:vAlign w:val="center"/>
          </w:tcPr>
          <w:p w14:paraId="53370378" w14:textId="77777777" w:rsidR="00745926" w:rsidRPr="00364545" w:rsidRDefault="00745926" w:rsidP="00745926">
            <w:pPr>
              <w:spacing w:line="259" w:lineRule="auto"/>
              <w:ind w:left="59"/>
              <w:jc w:val="left"/>
              <w:rPr>
                <w:sz w:val="16"/>
                <w:szCs w:val="16"/>
              </w:rPr>
            </w:pPr>
            <w:r>
              <w:rPr>
                <w:sz w:val="18"/>
                <w:szCs w:val="18"/>
              </w:rPr>
              <w:t>49279</w:t>
            </w:r>
          </w:p>
        </w:tc>
        <w:tc>
          <w:tcPr>
            <w:tcW w:w="745" w:type="dxa"/>
            <w:tcBorders>
              <w:top w:val="single" w:sz="2" w:space="0" w:color="000000"/>
              <w:left w:val="single" w:sz="2" w:space="0" w:color="000000"/>
              <w:bottom w:val="single" w:sz="2" w:space="0" w:color="000000"/>
              <w:right w:val="single" w:sz="2" w:space="0" w:color="000000"/>
            </w:tcBorders>
            <w:vAlign w:val="center"/>
          </w:tcPr>
          <w:p w14:paraId="008CF20E" w14:textId="77777777" w:rsidR="00745926" w:rsidRPr="00364545" w:rsidRDefault="00745926" w:rsidP="00745926">
            <w:pPr>
              <w:spacing w:line="259" w:lineRule="auto"/>
              <w:ind w:left="59"/>
              <w:jc w:val="left"/>
              <w:rPr>
                <w:sz w:val="16"/>
                <w:szCs w:val="16"/>
              </w:rPr>
            </w:pPr>
            <w:r>
              <w:rPr>
                <w:sz w:val="18"/>
                <w:szCs w:val="18"/>
              </w:rPr>
              <w:t>43694</w:t>
            </w:r>
          </w:p>
        </w:tc>
        <w:tc>
          <w:tcPr>
            <w:tcW w:w="742" w:type="dxa"/>
            <w:tcBorders>
              <w:top w:val="single" w:sz="2" w:space="0" w:color="000000"/>
              <w:left w:val="single" w:sz="2" w:space="0" w:color="000000"/>
              <w:bottom w:val="single" w:sz="2" w:space="0" w:color="000000"/>
              <w:right w:val="single" w:sz="2" w:space="0" w:color="000000"/>
            </w:tcBorders>
            <w:vAlign w:val="center"/>
          </w:tcPr>
          <w:p w14:paraId="3A2EC64C" w14:textId="77777777" w:rsidR="00745926" w:rsidRPr="00364545" w:rsidRDefault="00745926" w:rsidP="00745926">
            <w:pPr>
              <w:spacing w:line="259" w:lineRule="auto"/>
              <w:ind w:left="59"/>
              <w:jc w:val="left"/>
              <w:rPr>
                <w:sz w:val="16"/>
                <w:szCs w:val="16"/>
              </w:rPr>
            </w:pPr>
            <w:r>
              <w:rPr>
                <w:sz w:val="18"/>
                <w:szCs w:val="18"/>
              </w:rPr>
              <w:t>42840</w:t>
            </w:r>
          </w:p>
        </w:tc>
        <w:tc>
          <w:tcPr>
            <w:tcW w:w="739" w:type="dxa"/>
            <w:tcBorders>
              <w:top w:val="single" w:sz="2" w:space="0" w:color="000000"/>
              <w:left w:val="single" w:sz="2" w:space="0" w:color="000000"/>
              <w:bottom w:val="single" w:sz="2" w:space="0" w:color="000000"/>
              <w:right w:val="single" w:sz="2" w:space="0" w:color="000000"/>
            </w:tcBorders>
            <w:vAlign w:val="center"/>
          </w:tcPr>
          <w:p w14:paraId="2F7A28D4" w14:textId="77777777" w:rsidR="00745926" w:rsidRPr="00364545" w:rsidRDefault="00745926" w:rsidP="00745926">
            <w:pPr>
              <w:spacing w:line="259" w:lineRule="auto"/>
              <w:ind w:left="59"/>
              <w:jc w:val="left"/>
              <w:rPr>
                <w:rFonts w:ascii="Calibri" w:hAnsi="Calibri"/>
                <w:sz w:val="20"/>
              </w:rPr>
            </w:pPr>
            <w:r>
              <w:rPr>
                <w:sz w:val="18"/>
                <w:szCs w:val="18"/>
              </w:rPr>
              <w:t>40939</w:t>
            </w:r>
          </w:p>
        </w:tc>
        <w:tc>
          <w:tcPr>
            <w:tcW w:w="743" w:type="dxa"/>
            <w:tcBorders>
              <w:top w:val="single" w:sz="2" w:space="0" w:color="000000"/>
              <w:left w:val="single" w:sz="2" w:space="0" w:color="000000"/>
              <w:bottom w:val="single" w:sz="2" w:space="0" w:color="000000"/>
              <w:right w:val="single" w:sz="2" w:space="0" w:color="000000"/>
            </w:tcBorders>
            <w:vAlign w:val="center"/>
          </w:tcPr>
          <w:p w14:paraId="7C7D1C70"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43352</w:t>
            </w:r>
          </w:p>
        </w:tc>
        <w:tc>
          <w:tcPr>
            <w:tcW w:w="742" w:type="dxa"/>
            <w:tcBorders>
              <w:top w:val="single" w:sz="2" w:space="0" w:color="000000"/>
              <w:left w:val="single" w:sz="2" w:space="0" w:color="000000"/>
              <w:bottom w:val="single" w:sz="2" w:space="0" w:color="000000"/>
              <w:right w:val="single" w:sz="2" w:space="0" w:color="000000"/>
            </w:tcBorders>
            <w:vAlign w:val="center"/>
          </w:tcPr>
          <w:p w14:paraId="66B8E334"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40778</w:t>
            </w:r>
          </w:p>
        </w:tc>
        <w:tc>
          <w:tcPr>
            <w:tcW w:w="742" w:type="dxa"/>
            <w:tcBorders>
              <w:top w:val="single" w:sz="2" w:space="0" w:color="000000"/>
              <w:left w:val="single" w:sz="2" w:space="0" w:color="000000"/>
              <w:bottom w:val="single" w:sz="2" w:space="0" w:color="000000"/>
              <w:right w:val="single" w:sz="2" w:space="0" w:color="000000"/>
            </w:tcBorders>
            <w:vAlign w:val="center"/>
          </w:tcPr>
          <w:p w14:paraId="5DF13F18"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38641</w:t>
            </w:r>
          </w:p>
        </w:tc>
        <w:tc>
          <w:tcPr>
            <w:tcW w:w="745" w:type="dxa"/>
            <w:tcBorders>
              <w:top w:val="single" w:sz="2" w:space="0" w:color="000000"/>
              <w:left w:val="single" w:sz="2" w:space="0" w:color="000000"/>
              <w:bottom w:val="single" w:sz="2" w:space="0" w:color="000000"/>
              <w:right w:val="single" w:sz="2" w:space="0" w:color="000000"/>
            </w:tcBorders>
            <w:vAlign w:val="center"/>
          </w:tcPr>
          <w:p w14:paraId="0B0E6991"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36797</w:t>
            </w:r>
          </w:p>
        </w:tc>
        <w:tc>
          <w:tcPr>
            <w:tcW w:w="680" w:type="dxa"/>
            <w:tcBorders>
              <w:top w:val="single" w:sz="2" w:space="0" w:color="000000"/>
              <w:left w:val="single" w:sz="2" w:space="0" w:color="000000"/>
              <w:bottom w:val="single" w:sz="2" w:space="0" w:color="000000"/>
              <w:right w:val="single" w:sz="2" w:space="0" w:color="000000"/>
            </w:tcBorders>
            <w:vAlign w:val="center"/>
          </w:tcPr>
          <w:p w14:paraId="42F49E17" w14:textId="1070EF88" w:rsidR="00745926" w:rsidRPr="00745926" w:rsidRDefault="00745926" w:rsidP="00745926">
            <w:pPr>
              <w:spacing w:line="259" w:lineRule="auto"/>
              <w:ind w:left="59"/>
              <w:jc w:val="left"/>
              <w:rPr>
                <w:rFonts w:asciiTheme="majorHAnsi" w:hAnsiTheme="majorHAnsi"/>
                <w:sz w:val="18"/>
              </w:rPr>
            </w:pPr>
            <w:r w:rsidRPr="00C50CEB">
              <w:rPr>
                <w:sz w:val="18"/>
              </w:rPr>
              <w:t>25914</w:t>
            </w:r>
          </w:p>
        </w:tc>
      </w:tr>
      <w:tr w:rsidR="00745926" w:rsidRPr="00364545" w14:paraId="3C8A9B0B" w14:textId="77777777" w:rsidTr="00745926">
        <w:trPr>
          <w:trHeight w:val="344"/>
        </w:trPr>
        <w:tc>
          <w:tcPr>
            <w:tcW w:w="1078" w:type="dxa"/>
            <w:tcBorders>
              <w:top w:val="single" w:sz="2" w:space="0" w:color="000000"/>
              <w:left w:val="single" w:sz="2" w:space="0" w:color="000000"/>
              <w:bottom w:val="single" w:sz="2" w:space="0" w:color="000000"/>
              <w:right w:val="single" w:sz="2" w:space="0" w:color="000000"/>
            </w:tcBorders>
            <w:shd w:val="clear" w:color="auto" w:fill="ECE6E2"/>
          </w:tcPr>
          <w:p w14:paraId="69C14588" w14:textId="77777777" w:rsidR="00745926" w:rsidRPr="00364545" w:rsidRDefault="00745926" w:rsidP="00745926">
            <w:pPr>
              <w:spacing w:line="259" w:lineRule="auto"/>
              <w:jc w:val="left"/>
            </w:pPr>
            <w:r w:rsidRPr="00364545">
              <w:rPr>
                <w:sz w:val="18"/>
              </w:rPr>
              <w:t xml:space="preserve">HFCs </w:t>
            </w:r>
          </w:p>
        </w:tc>
        <w:tc>
          <w:tcPr>
            <w:tcW w:w="75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69550F7" w14:textId="77777777" w:rsidR="00745926" w:rsidRPr="00364545" w:rsidRDefault="00745926" w:rsidP="00745926">
            <w:pPr>
              <w:spacing w:line="259" w:lineRule="auto"/>
              <w:ind w:left="59"/>
              <w:jc w:val="left"/>
              <w:rPr>
                <w:sz w:val="16"/>
                <w:szCs w:val="16"/>
              </w:rPr>
            </w:pPr>
            <w:r>
              <w:rPr>
                <w:sz w:val="18"/>
                <w:szCs w:val="18"/>
              </w:rPr>
              <w:t>4402</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4FF66A" w14:textId="77777777" w:rsidR="00745926" w:rsidRPr="00364545" w:rsidRDefault="00745926" w:rsidP="00745926">
            <w:pPr>
              <w:spacing w:line="259" w:lineRule="auto"/>
              <w:ind w:left="59"/>
              <w:jc w:val="left"/>
              <w:rPr>
                <w:sz w:val="16"/>
                <w:szCs w:val="16"/>
              </w:rPr>
            </w:pPr>
            <w:r>
              <w:rPr>
                <w:sz w:val="18"/>
                <w:szCs w:val="18"/>
              </w:rPr>
              <w:t>1702</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BACFC74" w14:textId="77777777" w:rsidR="00745926" w:rsidRPr="00364545" w:rsidRDefault="00745926" w:rsidP="00745926">
            <w:pPr>
              <w:spacing w:line="259" w:lineRule="auto"/>
              <w:ind w:left="59"/>
              <w:jc w:val="left"/>
              <w:rPr>
                <w:sz w:val="16"/>
                <w:szCs w:val="16"/>
              </w:rPr>
            </w:pPr>
            <w:r>
              <w:rPr>
                <w:sz w:val="18"/>
                <w:szCs w:val="18"/>
              </w:rPr>
              <w:t>6736</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65DAD9B" w14:textId="77777777" w:rsidR="00745926" w:rsidRPr="00364545" w:rsidRDefault="00745926" w:rsidP="00745926">
            <w:pPr>
              <w:spacing w:line="259" w:lineRule="auto"/>
              <w:ind w:left="59"/>
              <w:jc w:val="left"/>
              <w:rPr>
                <w:sz w:val="16"/>
                <w:szCs w:val="16"/>
              </w:rPr>
            </w:pPr>
            <w:r>
              <w:rPr>
                <w:sz w:val="18"/>
                <w:szCs w:val="18"/>
              </w:rPr>
              <w:t>12862</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2D9E760" w14:textId="77777777" w:rsidR="00745926" w:rsidRPr="00364545" w:rsidRDefault="00745926" w:rsidP="00745926">
            <w:pPr>
              <w:spacing w:line="259" w:lineRule="auto"/>
              <w:ind w:left="59"/>
              <w:jc w:val="left"/>
              <w:rPr>
                <w:sz w:val="16"/>
                <w:szCs w:val="16"/>
              </w:rPr>
            </w:pPr>
            <w:r>
              <w:rPr>
                <w:sz w:val="18"/>
                <w:szCs w:val="18"/>
              </w:rPr>
              <w:t>16930</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8E4670" w14:textId="77777777" w:rsidR="00745926" w:rsidRPr="00364545" w:rsidRDefault="00745926" w:rsidP="00745926">
            <w:pPr>
              <w:spacing w:line="259" w:lineRule="auto"/>
              <w:ind w:left="59"/>
              <w:jc w:val="left"/>
              <w:rPr>
                <w:sz w:val="16"/>
                <w:szCs w:val="16"/>
              </w:rPr>
            </w:pPr>
            <w:r>
              <w:rPr>
                <w:sz w:val="18"/>
                <w:szCs w:val="18"/>
              </w:rPr>
              <w:t>17494</w:t>
            </w:r>
          </w:p>
        </w:tc>
        <w:tc>
          <w:tcPr>
            <w:tcW w:w="73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930F434" w14:textId="77777777" w:rsidR="00745926" w:rsidRPr="00364545" w:rsidRDefault="00745926" w:rsidP="00745926">
            <w:pPr>
              <w:spacing w:line="259" w:lineRule="auto"/>
              <w:ind w:left="59"/>
              <w:jc w:val="left"/>
              <w:rPr>
                <w:rFonts w:ascii="Calibri" w:hAnsi="Calibri"/>
                <w:sz w:val="20"/>
              </w:rPr>
            </w:pPr>
            <w:r>
              <w:rPr>
                <w:sz w:val="18"/>
                <w:szCs w:val="18"/>
              </w:rPr>
              <w:t>12992</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6154D9A"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14731</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A4ED733"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7995</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DA29997"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5241</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1EB1C6E"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4458</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AE9B59"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2109</w:t>
            </w:r>
          </w:p>
        </w:tc>
      </w:tr>
      <w:tr w:rsidR="00745926" w:rsidRPr="00364545" w14:paraId="596FD359" w14:textId="77777777" w:rsidTr="00745926">
        <w:trPr>
          <w:trHeight w:val="347"/>
        </w:trPr>
        <w:tc>
          <w:tcPr>
            <w:tcW w:w="1078" w:type="dxa"/>
            <w:tcBorders>
              <w:top w:val="single" w:sz="2" w:space="0" w:color="000000"/>
              <w:left w:val="single" w:sz="2" w:space="0" w:color="000000"/>
              <w:bottom w:val="single" w:sz="2" w:space="0" w:color="000000"/>
              <w:right w:val="single" w:sz="2" w:space="0" w:color="000000"/>
            </w:tcBorders>
          </w:tcPr>
          <w:p w14:paraId="2C6ADC8C" w14:textId="77777777" w:rsidR="00745926" w:rsidRPr="00364545" w:rsidRDefault="00745926" w:rsidP="00745926">
            <w:pPr>
              <w:spacing w:line="259" w:lineRule="auto"/>
              <w:jc w:val="left"/>
            </w:pPr>
            <w:r w:rsidRPr="00364545">
              <w:rPr>
                <w:sz w:val="18"/>
              </w:rPr>
              <w:t xml:space="preserve">PFCs </w:t>
            </w:r>
          </w:p>
        </w:tc>
        <w:tc>
          <w:tcPr>
            <w:tcW w:w="754" w:type="dxa"/>
            <w:tcBorders>
              <w:top w:val="single" w:sz="2" w:space="0" w:color="000000"/>
              <w:left w:val="single" w:sz="2" w:space="0" w:color="000000"/>
              <w:bottom w:val="single" w:sz="2" w:space="0" w:color="000000"/>
              <w:right w:val="single" w:sz="2" w:space="0" w:color="000000"/>
            </w:tcBorders>
            <w:vAlign w:val="center"/>
          </w:tcPr>
          <w:p w14:paraId="1A9BC1C0" w14:textId="77777777" w:rsidR="00745926" w:rsidRPr="00364545" w:rsidRDefault="00745926" w:rsidP="00745926">
            <w:pPr>
              <w:spacing w:line="259" w:lineRule="auto"/>
              <w:ind w:left="59"/>
              <w:jc w:val="left"/>
              <w:rPr>
                <w:sz w:val="16"/>
                <w:szCs w:val="16"/>
              </w:rPr>
            </w:pPr>
            <w:r>
              <w:rPr>
                <w:sz w:val="18"/>
                <w:szCs w:val="18"/>
              </w:rPr>
              <w:t>5202</w:t>
            </w:r>
          </w:p>
        </w:tc>
        <w:tc>
          <w:tcPr>
            <w:tcW w:w="743" w:type="dxa"/>
            <w:tcBorders>
              <w:top w:val="single" w:sz="2" w:space="0" w:color="000000"/>
              <w:left w:val="single" w:sz="2" w:space="0" w:color="000000"/>
              <w:bottom w:val="single" w:sz="2" w:space="0" w:color="000000"/>
              <w:right w:val="single" w:sz="2" w:space="0" w:color="000000"/>
            </w:tcBorders>
            <w:vAlign w:val="center"/>
          </w:tcPr>
          <w:p w14:paraId="6464A2E3" w14:textId="77777777" w:rsidR="00745926" w:rsidRPr="00364545" w:rsidRDefault="00745926" w:rsidP="00745926">
            <w:pPr>
              <w:spacing w:line="259" w:lineRule="auto"/>
              <w:ind w:left="59"/>
              <w:jc w:val="left"/>
              <w:rPr>
                <w:sz w:val="16"/>
                <w:szCs w:val="16"/>
              </w:rPr>
            </w:pPr>
            <w:r w:rsidRPr="00634E4C">
              <w:rPr>
                <w:sz w:val="18"/>
              </w:rPr>
              <w:t>3065</w:t>
            </w:r>
          </w:p>
        </w:tc>
        <w:tc>
          <w:tcPr>
            <w:tcW w:w="742" w:type="dxa"/>
            <w:tcBorders>
              <w:top w:val="single" w:sz="2" w:space="0" w:color="000000"/>
              <w:left w:val="single" w:sz="2" w:space="0" w:color="000000"/>
              <w:bottom w:val="single" w:sz="2" w:space="0" w:color="000000"/>
              <w:right w:val="single" w:sz="2" w:space="0" w:color="000000"/>
            </w:tcBorders>
            <w:vAlign w:val="center"/>
          </w:tcPr>
          <w:p w14:paraId="03C9CAE4" w14:textId="77777777" w:rsidR="00745926" w:rsidRPr="00364545" w:rsidRDefault="00745926" w:rsidP="00745926">
            <w:pPr>
              <w:spacing w:line="259" w:lineRule="auto"/>
              <w:ind w:left="59"/>
              <w:jc w:val="left"/>
              <w:rPr>
                <w:sz w:val="16"/>
                <w:szCs w:val="16"/>
              </w:rPr>
            </w:pPr>
            <w:r w:rsidRPr="00634E4C">
              <w:rPr>
                <w:sz w:val="18"/>
              </w:rPr>
              <w:t>2997</w:t>
            </w:r>
          </w:p>
        </w:tc>
        <w:tc>
          <w:tcPr>
            <w:tcW w:w="742" w:type="dxa"/>
            <w:tcBorders>
              <w:top w:val="single" w:sz="2" w:space="0" w:color="000000"/>
              <w:left w:val="single" w:sz="2" w:space="0" w:color="000000"/>
              <w:bottom w:val="single" w:sz="2" w:space="0" w:color="000000"/>
              <w:right w:val="single" w:sz="2" w:space="0" w:color="000000"/>
            </w:tcBorders>
            <w:vAlign w:val="center"/>
          </w:tcPr>
          <w:p w14:paraId="6F7939EF" w14:textId="77777777" w:rsidR="00745926" w:rsidRPr="00364545" w:rsidRDefault="00745926" w:rsidP="00745926">
            <w:pPr>
              <w:spacing w:line="259" w:lineRule="auto"/>
              <w:ind w:left="59"/>
              <w:jc w:val="left"/>
              <w:rPr>
                <w:sz w:val="16"/>
                <w:szCs w:val="16"/>
              </w:rPr>
            </w:pPr>
            <w:r w:rsidRPr="00634E4C">
              <w:rPr>
                <w:sz w:val="18"/>
              </w:rPr>
              <w:t>1760</w:t>
            </w:r>
          </w:p>
        </w:tc>
        <w:tc>
          <w:tcPr>
            <w:tcW w:w="745" w:type="dxa"/>
            <w:tcBorders>
              <w:top w:val="single" w:sz="2" w:space="0" w:color="000000"/>
              <w:left w:val="single" w:sz="2" w:space="0" w:color="000000"/>
              <w:bottom w:val="single" w:sz="2" w:space="0" w:color="000000"/>
              <w:right w:val="single" w:sz="2" w:space="0" w:color="000000"/>
            </w:tcBorders>
            <w:vAlign w:val="center"/>
          </w:tcPr>
          <w:p w14:paraId="18B06D01" w14:textId="77777777" w:rsidR="00745926" w:rsidRPr="00364545" w:rsidRDefault="00745926" w:rsidP="00745926">
            <w:pPr>
              <w:spacing w:line="259" w:lineRule="auto"/>
              <w:ind w:left="59"/>
              <w:jc w:val="left"/>
              <w:rPr>
                <w:sz w:val="16"/>
                <w:szCs w:val="16"/>
              </w:rPr>
            </w:pPr>
            <w:r w:rsidRPr="00634E4C">
              <w:rPr>
                <w:sz w:val="18"/>
              </w:rPr>
              <w:t>617</w:t>
            </w:r>
          </w:p>
        </w:tc>
        <w:tc>
          <w:tcPr>
            <w:tcW w:w="742" w:type="dxa"/>
            <w:tcBorders>
              <w:top w:val="single" w:sz="2" w:space="0" w:color="000000"/>
              <w:left w:val="single" w:sz="2" w:space="0" w:color="000000"/>
              <w:bottom w:val="single" w:sz="2" w:space="0" w:color="000000"/>
              <w:right w:val="single" w:sz="2" w:space="0" w:color="000000"/>
            </w:tcBorders>
            <w:vAlign w:val="center"/>
          </w:tcPr>
          <w:p w14:paraId="4352777C" w14:textId="77777777" w:rsidR="00745926" w:rsidRPr="00364545" w:rsidRDefault="00745926" w:rsidP="00745926">
            <w:pPr>
              <w:spacing w:line="259" w:lineRule="auto"/>
              <w:ind w:left="59"/>
              <w:jc w:val="left"/>
              <w:rPr>
                <w:sz w:val="16"/>
                <w:szCs w:val="16"/>
              </w:rPr>
            </w:pPr>
            <w:r w:rsidRPr="00634E4C">
              <w:rPr>
                <w:sz w:val="18"/>
              </w:rPr>
              <w:t>537</w:t>
            </w:r>
          </w:p>
        </w:tc>
        <w:tc>
          <w:tcPr>
            <w:tcW w:w="739" w:type="dxa"/>
            <w:tcBorders>
              <w:top w:val="single" w:sz="2" w:space="0" w:color="000000"/>
              <w:left w:val="single" w:sz="2" w:space="0" w:color="000000"/>
              <w:bottom w:val="single" w:sz="2" w:space="0" w:color="000000"/>
              <w:right w:val="single" w:sz="2" w:space="0" w:color="000000"/>
            </w:tcBorders>
            <w:vAlign w:val="center"/>
          </w:tcPr>
          <w:p w14:paraId="4DBEABC2" w14:textId="77777777" w:rsidR="00745926" w:rsidRPr="00364545" w:rsidRDefault="00745926" w:rsidP="00745926">
            <w:pPr>
              <w:spacing w:line="259" w:lineRule="auto"/>
              <w:ind w:left="59"/>
              <w:jc w:val="left"/>
              <w:rPr>
                <w:rFonts w:ascii="Calibri" w:hAnsi="Calibri"/>
                <w:sz w:val="20"/>
              </w:rPr>
            </w:pPr>
            <w:r>
              <w:rPr>
                <w:sz w:val="18"/>
                <w:szCs w:val="18"/>
              </w:rPr>
              <w:t>615</w:t>
            </w:r>
          </w:p>
        </w:tc>
        <w:tc>
          <w:tcPr>
            <w:tcW w:w="743" w:type="dxa"/>
            <w:tcBorders>
              <w:top w:val="single" w:sz="2" w:space="0" w:color="000000"/>
              <w:left w:val="single" w:sz="2" w:space="0" w:color="000000"/>
              <w:bottom w:val="single" w:sz="2" w:space="0" w:color="000000"/>
              <w:right w:val="single" w:sz="2" w:space="0" w:color="000000"/>
            </w:tcBorders>
            <w:vAlign w:val="center"/>
          </w:tcPr>
          <w:p w14:paraId="26D017E8"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479</w:t>
            </w:r>
          </w:p>
        </w:tc>
        <w:tc>
          <w:tcPr>
            <w:tcW w:w="742" w:type="dxa"/>
            <w:tcBorders>
              <w:top w:val="single" w:sz="2" w:space="0" w:color="000000"/>
              <w:left w:val="single" w:sz="2" w:space="0" w:color="000000"/>
              <w:bottom w:val="single" w:sz="2" w:space="0" w:color="000000"/>
              <w:right w:val="single" w:sz="2" w:space="0" w:color="000000"/>
            </w:tcBorders>
            <w:vAlign w:val="center"/>
          </w:tcPr>
          <w:p w14:paraId="1831DE60"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395</w:t>
            </w:r>
          </w:p>
        </w:tc>
        <w:tc>
          <w:tcPr>
            <w:tcW w:w="742" w:type="dxa"/>
            <w:tcBorders>
              <w:top w:val="single" w:sz="2" w:space="0" w:color="000000"/>
              <w:left w:val="single" w:sz="2" w:space="0" w:color="000000"/>
              <w:bottom w:val="single" w:sz="2" w:space="0" w:color="000000"/>
              <w:right w:val="single" w:sz="2" w:space="0" w:color="000000"/>
            </w:tcBorders>
            <w:vAlign w:val="center"/>
          </w:tcPr>
          <w:p w14:paraId="4C2CBA1A"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330</w:t>
            </w:r>
          </w:p>
        </w:tc>
        <w:tc>
          <w:tcPr>
            <w:tcW w:w="745" w:type="dxa"/>
            <w:tcBorders>
              <w:top w:val="single" w:sz="2" w:space="0" w:color="000000"/>
              <w:left w:val="single" w:sz="2" w:space="0" w:color="000000"/>
              <w:bottom w:val="single" w:sz="2" w:space="0" w:color="000000"/>
              <w:right w:val="single" w:sz="2" w:space="0" w:color="000000"/>
            </w:tcBorders>
            <w:vAlign w:val="center"/>
          </w:tcPr>
          <w:p w14:paraId="6AEC5E3F"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299</w:t>
            </w:r>
          </w:p>
        </w:tc>
        <w:tc>
          <w:tcPr>
            <w:tcW w:w="680" w:type="dxa"/>
            <w:tcBorders>
              <w:top w:val="single" w:sz="2" w:space="0" w:color="000000"/>
              <w:left w:val="single" w:sz="2" w:space="0" w:color="000000"/>
              <w:bottom w:val="single" w:sz="2" w:space="0" w:color="000000"/>
              <w:right w:val="single" w:sz="2" w:space="0" w:color="000000"/>
            </w:tcBorders>
            <w:vAlign w:val="center"/>
          </w:tcPr>
          <w:p w14:paraId="08E878D2"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205</w:t>
            </w:r>
          </w:p>
        </w:tc>
      </w:tr>
      <w:tr w:rsidR="00745926" w:rsidRPr="00364545" w14:paraId="37C68DE1" w14:textId="77777777" w:rsidTr="00745926">
        <w:trPr>
          <w:trHeight w:val="342"/>
        </w:trPr>
        <w:tc>
          <w:tcPr>
            <w:tcW w:w="1078" w:type="dxa"/>
            <w:tcBorders>
              <w:top w:val="single" w:sz="2" w:space="0" w:color="000000"/>
              <w:left w:val="single" w:sz="2" w:space="0" w:color="000000"/>
              <w:bottom w:val="single" w:sz="2" w:space="0" w:color="000000"/>
              <w:right w:val="single" w:sz="2" w:space="0" w:color="000000"/>
            </w:tcBorders>
            <w:shd w:val="clear" w:color="auto" w:fill="ECE6E2"/>
          </w:tcPr>
          <w:p w14:paraId="320BECFA" w14:textId="77777777" w:rsidR="00745926" w:rsidRPr="00364545" w:rsidRDefault="00745926" w:rsidP="00745926">
            <w:pPr>
              <w:spacing w:line="259" w:lineRule="auto"/>
              <w:jc w:val="left"/>
            </w:pPr>
            <w:r w:rsidRPr="00364545">
              <w:t>SF</w:t>
            </w:r>
            <w:r w:rsidRPr="00364545">
              <w:rPr>
                <w:vertAlign w:val="subscript"/>
              </w:rPr>
              <w:t>6</w:t>
            </w:r>
            <w:r w:rsidRPr="00364545">
              <w:rPr>
                <w:sz w:val="18"/>
              </w:rPr>
              <w:t xml:space="preserve"> </w:t>
            </w:r>
          </w:p>
        </w:tc>
        <w:tc>
          <w:tcPr>
            <w:tcW w:w="75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E8EFF07" w14:textId="77777777" w:rsidR="00745926" w:rsidRPr="00364545" w:rsidRDefault="00745926" w:rsidP="00745926">
            <w:pPr>
              <w:spacing w:line="259" w:lineRule="auto"/>
              <w:ind w:left="59"/>
              <w:jc w:val="left"/>
              <w:rPr>
                <w:sz w:val="16"/>
                <w:szCs w:val="16"/>
              </w:rPr>
            </w:pPr>
            <w:r>
              <w:rPr>
                <w:sz w:val="18"/>
                <w:szCs w:val="18"/>
              </w:rPr>
              <w:t>2155</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EDA589B" w14:textId="77777777" w:rsidR="00745926" w:rsidRPr="00364545" w:rsidRDefault="00745926" w:rsidP="00745926">
            <w:pPr>
              <w:spacing w:line="259" w:lineRule="auto"/>
              <w:ind w:left="59"/>
              <w:jc w:val="left"/>
              <w:rPr>
                <w:sz w:val="16"/>
                <w:szCs w:val="16"/>
              </w:rPr>
            </w:pPr>
            <w:r>
              <w:rPr>
                <w:sz w:val="18"/>
                <w:szCs w:val="18"/>
              </w:rPr>
              <w:t>2467</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985FA77" w14:textId="77777777" w:rsidR="00745926" w:rsidRPr="00364545" w:rsidRDefault="00745926" w:rsidP="00745926">
            <w:pPr>
              <w:spacing w:line="259" w:lineRule="auto"/>
              <w:ind w:left="59"/>
              <w:jc w:val="left"/>
              <w:rPr>
                <w:sz w:val="16"/>
                <w:szCs w:val="16"/>
              </w:rPr>
            </w:pPr>
            <w:r>
              <w:rPr>
                <w:sz w:val="18"/>
                <w:szCs w:val="18"/>
              </w:rPr>
              <w:t>2180</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E67DFF" w14:textId="77777777" w:rsidR="00745926" w:rsidRPr="00364545" w:rsidRDefault="00745926" w:rsidP="00745926">
            <w:pPr>
              <w:spacing w:line="259" w:lineRule="auto"/>
              <w:ind w:left="59"/>
              <w:jc w:val="left"/>
              <w:rPr>
                <w:sz w:val="16"/>
                <w:szCs w:val="16"/>
              </w:rPr>
            </w:pPr>
            <w:r w:rsidRPr="00634E4C">
              <w:rPr>
                <w:sz w:val="18"/>
              </w:rPr>
              <w:t>1355</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7C8684" w14:textId="77777777" w:rsidR="00745926" w:rsidRPr="00364545" w:rsidRDefault="00745926" w:rsidP="00745926">
            <w:pPr>
              <w:spacing w:line="259" w:lineRule="auto"/>
              <w:ind w:left="59"/>
              <w:jc w:val="left"/>
              <w:rPr>
                <w:sz w:val="16"/>
                <w:szCs w:val="16"/>
              </w:rPr>
            </w:pPr>
            <w:r>
              <w:rPr>
                <w:sz w:val="18"/>
                <w:szCs w:val="18"/>
              </w:rPr>
              <w:t>875</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041387D" w14:textId="77777777" w:rsidR="00745926" w:rsidRPr="00364545" w:rsidRDefault="00745926" w:rsidP="00745926">
            <w:pPr>
              <w:spacing w:line="259" w:lineRule="auto"/>
              <w:ind w:left="59"/>
              <w:jc w:val="left"/>
              <w:rPr>
                <w:sz w:val="16"/>
                <w:szCs w:val="16"/>
              </w:rPr>
            </w:pPr>
            <w:r>
              <w:rPr>
                <w:sz w:val="18"/>
                <w:szCs w:val="18"/>
              </w:rPr>
              <w:t>498</w:t>
            </w:r>
          </w:p>
        </w:tc>
        <w:tc>
          <w:tcPr>
            <w:tcW w:w="73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120F8A4" w14:textId="77777777" w:rsidR="00745926" w:rsidRPr="00364545" w:rsidRDefault="00745926" w:rsidP="00745926">
            <w:pPr>
              <w:spacing w:line="259" w:lineRule="auto"/>
              <w:ind w:left="59"/>
              <w:jc w:val="left"/>
              <w:rPr>
                <w:rFonts w:ascii="Calibri" w:hAnsi="Calibri"/>
                <w:sz w:val="20"/>
              </w:rPr>
            </w:pPr>
            <w:r>
              <w:rPr>
                <w:sz w:val="18"/>
                <w:szCs w:val="18"/>
              </w:rPr>
              <w:t>385</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8EF6E57"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458</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468D360"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459</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481E68F"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460</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676F03E"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460</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BEB2A66"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463</w:t>
            </w:r>
          </w:p>
        </w:tc>
      </w:tr>
      <w:tr w:rsidR="00745926" w:rsidRPr="00364545" w14:paraId="1F72FABD" w14:textId="77777777" w:rsidTr="00745926">
        <w:trPr>
          <w:trHeight w:val="347"/>
        </w:trPr>
        <w:tc>
          <w:tcPr>
            <w:tcW w:w="1078" w:type="dxa"/>
            <w:tcBorders>
              <w:top w:val="single" w:sz="2" w:space="0" w:color="000000"/>
              <w:left w:val="single" w:sz="2" w:space="0" w:color="000000"/>
              <w:bottom w:val="single" w:sz="2" w:space="0" w:color="000000"/>
              <w:right w:val="single" w:sz="2" w:space="0" w:color="000000"/>
            </w:tcBorders>
          </w:tcPr>
          <w:p w14:paraId="573DD045" w14:textId="77777777" w:rsidR="00745926" w:rsidRPr="00364545" w:rsidRDefault="00745926" w:rsidP="00745926">
            <w:pPr>
              <w:spacing w:line="259" w:lineRule="auto"/>
              <w:jc w:val="left"/>
            </w:pPr>
            <w:r w:rsidRPr="00364545">
              <w:rPr>
                <w:sz w:val="18"/>
              </w:rPr>
              <w:t>NF</w:t>
            </w:r>
            <w:r w:rsidRPr="00364545">
              <w:rPr>
                <w:sz w:val="18"/>
                <w:vertAlign w:val="subscript"/>
              </w:rPr>
              <w:t>3</w:t>
            </w:r>
            <w:r w:rsidRPr="00364545">
              <w:rPr>
                <w:sz w:val="18"/>
              </w:rPr>
              <w:t xml:space="preserve"> </w:t>
            </w:r>
          </w:p>
        </w:tc>
        <w:tc>
          <w:tcPr>
            <w:tcW w:w="754" w:type="dxa"/>
            <w:tcBorders>
              <w:top w:val="single" w:sz="2" w:space="0" w:color="000000"/>
              <w:left w:val="single" w:sz="2" w:space="0" w:color="000000"/>
              <w:bottom w:val="single" w:sz="2" w:space="0" w:color="000000"/>
              <w:right w:val="single" w:sz="2" w:space="0" w:color="000000"/>
            </w:tcBorders>
            <w:vAlign w:val="center"/>
          </w:tcPr>
          <w:p w14:paraId="796BD79B" w14:textId="77777777" w:rsidR="00745926" w:rsidRPr="00364545" w:rsidRDefault="00745926" w:rsidP="00745926">
            <w:pPr>
              <w:spacing w:line="259" w:lineRule="auto"/>
              <w:ind w:left="59"/>
              <w:jc w:val="left"/>
              <w:rPr>
                <w:sz w:val="16"/>
                <w:szCs w:val="16"/>
              </w:rPr>
            </w:pPr>
            <w:r w:rsidRPr="00634E4C">
              <w:rPr>
                <w:sz w:val="18"/>
              </w:rPr>
              <w:t>16</w:t>
            </w:r>
          </w:p>
        </w:tc>
        <w:tc>
          <w:tcPr>
            <w:tcW w:w="743" w:type="dxa"/>
            <w:tcBorders>
              <w:top w:val="single" w:sz="2" w:space="0" w:color="000000"/>
              <w:left w:val="single" w:sz="2" w:space="0" w:color="000000"/>
              <w:bottom w:val="single" w:sz="2" w:space="0" w:color="000000"/>
              <w:right w:val="single" w:sz="2" w:space="0" w:color="000000"/>
            </w:tcBorders>
            <w:vAlign w:val="center"/>
          </w:tcPr>
          <w:p w14:paraId="393B4EC5" w14:textId="77777777" w:rsidR="00745926" w:rsidRPr="00364545" w:rsidRDefault="00745926" w:rsidP="00745926">
            <w:pPr>
              <w:spacing w:line="259" w:lineRule="auto"/>
              <w:ind w:left="59"/>
              <w:jc w:val="left"/>
              <w:rPr>
                <w:sz w:val="16"/>
                <w:szCs w:val="16"/>
              </w:rPr>
            </w:pPr>
            <w:r w:rsidRPr="00634E4C">
              <w:rPr>
                <w:sz w:val="18"/>
              </w:rPr>
              <w:t>6</w:t>
            </w:r>
          </w:p>
        </w:tc>
        <w:tc>
          <w:tcPr>
            <w:tcW w:w="742" w:type="dxa"/>
            <w:tcBorders>
              <w:top w:val="single" w:sz="2" w:space="0" w:color="000000"/>
              <w:left w:val="single" w:sz="2" w:space="0" w:color="000000"/>
              <w:bottom w:val="single" w:sz="2" w:space="0" w:color="000000"/>
              <w:right w:val="single" w:sz="2" w:space="0" w:color="000000"/>
            </w:tcBorders>
            <w:vAlign w:val="center"/>
          </w:tcPr>
          <w:p w14:paraId="33499FFA" w14:textId="77777777" w:rsidR="00745926" w:rsidRPr="00364545" w:rsidRDefault="00745926" w:rsidP="00745926">
            <w:pPr>
              <w:spacing w:line="259" w:lineRule="auto"/>
              <w:ind w:left="59"/>
              <w:jc w:val="left"/>
              <w:rPr>
                <w:sz w:val="16"/>
                <w:szCs w:val="16"/>
              </w:rPr>
            </w:pPr>
            <w:r w:rsidRPr="00634E4C">
              <w:rPr>
                <w:sz w:val="18"/>
              </w:rPr>
              <w:t>20</w:t>
            </w:r>
          </w:p>
        </w:tc>
        <w:tc>
          <w:tcPr>
            <w:tcW w:w="742" w:type="dxa"/>
            <w:tcBorders>
              <w:top w:val="single" w:sz="2" w:space="0" w:color="000000"/>
              <w:left w:val="single" w:sz="2" w:space="0" w:color="000000"/>
              <w:bottom w:val="single" w:sz="2" w:space="0" w:color="000000"/>
              <w:right w:val="single" w:sz="2" w:space="0" w:color="000000"/>
            </w:tcBorders>
            <w:vAlign w:val="center"/>
          </w:tcPr>
          <w:p w14:paraId="2A8B0D71" w14:textId="77777777" w:rsidR="00745926" w:rsidRPr="00364545" w:rsidRDefault="00745926" w:rsidP="00745926">
            <w:pPr>
              <w:spacing w:line="259" w:lineRule="auto"/>
              <w:ind w:left="59"/>
              <w:jc w:val="left"/>
              <w:rPr>
                <w:sz w:val="16"/>
                <w:szCs w:val="16"/>
              </w:rPr>
            </w:pPr>
            <w:r w:rsidRPr="00634E4C">
              <w:rPr>
                <w:sz w:val="18"/>
              </w:rPr>
              <w:t>31</w:t>
            </w:r>
          </w:p>
        </w:tc>
        <w:tc>
          <w:tcPr>
            <w:tcW w:w="745" w:type="dxa"/>
            <w:tcBorders>
              <w:top w:val="single" w:sz="2" w:space="0" w:color="000000"/>
              <w:left w:val="single" w:sz="2" w:space="0" w:color="000000"/>
              <w:bottom w:val="single" w:sz="2" w:space="0" w:color="000000"/>
              <w:right w:val="single" w:sz="2" w:space="0" w:color="000000"/>
            </w:tcBorders>
            <w:vAlign w:val="center"/>
          </w:tcPr>
          <w:p w14:paraId="338F76CD" w14:textId="77777777" w:rsidR="00745926" w:rsidRPr="00364545" w:rsidRDefault="00745926" w:rsidP="00745926">
            <w:pPr>
              <w:spacing w:line="259" w:lineRule="auto"/>
              <w:ind w:left="59"/>
              <w:jc w:val="left"/>
              <w:rPr>
                <w:sz w:val="16"/>
                <w:szCs w:val="16"/>
              </w:rPr>
            </w:pPr>
            <w:r w:rsidRPr="00634E4C">
              <w:rPr>
                <w:sz w:val="18"/>
              </w:rPr>
              <w:t>32</w:t>
            </w:r>
          </w:p>
        </w:tc>
        <w:tc>
          <w:tcPr>
            <w:tcW w:w="742" w:type="dxa"/>
            <w:tcBorders>
              <w:top w:val="single" w:sz="2" w:space="0" w:color="000000"/>
              <w:left w:val="single" w:sz="2" w:space="0" w:color="000000"/>
              <w:bottom w:val="single" w:sz="2" w:space="0" w:color="000000"/>
              <w:right w:val="single" w:sz="2" w:space="0" w:color="000000"/>
            </w:tcBorders>
            <w:vAlign w:val="center"/>
          </w:tcPr>
          <w:p w14:paraId="21CD6CA4" w14:textId="77777777" w:rsidR="00745926" w:rsidRPr="00364545" w:rsidRDefault="00745926" w:rsidP="00745926">
            <w:pPr>
              <w:spacing w:line="259" w:lineRule="auto"/>
              <w:ind w:left="59"/>
              <w:jc w:val="left"/>
              <w:rPr>
                <w:sz w:val="16"/>
                <w:szCs w:val="16"/>
              </w:rPr>
            </w:pPr>
            <w:r w:rsidRPr="00634E4C">
              <w:rPr>
                <w:sz w:val="18"/>
              </w:rPr>
              <w:t>6</w:t>
            </w:r>
          </w:p>
        </w:tc>
        <w:tc>
          <w:tcPr>
            <w:tcW w:w="739" w:type="dxa"/>
            <w:tcBorders>
              <w:top w:val="single" w:sz="2" w:space="0" w:color="000000"/>
              <w:left w:val="single" w:sz="2" w:space="0" w:color="000000"/>
              <w:bottom w:val="single" w:sz="2" w:space="0" w:color="000000"/>
              <w:right w:val="single" w:sz="2" w:space="0" w:color="000000"/>
            </w:tcBorders>
            <w:vAlign w:val="center"/>
          </w:tcPr>
          <w:p w14:paraId="60CDA512" w14:textId="77777777" w:rsidR="00745926" w:rsidRPr="00364545" w:rsidRDefault="00745926" w:rsidP="00745926">
            <w:pPr>
              <w:spacing w:line="259" w:lineRule="auto"/>
              <w:ind w:left="59"/>
              <w:jc w:val="left"/>
              <w:rPr>
                <w:rFonts w:ascii="Calibri" w:hAnsi="Calibri"/>
                <w:sz w:val="20"/>
              </w:rPr>
            </w:pPr>
            <w:r>
              <w:rPr>
                <w:sz w:val="18"/>
                <w:szCs w:val="18"/>
              </w:rPr>
              <w:t>10</w:t>
            </w:r>
          </w:p>
        </w:tc>
        <w:tc>
          <w:tcPr>
            <w:tcW w:w="743" w:type="dxa"/>
            <w:tcBorders>
              <w:top w:val="single" w:sz="2" w:space="0" w:color="000000"/>
              <w:left w:val="single" w:sz="2" w:space="0" w:color="000000"/>
              <w:bottom w:val="single" w:sz="2" w:space="0" w:color="000000"/>
              <w:right w:val="single" w:sz="2" w:space="0" w:color="000000"/>
            </w:tcBorders>
            <w:vAlign w:val="center"/>
          </w:tcPr>
          <w:p w14:paraId="4C42870B"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6</w:t>
            </w:r>
          </w:p>
        </w:tc>
        <w:tc>
          <w:tcPr>
            <w:tcW w:w="742" w:type="dxa"/>
            <w:tcBorders>
              <w:top w:val="single" w:sz="2" w:space="0" w:color="000000"/>
              <w:left w:val="single" w:sz="2" w:space="0" w:color="000000"/>
              <w:bottom w:val="single" w:sz="2" w:space="0" w:color="000000"/>
              <w:right w:val="single" w:sz="2" w:space="0" w:color="000000"/>
            </w:tcBorders>
            <w:vAlign w:val="center"/>
          </w:tcPr>
          <w:p w14:paraId="2F43933A"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6</w:t>
            </w:r>
          </w:p>
        </w:tc>
        <w:tc>
          <w:tcPr>
            <w:tcW w:w="742" w:type="dxa"/>
            <w:tcBorders>
              <w:top w:val="single" w:sz="2" w:space="0" w:color="000000"/>
              <w:left w:val="single" w:sz="2" w:space="0" w:color="000000"/>
              <w:bottom w:val="single" w:sz="2" w:space="0" w:color="000000"/>
              <w:right w:val="single" w:sz="2" w:space="0" w:color="000000"/>
            </w:tcBorders>
            <w:vAlign w:val="center"/>
          </w:tcPr>
          <w:p w14:paraId="4E73F6EE"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6</w:t>
            </w:r>
          </w:p>
        </w:tc>
        <w:tc>
          <w:tcPr>
            <w:tcW w:w="745" w:type="dxa"/>
            <w:tcBorders>
              <w:top w:val="single" w:sz="2" w:space="0" w:color="000000"/>
              <w:left w:val="single" w:sz="2" w:space="0" w:color="000000"/>
              <w:bottom w:val="single" w:sz="2" w:space="0" w:color="000000"/>
              <w:right w:val="single" w:sz="2" w:space="0" w:color="000000"/>
            </w:tcBorders>
            <w:vAlign w:val="center"/>
          </w:tcPr>
          <w:p w14:paraId="51D4E0A7"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6</w:t>
            </w:r>
          </w:p>
        </w:tc>
        <w:tc>
          <w:tcPr>
            <w:tcW w:w="680" w:type="dxa"/>
            <w:tcBorders>
              <w:top w:val="single" w:sz="2" w:space="0" w:color="000000"/>
              <w:left w:val="single" w:sz="2" w:space="0" w:color="000000"/>
              <w:bottom w:val="single" w:sz="2" w:space="0" w:color="000000"/>
              <w:right w:val="single" w:sz="2" w:space="0" w:color="000000"/>
            </w:tcBorders>
            <w:vAlign w:val="center"/>
          </w:tcPr>
          <w:p w14:paraId="6EBB387D" w14:textId="77777777" w:rsidR="00745926" w:rsidRPr="00634E4C" w:rsidRDefault="00745926" w:rsidP="00745926">
            <w:pPr>
              <w:spacing w:line="259" w:lineRule="auto"/>
              <w:ind w:left="59"/>
              <w:jc w:val="left"/>
              <w:rPr>
                <w:rFonts w:asciiTheme="majorHAnsi" w:hAnsiTheme="majorHAnsi"/>
                <w:sz w:val="18"/>
              </w:rPr>
            </w:pPr>
            <w:r w:rsidRPr="00634E4C">
              <w:rPr>
                <w:rFonts w:asciiTheme="majorHAnsi" w:hAnsiTheme="majorHAnsi"/>
                <w:sz w:val="18"/>
              </w:rPr>
              <w:t>6</w:t>
            </w:r>
          </w:p>
        </w:tc>
      </w:tr>
      <w:tr w:rsidR="00745926" w:rsidRPr="00364545" w14:paraId="4A88C036" w14:textId="77777777" w:rsidTr="00745926">
        <w:trPr>
          <w:trHeight w:val="344"/>
        </w:trPr>
        <w:tc>
          <w:tcPr>
            <w:tcW w:w="1078" w:type="dxa"/>
            <w:tcBorders>
              <w:top w:val="single" w:sz="2" w:space="0" w:color="000000"/>
              <w:left w:val="single" w:sz="2" w:space="0" w:color="000000"/>
              <w:bottom w:val="single" w:sz="2" w:space="0" w:color="000000"/>
              <w:right w:val="single" w:sz="2" w:space="0" w:color="000000"/>
            </w:tcBorders>
            <w:shd w:val="clear" w:color="auto" w:fill="ECE6E2"/>
          </w:tcPr>
          <w:p w14:paraId="1909EAB9" w14:textId="77777777" w:rsidR="00745926" w:rsidRPr="00364545" w:rsidRDefault="00745926" w:rsidP="00745926">
            <w:pPr>
              <w:spacing w:line="259" w:lineRule="auto"/>
              <w:jc w:val="left"/>
            </w:pPr>
            <w:r w:rsidRPr="00364545">
              <w:rPr>
                <w:b/>
                <w:sz w:val="18"/>
              </w:rPr>
              <w:t xml:space="preserve">Ensemble (hors UTCF) </w:t>
            </w:r>
          </w:p>
        </w:tc>
        <w:tc>
          <w:tcPr>
            <w:tcW w:w="75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7E6851" w14:textId="77777777" w:rsidR="00745926" w:rsidRPr="00364545" w:rsidRDefault="00745926" w:rsidP="00745926">
            <w:pPr>
              <w:spacing w:line="259" w:lineRule="auto"/>
              <w:ind w:left="59"/>
              <w:jc w:val="left"/>
              <w:rPr>
                <w:b/>
                <w:sz w:val="16"/>
                <w:szCs w:val="16"/>
              </w:rPr>
            </w:pPr>
            <w:r w:rsidRPr="00664108">
              <w:rPr>
                <w:b/>
                <w:sz w:val="18"/>
                <w:szCs w:val="18"/>
              </w:rPr>
              <w:t>544086</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74AC3E" w14:textId="77777777" w:rsidR="00745926" w:rsidRPr="00364545" w:rsidRDefault="00745926" w:rsidP="00745926">
            <w:pPr>
              <w:spacing w:line="259" w:lineRule="auto"/>
              <w:ind w:left="59"/>
              <w:jc w:val="left"/>
              <w:rPr>
                <w:b/>
                <w:sz w:val="16"/>
                <w:szCs w:val="16"/>
              </w:rPr>
            </w:pPr>
            <w:r w:rsidRPr="00664108">
              <w:rPr>
                <w:b/>
                <w:sz w:val="18"/>
                <w:szCs w:val="18"/>
              </w:rPr>
              <w:t>536476</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F007E91" w14:textId="77777777" w:rsidR="00745926" w:rsidRPr="00364545" w:rsidRDefault="00745926" w:rsidP="00745926">
            <w:pPr>
              <w:spacing w:line="259" w:lineRule="auto"/>
              <w:ind w:left="59"/>
              <w:jc w:val="left"/>
              <w:rPr>
                <w:b/>
                <w:sz w:val="16"/>
                <w:szCs w:val="16"/>
              </w:rPr>
            </w:pPr>
            <w:r w:rsidRPr="00664108">
              <w:rPr>
                <w:b/>
                <w:sz w:val="18"/>
                <w:szCs w:val="18"/>
              </w:rPr>
              <w:t>549005</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047BC8" w14:textId="77777777" w:rsidR="00745926" w:rsidRPr="00364545" w:rsidRDefault="00745926" w:rsidP="00745926">
            <w:pPr>
              <w:spacing w:line="259" w:lineRule="auto"/>
              <w:ind w:left="59"/>
              <w:jc w:val="left"/>
              <w:rPr>
                <w:b/>
                <w:sz w:val="16"/>
                <w:szCs w:val="16"/>
              </w:rPr>
            </w:pPr>
            <w:r w:rsidRPr="00664108">
              <w:rPr>
                <w:b/>
                <w:sz w:val="18"/>
                <w:szCs w:val="18"/>
              </w:rPr>
              <w:t>551391</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40D9248" w14:textId="77777777" w:rsidR="00745926" w:rsidRPr="00364545" w:rsidRDefault="00745926" w:rsidP="00745926">
            <w:pPr>
              <w:spacing w:line="259" w:lineRule="auto"/>
              <w:ind w:left="64"/>
              <w:jc w:val="left"/>
              <w:rPr>
                <w:b/>
                <w:sz w:val="16"/>
                <w:szCs w:val="16"/>
              </w:rPr>
            </w:pPr>
            <w:r w:rsidRPr="00664108">
              <w:rPr>
                <w:b/>
                <w:sz w:val="18"/>
                <w:szCs w:val="18"/>
              </w:rPr>
              <w:t>507468</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7B199D8" w14:textId="77777777" w:rsidR="00745926" w:rsidRPr="00364545" w:rsidRDefault="00745926" w:rsidP="00745926">
            <w:pPr>
              <w:spacing w:line="259" w:lineRule="auto"/>
              <w:ind w:left="59"/>
              <w:jc w:val="left"/>
              <w:rPr>
                <w:b/>
                <w:sz w:val="16"/>
                <w:szCs w:val="16"/>
              </w:rPr>
            </w:pPr>
            <w:r w:rsidRPr="00664108">
              <w:rPr>
                <w:b/>
                <w:sz w:val="18"/>
                <w:szCs w:val="18"/>
              </w:rPr>
              <w:t>457924</w:t>
            </w:r>
          </w:p>
        </w:tc>
        <w:tc>
          <w:tcPr>
            <w:tcW w:w="73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67A419" w14:textId="77777777" w:rsidR="00745926" w:rsidRPr="00364545" w:rsidRDefault="00745926" w:rsidP="00745926">
            <w:pPr>
              <w:spacing w:line="259" w:lineRule="auto"/>
              <w:ind w:left="59"/>
              <w:jc w:val="left"/>
              <w:rPr>
                <w:rFonts w:ascii="Calibri" w:hAnsi="Calibri"/>
                <w:b/>
                <w:sz w:val="20"/>
              </w:rPr>
            </w:pPr>
            <w:r w:rsidRPr="00664108">
              <w:rPr>
                <w:b/>
                <w:sz w:val="18"/>
                <w:szCs w:val="18"/>
              </w:rPr>
              <w:t>434540</w:t>
            </w:r>
          </w:p>
        </w:tc>
        <w:tc>
          <w:tcPr>
            <w:tcW w:w="74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0F287F"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434378</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291930A"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367661</w:t>
            </w:r>
          </w:p>
        </w:tc>
        <w:tc>
          <w:tcPr>
            <w:tcW w:w="74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C2A6B3"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307094</w:t>
            </w:r>
          </w:p>
        </w:tc>
        <w:tc>
          <w:tcPr>
            <w:tcW w:w="74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781E01D"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247697</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7FB67C"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64551</w:t>
            </w:r>
          </w:p>
        </w:tc>
      </w:tr>
      <w:tr w:rsidR="00745926" w:rsidRPr="00364545" w14:paraId="56E5EC12" w14:textId="77777777" w:rsidTr="00745926">
        <w:trPr>
          <w:trHeight w:val="346"/>
        </w:trPr>
        <w:tc>
          <w:tcPr>
            <w:tcW w:w="1078" w:type="dxa"/>
            <w:tcBorders>
              <w:top w:val="single" w:sz="2" w:space="0" w:color="000000"/>
              <w:left w:val="single" w:sz="2" w:space="0" w:color="000000"/>
              <w:bottom w:val="single" w:sz="2" w:space="0" w:color="000000"/>
              <w:right w:val="single" w:sz="2" w:space="0" w:color="000000"/>
            </w:tcBorders>
          </w:tcPr>
          <w:p w14:paraId="7B42B98C" w14:textId="77777777" w:rsidR="00745926" w:rsidRPr="00364545" w:rsidRDefault="00745926" w:rsidP="00745926">
            <w:pPr>
              <w:spacing w:line="259" w:lineRule="auto"/>
              <w:jc w:val="left"/>
            </w:pPr>
            <w:r w:rsidRPr="00364545">
              <w:rPr>
                <w:b/>
                <w:sz w:val="18"/>
              </w:rPr>
              <w:t xml:space="preserve">Ensemble (avec UTCF) </w:t>
            </w:r>
          </w:p>
        </w:tc>
        <w:tc>
          <w:tcPr>
            <w:tcW w:w="754" w:type="dxa"/>
            <w:tcBorders>
              <w:top w:val="single" w:sz="2" w:space="0" w:color="000000"/>
              <w:left w:val="single" w:sz="2" w:space="0" w:color="000000"/>
              <w:bottom w:val="single" w:sz="2" w:space="0" w:color="000000"/>
              <w:right w:val="single" w:sz="2" w:space="0" w:color="000000"/>
            </w:tcBorders>
            <w:vAlign w:val="center"/>
          </w:tcPr>
          <w:p w14:paraId="49D51935" w14:textId="77777777" w:rsidR="00745926" w:rsidRPr="00364545" w:rsidRDefault="00745926" w:rsidP="00745926">
            <w:pPr>
              <w:spacing w:line="259" w:lineRule="auto"/>
              <w:ind w:left="59"/>
              <w:jc w:val="left"/>
              <w:rPr>
                <w:b/>
                <w:sz w:val="16"/>
                <w:szCs w:val="16"/>
              </w:rPr>
            </w:pPr>
            <w:r w:rsidRPr="00664108">
              <w:rPr>
                <w:b/>
                <w:sz w:val="18"/>
                <w:szCs w:val="18"/>
              </w:rPr>
              <w:t>520100</w:t>
            </w:r>
          </w:p>
        </w:tc>
        <w:tc>
          <w:tcPr>
            <w:tcW w:w="743" w:type="dxa"/>
            <w:tcBorders>
              <w:top w:val="single" w:sz="2" w:space="0" w:color="000000"/>
              <w:left w:val="single" w:sz="2" w:space="0" w:color="000000"/>
              <w:bottom w:val="single" w:sz="2" w:space="0" w:color="000000"/>
              <w:right w:val="single" w:sz="2" w:space="0" w:color="000000"/>
            </w:tcBorders>
            <w:vAlign w:val="center"/>
          </w:tcPr>
          <w:p w14:paraId="0F34EF15" w14:textId="77777777" w:rsidR="00745926" w:rsidRPr="00364545" w:rsidRDefault="00745926" w:rsidP="00745926">
            <w:pPr>
              <w:spacing w:line="259" w:lineRule="auto"/>
              <w:ind w:left="59"/>
              <w:jc w:val="left"/>
              <w:rPr>
                <w:b/>
                <w:sz w:val="16"/>
                <w:szCs w:val="16"/>
              </w:rPr>
            </w:pPr>
            <w:r w:rsidRPr="00664108">
              <w:rPr>
                <w:b/>
                <w:sz w:val="18"/>
                <w:szCs w:val="18"/>
              </w:rPr>
              <w:t>511596</w:t>
            </w:r>
          </w:p>
        </w:tc>
        <w:tc>
          <w:tcPr>
            <w:tcW w:w="742" w:type="dxa"/>
            <w:tcBorders>
              <w:top w:val="single" w:sz="2" w:space="0" w:color="000000"/>
              <w:left w:val="single" w:sz="2" w:space="0" w:color="000000"/>
              <w:bottom w:val="single" w:sz="2" w:space="0" w:color="000000"/>
              <w:right w:val="single" w:sz="2" w:space="0" w:color="000000"/>
            </w:tcBorders>
            <w:vAlign w:val="center"/>
          </w:tcPr>
          <w:p w14:paraId="7CC4B086" w14:textId="77777777" w:rsidR="00745926" w:rsidRPr="00364545" w:rsidRDefault="00745926" w:rsidP="00745926">
            <w:pPr>
              <w:spacing w:line="259" w:lineRule="auto"/>
              <w:ind w:left="59"/>
              <w:jc w:val="left"/>
              <w:rPr>
                <w:b/>
                <w:sz w:val="16"/>
                <w:szCs w:val="16"/>
              </w:rPr>
            </w:pPr>
            <w:r w:rsidRPr="00664108">
              <w:rPr>
                <w:b/>
                <w:sz w:val="18"/>
                <w:szCs w:val="18"/>
              </w:rPr>
              <w:t>529296</w:t>
            </w:r>
          </w:p>
        </w:tc>
        <w:tc>
          <w:tcPr>
            <w:tcW w:w="742" w:type="dxa"/>
            <w:tcBorders>
              <w:top w:val="single" w:sz="2" w:space="0" w:color="000000"/>
              <w:left w:val="single" w:sz="2" w:space="0" w:color="000000"/>
              <w:bottom w:val="single" w:sz="2" w:space="0" w:color="000000"/>
              <w:right w:val="single" w:sz="2" w:space="0" w:color="000000"/>
            </w:tcBorders>
            <w:vAlign w:val="center"/>
          </w:tcPr>
          <w:p w14:paraId="20B4F1DA" w14:textId="77777777" w:rsidR="00745926" w:rsidRPr="00364545" w:rsidRDefault="00745926" w:rsidP="00745926">
            <w:pPr>
              <w:spacing w:line="259" w:lineRule="auto"/>
              <w:ind w:left="59"/>
              <w:jc w:val="left"/>
              <w:rPr>
                <w:b/>
                <w:sz w:val="16"/>
                <w:szCs w:val="16"/>
              </w:rPr>
            </w:pPr>
            <w:r w:rsidRPr="00664108">
              <w:rPr>
                <w:b/>
                <w:sz w:val="18"/>
                <w:szCs w:val="18"/>
              </w:rPr>
              <w:t>504080</w:t>
            </w:r>
          </w:p>
        </w:tc>
        <w:tc>
          <w:tcPr>
            <w:tcW w:w="745" w:type="dxa"/>
            <w:tcBorders>
              <w:top w:val="single" w:sz="2" w:space="0" w:color="000000"/>
              <w:left w:val="single" w:sz="2" w:space="0" w:color="000000"/>
              <w:bottom w:val="single" w:sz="2" w:space="0" w:color="000000"/>
              <w:right w:val="single" w:sz="2" w:space="0" w:color="000000"/>
            </w:tcBorders>
            <w:vAlign w:val="center"/>
          </w:tcPr>
          <w:p w14:paraId="58AF04B2" w14:textId="77777777" w:rsidR="00745926" w:rsidRPr="00364545" w:rsidRDefault="00745926" w:rsidP="00745926">
            <w:pPr>
              <w:spacing w:line="259" w:lineRule="auto"/>
              <w:ind w:left="59"/>
              <w:jc w:val="left"/>
              <w:rPr>
                <w:b/>
                <w:sz w:val="16"/>
                <w:szCs w:val="16"/>
              </w:rPr>
            </w:pPr>
            <w:r w:rsidRPr="00664108">
              <w:rPr>
                <w:b/>
                <w:sz w:val="18"/>
                <w:szCs w:val="18"/>
              </w:rPr>
              <w:t>469113</w:t>
            </w:r>
          </w:p>
        </w:tc>
        <w:tc>
          <w:tcPr>
            <w:tcW w:w="742" w:type="dxa"/>
            <w:tcBorders>
              <w:top w:val="single" w:sz="2" w:space="0" w:color="000000"/>
              <w:left w:val="single" w:sz="2" w:space="0" w:color="000000"/>
              <w:bottom w:val="single" w:sz="2" w:space="0" w:color="000000"/>
              <w:right w:val="single" w:sz="2" w:space="0" w:color="000000"/>
            </w:tcBorders>
            <w:vAlign w:val="center"/>
          </w:tcPr>
          <w:p w14:paraId="4D540BF6" w14:textId="77777777" w:rsidR="00745926" w:rsidRPr="00364545" w:rsidRDefault="00745926" w:rsidP="00745926">
            <w:pPr>
              <w:spacing w:line="259" w:lineRule="auto"/>
              <w:ind w:left="59"/>
              <w:jc w:val="left"/>
              <w:rPr>
                <w:b/>
                <w:sz w:val="16"/>
                <w:szCs w:val="16"/>
              </w:rPr>
            </w:pPr>
            <w:r w:rsidRPr="00664108">
              <w:rPr>
                <w:b/>
                <w:sz w:val="18"/>
                <w:szCs w:val="18"/>
              </w:rPr>
              <w:t>423346</w:t>
            </w:r>
          </w:p>
        </w:tc>
        <w:tc>
          <w:tcPr>
            <w:tcW w:w="739" w:type="dxa"/>
            <w:tcBorders>
              <w:top w:val="single" w:sz="2" w:space="0" w:color="000000"/>
              <w:left w:val="single" w:sz="2" w:space="0" w:color="000000"/>
              <w:bottom w:val="single" w:sz="2" w:space="0" w:color="000000"/>
              <w:right w:val="single" w:sz="2" w:space="0" w:color="000000"/>
            </w:tcBorders>
            <w:vAlign w:val="center"/>
          </w:tcPr>
          <w:p w14:paraId="2C5BBA67" w14:textId="77777777" w:rsidR="00745926" w:rsidRPr="00364545" w:rsidRDefault="00745926" w:rsidP="00745926">
            <w:pPr>
              <w:spacing w:line="259" w:lineRule="auto"/>
              <w:ind w:left="59"/>
              <w:jc w:val="left"/>
              <w:rPr>
                <w:rFonts w:ascii="Calibri" w:hAnsi="Calibri"/>
                <w:b/>
                <w:sz w:val="20"/>
              </w:rPr>
            </w:pPr>
            <w:r w:rsidRPr="00664108">
              <w:rPr>
                <w:b/>
                <w:sz w:val="18"/>
                <w:szCs w:val="18"/>
              </w:rPr>
              <w:t>422252</w:t>
            </w:r>
          </w:p>
        </w:tc>
        <w:tc>
          <w:tcPr>
            <w:tcW w:w="743" w:type="dxa"/>
            <w:tcBorders>
              <w:top w:val="single" w:sz="2" w:space="0" w:color="000000"/>
              <w:left w:val="single" w:sz="2" w:space="0" w:color="000000"/>
              <w:bottom w:val="single" w:sz="2" w:space="0" w:color="000000"/>
              <w:right w:val="single" w:sz="2" w:space="0" w:color="000000"/>
            </w:tcBorders>
            <w:vAlign w:val="center"/>
          </w:tcPr>
          <w:p w14:paraId="560AD9AF"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395383</w:t>
            </w:r>
          </w:p>
        </w:tc>
        <w:tc>
          <w:tcPr>
            <w:tcW w:w="742" w:type="dxa"/>
            <w:tcBorders>
              <w:top w:val="single" w:sz="2" w:space="0" w:color="000000"/>
              <w:left w:val="single" w:sz="2" w:space="0" w:color="000000"/>
              <w:bottom w:val="single" w:sz="2" w:space="0" w:color="000000"/>
              <w:right w:val="single" w:sz="2" w:space="0" w:color="000000"/>
            </w:tcBorders>
            <w:vAlign w:val="center"/>
          </w:tcPr>
          <w:p w14:paraId="794DE75C"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329989</w:t>
            </w:r>
          </w:p>
        </w:tc>
        <w:tc>
          <w:tcPr>
            <w:tcW w:w="742" w:type="dxa"/>
            <w:tcBorders>
              <w:top w:val="single" w:sz="2" w:space="0" w:color="000000"/>
              <w:left w:val="single" w:sz="2" w:space="0" w:color="000000"/>
              <w:bottom w:val="single" w:sz="2" w:space="0" w:color="000000"/>
              <w:right w:val="single" w:sz="2" w:space="0" w:color="000000"/>
            </w:tcBorders>
            <w:vAlign w:val="center"/>
          </w:tcPr>
          <w:p w14:paraId="3CB1BDFE" w14:textId="77777777" w:rsidR="00745926" w:rsidRPr="00634E4C" w:rsidRDefault="00745926" w:rsidP="00745926">
            <w:pPr>
              <w:spacing w:line="259" w:lineRule="auto"/>
              <w:ind w:left="59"/>
              <w:jc w:val="left"/>
              <w:rPr>
                <w:rFonts w:asciiTheme="majorHAnsi" w:hAnsiTheme="majorHAnsi"/>
                <w:b/>
                <w:sz w:val="18"/>
              </w:rPr>
            </w:pPr>
            <w:r w:rsidRPr="00634E4C">
              <w:rPr>
                <w:rFonts w:asciiTheme="majorHAnsi" w:hAnsiTheme="majorHAnsi"/>
                <w:b/>
                <w:sz w:val="18"/>
              </w:rPr>
              <w:t>266934</w:t>
            </w:r>
          </w:p>
        </w:tc>
        <w:tc>
          <w:tcPr>
            <w:tcW w:w="745" w:type="dxa"/>
            <w:tcBorders>
              <w:top w:val="single" w:sz="2" w:space="0" w:color="000000"/>
              <w:left w:val="single" w:sz="2" w:space="0" w:color="000000"/>
              <w:bottom w:val="single" w:sz="2" w:space="0" w:color="000000"/>
              <w:right w:val="single" w:sz="2" w:space="0" w:color="000000"/>
            </w:tcBorders>
            <w:vAlign w:val="center"/>
          </w:tcPr>
          <w:p w14:paraId="09D27FA2" w14:textId="77777777" w:rsidR="00745926" w:rsidRPr="00634E4C" w:rsidRDefault="00745926" w:rsidP="00745926">
            <w:pPr>
              <w:spacing w:line="259" w:lineRule="auto"/>
              <w:ind w:left="63"/>
              <w:jc w:val="left"/>
              <w:rPr>
                <w:rFonts w:asciiTheme="majorHAnsi" w:hAnsiTheme="majorHAnsi"/>
                <w:b/>
                <w:sz w:val="18"/>
              </w:rPr>
            </w:pPr>
            <w:r w:rsidRPr="00634E4C">
              <w:rPr>
                <w:rFonts w:asciiTheme="majorHAnsi" w:hAnsiTheme="majorHAnsi"/>
                <w:b/>
                <w:sz w:val="18"/>
              </w:rPr>
              <w:t>202492</w:t>
            </w:r>
          </w:p>
        </w:tc>
        <w:tc>
          <w:tcPr>
            <w:tcW w:w="680" w:type="dxa"/>
            <w:tcBorders>
              <w:top w:val="single" w:sz="2" w:space="0" w:color="000000"/>
              <w:left w:val="single" w:sz="2" w:space="0" w:color="000000"/>
              <w:bottom w:val="single" w:sz="2" w:space="0" w:color="000000"/>
              <w:right w:val="single" w:sz="2" w:space="0" w:color="000000"/>
            </w:tcBorders>
            <w:vAlign w:val="center"/>
          </w:tcPr>
          <w:p w14:paraId="6B7732D4" w14:textId="77777777" w:rsidR="00745926" w:rsidRPr="00634E4C" w:rsidRDefault="00745926" w:rsidP="00745926">
            <w:pPr>
              <w:spacing w:line="259" w:lineRule="auto"/>
              <w:ind w:left="63"/>
              <w:jc w:val="left"/>
              <w:rPr>
                <w:rFonts w:asciiTheme="majorHAnsi" w:hAnsiTheme="majorHAnsi"/>
                <w:b/>
                <w:sz w:val="18"/>
              </w:rPr>
            </w:pPr>
            <w:r w:rsidRPr="00634E4C">
              <w:rPr>
                <w:rFonts w:asciiTheme="majorHAnsi" w:hAnsiTheme="majorHAnsi"/>
                <w:b/>
                <w:sz w:val="18"/>
              </w:rPr>
              <w:t>-2597</w:t>
            </w:r>
          </w:p>
        </w:tc>
      </w:tr>
    </w:tbl>
    <w:p w14:paraId="4D9E4E86" w14:textId="77777777" w:rsidR="00920B68" w:rsidRPr="00364545" w:rsidRDefault="00920B68" w:rsidP="00920B68">
      <w:pPr>
        <w:pStyle w:val="Caption"/>
      </w:pPr>
      <w:r w:rsidRPr="00364545">
        <w:t xml:space="preserve">Table </w:t>
      </w:r>
      <w:fldSimple w:instr=" SEQ Tableau \* ARABIC ">
        <w:r w:rsidRPr="00364545">
          <w:rPr>
            <w:noProof/>
          </w:rPr>
          <w:t>18</w:t>
        </w:r>
      </w:fldSimple>
      <w:r w:rsidRPr="00364545">
        <w:t>: GHG emission projections by gas (in ktCO</w:t>
      </w:r>
      <w:r w:rsidRPr="00364545">
        <w:rPr>
          <w:vertAlign w:val="subscript"/>
        </w:rPr>
        <w:t>2</w:t>
      </w:r>
      <w:r w:rsidRPr="00364545">
        <w:t>e) at Kyoto scope in the WAM 2018 scenario (With Additional Measures)</w:t>
      </w:r>
    </w:p>
    <w:p w14:paraId="4D37384E" w14:textId="77777777" w:rsidR="00920B68" w:rsidRPr="00364545" w:rsidRDefault="00920B68" w:rsidP="00920B68">
      <w:pPr>
        <w:pStyle w:val="Caption"/>
      </w:pPr>
      <w:r w:rsidRPr="00364545">
        <w:t>Source: UN</w:t>
      </w:r>
      <w:r>
        <w:t>FCCC inventory, Citepa/MTE, 2022</w:t>
      </w:r>
      <w:r w:rsidRPr="00364545">
        <w:t xml:space="preserve"> submission and MTE emission projections, 2018</w:t>
      </w:r>
    </w:p>
    <w:p w14:paraId="5A77E911" w14:textId="7AB6F76F" w:rsidR="00920B68" w:rsidRDefault="00920B68" w:rsidP="00920B68"/>
    <w:p w14:paraId="583F6671" w14:textId="635424F1" w:rsidR="00EA1BFA" w:rsidRPr="00364545" w:rsidRDefault="00EA1BFA" w:rsidP="00920B68">
      <w:r>
        <w:rPr>
          <w:noProof/>
          <w:lang w:val="fr-FR"/>
        </w:rPr>
        <w:drawing>
          <wp:inline distT="0" distB="0" distL="0" distR="0" wp14:anchorId="2E1A0C11" wp14:editId="444E267A">
            <wp:extent cx="6318250" cy="4242959"/>
            <wp:effectExtent l="0" t="0" r="6350" b="5715"/>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1D16926" w14:textId="13010D92" w:rsidR="00920B68" w:rsidRDefault="00920B68" w:rsidP="00920B68">
      <w:pPr>
        <w:pStyle w:val="Caption"/>
      </w:pPr>
    </w:p>
    <w:p w14:paraId="79BBA121" w14:textId="04C0D052" w:rsidR="00920B68" w:rsidRPr="00364545" w:rsidRDefault="00920B68" w:rsidP="00920B68">
      <w:pPr>
        <w:pStyle w:val="Caption"/>
      </w:pPr>
      <w:r w:rsidRPr="00364545">
        <w:t xml:space="preserve">Figure </w:t>
      </w:r>
      <w:fldSimple w:instr=" SEQ Figure \* ARABIC ">
        <w:r w:rsidRPr="00364545">
          <w:rPr>
            <w:noProof/>
          </w:rPr>
          <w:t>60</w:t>
        </w:r>
      </w:fldSimple>
      <w:r w:rsidRPr="00364545">
        <w:t>: Projection by gas in ktCO</w:t>
      </w:r>
      <w:r w:rsidRPr="00364545">
        <w:rPr>
          <w:vertAlign w:val="subscript"/>
        </w:rPr>
        <w:t>2</w:t>
      </w:r>
      <w:r w:rsidRPr="00364545">
        <w:t xml:space="preserve">-eq, excluding </w:t>
      </w:r>
      <w:r w:rsidR="00EA1BFA">
        <w:t>LULUCF, in the Kyoto format, AMS</w:t>
      </w:r>
      <w:r w:rsidRPr="00364545">
        <w:t xml:space="preserve"> scenario </w:t>
      </w:r>
    </w:p>
    <w:p w14:paraId="2E217663" w14:textId="77777777" w:rsidR="00920B68" w:rsidRPr="00364545" w:rsidRDefault="00920B68" w:rsidP="00920B68">
      <w:pPr>
        <w:pStyle w:val="Caption"/>
      </w:pPr>
      <w:r w:rsidRPr="00364545">
        <w:t>Source: UN</w:t>
      </w:r>
      <w:r>
        <w:t>FCCC inventory, Citepa/MTE, 2022</w:t>
      </w:r>
      <w:r w:rsidRPr="00364545">
        <w:t xml:space="preserve"> submission and MTE emission projections, 2018</w:t>
      </w:r>
    </w:p>
    <w:p w14:paraId="54C77022" w14:textId="77777777" w:rsidR="00920B68" w:rsidRPr="00364545" w:rsidRDefault="00920B68" w:rsidP="00920B68"/>
    <w:p w14:paraId="77FA2CE9" w14:textId="725E4A9A" w:rsidR="00920B68" w:rsidRDefault="00920B68" w:rsidP="00920B68">
      <w:pPr>
        <w:pStyle w:val="Caption"/>
      </w:pPr>
    </w:p>
    <w:p w14:paraId="463F01A0" w14:textId="16D22C9E" w:rsidR="00EA1BFA" w:rsidRDefault="00EA1BFA" w:rsidP="00920B68">
      <w:pPr>
        <w:pStyle w:val="Caption"/>
      </w:pPr>
      <w:r>
        <w:rPr>
          <w:noProof/>
          <w:lang w:val="fr-FR"/>
        </w:rPr>
        <w:drawing>
          <wp:inline distT="0" distB="0" distL="0" distR="0" wp14:anchorId="18066F4F" wp14:editId="0A8D1374">
            <wp:extent cx="6318250" cy="3841750"/>
            <wp:effectExtent l="0" t="0" r="6350" b="6350"/>
            <wp:docPr id="28719" name="Graphique 287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399E054" w14:textId="1CF6E1BE" w:rsidR="00920B68" w:rsidRPr="00364545" w:rsidRDefault="00920B68" w:rsidP="00920B68">
      <w:pPr>
        <w:pStyle w:val="Caption"/>
      </w:pPr>
      <w:r w:rsidRPr="00364545">
        <w:t xml:space="preserve">Figure </w:t>
      </w:r>
      <w:fldSimple w:instr=" SEQ Figure \* ARABIC ">
        <w:r w:rsidRPr="00364545">
          <w:rPr>
            <w:noProof/>
          </w:rPr>
          <w:t>61</w:t>
        </w:r>
      </w:fldSimple>
      <w:r w:rsidRPr="00364545">
        <w:t>: Projection by gas in ktCO</w:t>
      </w:r>
      <w:r w:rsidRPr="00364545">
        <w:rPr>
          <w:vertAlign w:val="subscript"/>
        </w:rPr>
        <w:t>2</w:t>
      </w:r>
      <w:r w:rsidRPr="00364545">
        <w:t>-eq, including LULUCF, in the Kyoto format, AM</w:t>
      </w:r>
      <w:r w:rsidR="00EA1BFA">
        <w:t>S</w:t>
      </w:r>
      <w:r w:rsidRPr="00364545">
        <w:t xml:space="preserve"> 2018 scenario </w:t>
      </w:r>
    </w:p>
    <w:p w14:paraId="513FE6D5" w14:textId="77777777" w:rsidR="00920B68" w:rsidRPr="00364545" w:rsidRDefault="00920B68" w:rsidP="00920B68">
      <w:pPr>
        <w:pStyle w:val="Caption"/>
      </w:pPr>
      <w:r w:rsidRPr="00364545">
        <w:t>Source: UN</w:t>
      </w:r>
      <w:r>
        <w:t>FCCC inventory, Citepa/MTE, 2022</w:t>
      </w:r>
      <w:r w:rsidRPr="00364545">
        <w:t xml:space="preserve"> submission and MTE emission projections, 2018</w:t>
      </w:r>
    </w:p>
    <w:p w14:paraId="1B875DEF" w14:textId="77777777" w:rsidR="00920B68" w:rsidRPr="00364545" w:rsidRDefault="00920B68" w:rsidP="00920B68">
      <w:pPr>
        <w:pStyle w:val="Titre4niveau4"/>
        <w:numPr>
          <w:ilvl w:val="2"/>
          <w:numId w:val="108"/>
        </w:numPr>
        <w:spacing w:before="240"/>
      </w:pPr>
      <w:r w:rsidRPr="00364545">
        <w:t>Cross-sectoral and gas-specific trends</w:t>
      </w:r>
    </w:p>
    <w:p w14:paraId="332B6A86" w14:textId="77777777" w:rsidR="00920B68" w:rsidRPr="00364545" w:rsidRDefault="00920B68" w:rsidP="00920B68">
      <w:pPr>
        <w:pStyle w:val="titreencadre"/>
        <w:numPr>
          <w:ilvl w:val="3"/>
          <w:numId w:val="108"/>
        </w:numPr>
        <w:spacing w:before="120" w:after="60" w:line="240" w:lineRule="auto"/>
      </w:pPr>
      <w:r w:rsidRPr="00364545">
        <w:t>AME 2021</w:t>
      </w:r>
    </w:p>
    <w:p w14:paraId="23A26236" w14:textId="77777777" w:rsidR="00920B68" w:rsidRPr="00364545" w:rsidRDefault="00920B68" w:rsidP="00920B68"/>
    <w:tbl>
      <w:tblPr>
        <w:tblStyle w:val="TableGrid0"/>
        <w:tblW w:w="9934" w:type="dxa"/>
        <w:tblInd w:w="10" w:type="dxa"/>
        <w:tblLayout w:type="fixed"/>
        <w:tblCellMar>
          <w:top w:w="39" w:type="dxa"/>
          <w:left w:w="28" w:type="dxa"/>
          <w:bottom w:w="2" w:type="dxa"/>
          <w:right w:w="31" w:type="dxa"/>
        </w:tblCellMar>
        <w:tblLook w:val="04A0" w:firstRow="1" w:lastRow="0" w:firstColumn="1" w:lastColumn="0" w:noHBand="0" w:noVBand="1"/>
      </w:tblPr>
      <w:tblGrid>
        <w:gridCol w:w="1121"/>
        <w:gridCol w:w="734"/>
        <w:gridCol w:w="734"/>
        <w:gridCol w:w="735"/>
        <w:gridCol w:w="734"/>
        <w:gridCol w:w="735"/>
        <w:gridCol w:w="734"/>
        <w:gridCol w:w="734"/>
        <w:gridCol w:w="735"/>
        <w:gridCol w:w="734"/>
        <w:gridCol w:w="735"/>
        <w:gridCol w:w="734"/>
        <w:gridCol w:w="735"/>
      </w:tblGrid>
      <w:tr w:rsidR="00920B68" w:rsidRPr="00364545" w14:paraId="5270D6E4" w14:textId="77777777" w:rsidTr="00920B68">
        <w:trPr>
          <w:trHeight w:val="400"/>
        </w:trPr>
        <w:tc>
          <w:tcPr>
            <w:tcW w:w="1121" w:type="dxa"/>
            <w:tcBorders>
              <w:top w:val="single" w:sz="2" w:space="0" w:color="000000"/>
              <w:left w:val="single" w:sz="2" w:space="0" w:color="000000"/>
              <w:bottom w:val="single" w:sz="2" w:space="0" w:color="000000"/>
              <w:right w:val="single" w:sz="2" w:space="0" w:color="000000"/>
            </w:tcBorders>
            <w:shd w:val="clear" w:color="auto" w:fill="6D2A78"/>
          </w:tcPr>
          <w:p w14:paraId="279E68B1" w14:textId="77777777" w:rsidR="00920B68" w:rsidRPr="00364545" w:rsidRDefault="00920B68" w:rsidP="00920B68">
            <w:pPr>
              <w:spacing w:line="259" w:lineRule="auto"/>
              <w:jc w:val="left"/>
            </w:pPr>
            <w:r w:rsidRPr="00364545">
              <w:t>AME 21 – CO</w:t>
            </w:r>
            <w:r w:rsidRPr="00364545">
              <w:rPr>
                <w:vertAlign w:val="subscript"/>
              </w:rPr>
              <w:t>2</w:t>
            </w:r>
          </w:p>
        </w:tc>
        <w:tc>
          <w:tcPr>
            <w:tcW w:w="73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3231530" w14:textId="77777777" w:rsidR="00920B68" w:rsidRPr="00364545" w:rsidRDefault="00920B68" w:rsidP="00920B68">
            <w:pPr>
              <w:spacing w:line="259" w:lineRule="auto"/>
              <w:ind w:left="1"/>
              <w:jc w:val="center"/>
            </w:pPr>
            <w:r w:rsidRPr="00364545">
              <w:rPr>
                <w:b/>
                <w:color w:val="FFFFFF"/>
                <w:sz w:val="18"/>
              </w:rPr>
              <w:t>1990</w:t>
            </w:r>
          </w:p>
        </w:tc>
        <w:tc>
          <w:tcPr>
            <w:tcW w:w="73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3F07F77" w14:textId="77777777" w:rsidR="00920B68" w:rsidRPr="00364545" w:rsidRDefault="00920B68" w:rsidP="00920B68">
            <w:pPr>
              <w:spacing w:line="259" w:lineRule="auto"/>
              <w:ind w:left="4"/>
              <w:jc w:val="center"/>
              <w:rPr>
                <w:b/>
                <w:color w:val="FFFFFF"/>
                <w:sz w:val="18"/>
              </w:rPr>
            </w:pPr>
            <w:r w:rsidRPr="00364545">
              <w:rPr>
                <w:b/>
                <w:color w:val="FFFFFF"/>
                <w:sz w:val="18"/>
              </w:rPr>
              <w:t>1995</w:t>
            </w:r>
          </w:p>
        </w:tc>
        <w:tc>
          <w:tcPr>
            <w:tcW w:w="73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C56FECD" w14:textId="77777777" w:rsidR="00920B68" w:rsidRPr="00364545" w:rsidRDefault="00920B68" w:rsidP="00920B68">
            <w:pPr>
              <w:spacing w:line="259" w:lineRule="auto"/>
              <w:ind w:left="4"/>
              <w:jc w:val="center"/>
            </w:pPr>
            <w:r w:rsidRPr="00364545">
              <w:rPr>
                <w:b/>
                <w:color w:val="FFFFFF"/>
                <w:sz w:val="18"/>
              </w:rPr>
              <w:t>2000</w:t>
            </w:r>
          </w:p>
        </w:tc>
        <w:tc>
          <w:tcPr>
            <w:tcW w:w="73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079F814" w14:textId="77777777" w:rsidR="00920B68" w:rsidRPr="00364545" w:rsidRDefault="00920B68" w:rsidP="00920B68">
            <w:pPr>
              <w:spacing w:line="259" w:lineRule="auto"/>
              <w:ind w:left="1"/>
              <w:jc w:val="center"/>
            </w:pPr>
            <w:r w:rsidRPr="00364545">
              <w:rPr>
                <w:b/>
                <w:color w:val="FFFFFF"/>
                <w:sz w:val="18"/>
              </w:rPr>
              <w:t>2005</w:t>
            </w:r>
          </w:p>
        </w:tc>
        <w:tc>
          <w:tcPr>
            <w:tcW w:w="73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422F0FFA" w14:textId="77777777" w:rsidR="00920B68" w:rsidRPr="00364545" w:rsidRDefault="00920B68" w:rsidP="00920B68">
            <w:pPr>
              <w:spacing w:line="259" w:lineRule="auto"/>
              <w:ind w:left="4"/>
              <w:jc w:val="center"/>
            </w:pPr>
            <w:r w:rsidRPr="00364545">
              <w:rPr>
                <w:b/>
                <w:color w:val="FFFFFF"/>
                <w:sz w:val="18"/>
              </w:rPr>
              <w:t>2010</w:t>
            </w:r>
          </w:p>
        </w:tc>
        <w:tc>
          <w:tcPr>
            <w:tcW w:w="73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284B533" w14:textId="77777777" w:rsidR="00920B68" w:rsidRPr="00364545" w:rsidRDefault="00920B68" w:rsidP="00920B68">
            <w:pPr>
              <w:spacing w:line="259" w:lineRule="auto"/>
              <w:ind w:left="1"/>
              <w:jc w:val="center"/>
            </w:pPr>
            <w:r w:rsidRPr="00364545">
              <w:rPr>
                <w:b/>
                <w:color w:val="FFFFFF"/>
                <w:sz w:val="18"/>
              </w:rPr>
              <w:t>2015</w:t>
            </w:r>
          </w:p>
        </w:tc>
        <w:tc>
          <w:tcPr>
            <w:tcW w:w="73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8283506" w14:textId="77777777" w:rsidR="00920B68" w:rsidRPr="00364545" w:rsidRDefault="00920B68" w:rsidP="00920B68">
            <w:pPr>
              <w:spacing w:line="259" w:lineRule="auto"/>
              <w:ind w:left="4"/>
              <w:jc w:val="center"/>
              <w:rPr>
                <w:b/>
                <w:color w:val="FFFFFF"/>
                <w:sz w:val="18"/>
              </w:rPr>
            </w:pPr>
            <w:r w:rsidRPr="00364545">
              <w:rPr>
                <w:b/>
                <w:color w:val="FFFFFF"/>
                <w:sz w:val="18"/>
              </w:rPr>
              <w:t>2019</w:t>
            </w:r>
          </w:p>
        </w:tc>
        <w:tc>
          <w:tcPr>
            <w:tcW w:w="73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9871CAB" w14:textId="77777777" w:rsidR="00920B68" w:rsidRPr="00364545" w:rsidRDefault="00920B68" w:rsidP="00920B68">
            <w:pPr>
              <w:spacing w:line="259" w:lineRule="auto"/>
              <w:ind w:left="4"/>
              <w:jc w:val="center"/>
            </w:pPr>
            <w:r w:rsidRPr="00364545">
              <w:rPr>
                <w:b/>
                <w:color w:val="FFFFFF"/>
                <w:sz w:val="18"/>
              </w:rPr>
              <w:t>2020</w:t>
            </w:r>
          </w:p>
        </w:tc>
        <w:tc>
          <w:tcPr>
            <w:tcW w:w="73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F639EC4" w14:textId="77777777" w:rsidR="00920B68" w:rsidRPr="00364545" w:rsidRDefault="00920B68" w:rsidP="00920B68">
            <w:pPr>
              <w:spacing w:line="259" w:lineRule="auto"/>
              <w:ind w:left="1"/>
              <w:jc w:val="center"/>
            </w:pPr>
            <w:r w:rsidRPr="00364545">
              <w:rPr>
                <w:b/>
                <w:color w:val="FFFFFF"/>
                <w:sz w:val="18"/>
              </w:rPr>
              <w:t>2025</w:t>
            </w:r>
          </w:p>
        </w:tc>
        <w:tc>
          <w:tcPr>
            <w:tcW w:w="73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BCEAC74" w14:textId="77777777" w:rsidR="00920B68" w:rsidRPr="00364545" w:rsidRDefault="00920B68" w:rsidP="00920B68">
            <w:pPr>
              <w:spacing w:line="259" w:lineRule="auto"/>
              <w:ind w:left="4"/>
              <w:jc w:val="center"/>
            </w:pPr>
            <w:r w:rsidRPr="00364545">
              <w:rPr>
                <w:b/>
                <w:color w:val="FFFFFF"/>
                <w:sz w:val="18"/>
              </w:rPr>
              <w:t>2030</w:t>
            </w:r>
          </w:p>
        </w:tc>
        <w:tc>
          <w:tcPr>
            <w:tcW w:w="73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2BAC3AC" w14:textId="77777777" w:rsidR="00920B68" w:rsidRPr="00364545" w:rsidRDefault="00920B68" w:rsidP="00920B68">
            <w:pPr>
              <w:spacing w:line="259" w:lineRule="auto"/>
              <w:ind w:left="3"/>
              <w:jc w:val="center"/>
            </w:pPr>
            <w:r w:rsidRPr="00364545">
              <w:rPr>
                <w:b/>
                <w:color w:val="FFFFFF"/>
                <w:sz w:val="18"/>
              </w:rPr>
              <w:t>2035</w:t>
            </w:r>
          </w:p>
        </w:tc>
        <w:tc>
          <w:tcPr>
            <w:tcW w:w="73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1F155AE" w14:textId="77777777" w:rsidR="00920B68" w:rsidRPr="00364545" w:rsidRDefault="00920B68" w:rsidP="00920B68">
            <w:pPr>
              <w:spacing w:line="259" w:lineRule="auto"/>
              <w:ind w:left="3"/>
              <w:jc w:val="center"/>
              <w:rPr>
                <w:b/>
                <w:color w:val="FFFFFF"/>
                <w:sz w:val="18"/>
              </w:rPr>
            </w:pPr>
            <w:r w:rsidRPr="00364545">
              <w:rPr>
                <w:b/>
                <w:color w:val="FFFFFF"/>
                <w:sz w:val="18"/>
              </w:rPr>
              <w:t>2050</w:t>
            </w:r>
          </w:p>
        </w:tc>
      </w:tr>
      <w:tr w:rsidR="00920B68" w:rsidRPr="00364545" w14:paraId="1AEC0C3D" w14:textId="77777777" w:rsidTr="00920B68">
        <w:trPr>
          <w:trHeight w:val="347"/>
        </w:trPr>
        <w:tc>
          <w:tcPr>
            <w:tcW w:w="1121" w:type="dxa"/>
            <w:tcBorders>
              <w:top w:val="single" w:sz="2" w:space="0" w:color="000000"/>
              <w:left w:val="single" w:sz="2" w:space="0" w:color="000000"/>
              <w:bottom w:val="single" w:sz="2" w:space="0" w:color="000000"/>
              <w:right w:val="single" w:sz="2" w:space="0" w:color="000000"/>
            </w:tcBorders>
          </w:tcPr>
          <w:p w14:paraId="4DF0CB35" w14:textId="77777777" w:rsidR="00920B68" w:rsidRPr="00364545" w:rsidRDefault="00920B68" w:rsidP="00920B68">
            <w:pPr>
              <w:spacing w:line="259" w:lineRule="auto"/>
            </w:pPr>
            <w:r w:rsidRPr="00364545">
              <w:rPr>
                <w:sz w:val="18"/>
              </w:rPr>
              <w:t xml:space="preserve">Energy </w:t>
            </w:r>
          </w:p>
        </w:tc>
        <w:tc>
          <w:tcPr>
            <w:tcW w:w="734" w:type="dxa"/>
            <w:tcBorders>
              <w:top w:val="single" w:sz="2" w:space="0" w:color="000000"/>
              <w:left w:val="single" w:sz="2" w:space="0" w:color="000000"/>
              <w:bottom w:val="single" w:sz="2" w:space="0" w:color="000000"/>
              <w:right w:val="single" w:sz="2" w:space="0" w:color="000000"/>
            </w:tcBorders>
            <w:vAlign w:val="center"/>
          </w:tcPr>
          <w:p w14:paraId="29B09D0D" w14:textId="77777777" w:rsidR="00920B68" w:rsidRPr="00364545" w:rsidRDefault="00920B68" w:rsidP="00920B68">
            <w:pPr>
              <w:spacing w:line="259" w:lineRule="auto"/>
              <w:ind w:left="56"/>
              <w:jc w:val="center"/>
            </w:pPr>
            <w:r>
              <w:rPr>
                <w:sz w:val="18"/>
                <w:szCs w:val="18"/>
              </w:rPr>
              <w:t>351435</w:t>
            </w:r>
          </w:p>
        </w:tc>
        <w:tc>
          <w:tcPr>
            <w:tcW w:w="734" w:type="dxa"/>
            <w:tcBorders>
              <w:top w:val="single" w:sz="2" w:space="0" w:color="000000"/>
              <w:left w:val="single" w:sz="2" w:space="0" w:color="000000"/>
              <w:bottom w:val="single" w:sz="2" w:space="0" w:color="000000"/>
              <w:right w:val="single" w:sz="2" w:space="0" w:color="000000"/>
            </w:tcBorders>
            <w:vAlign w:val="center"/>
          </w:tcPr>
          <w:p w14:paraId="7785CBAB" w14:textId="77777777" w:rsidR="00920B68" w:rsidRPr="00364545" w:rsidRDefault="00920B68" w:rsidP="00920B68">
            <w:pPr>
              <w:spacing w:line="259" w:lineRule="auto"/>
              <w:ind w:left="56"/>
              <w:jc w:val="center"/>
              <w:rPr>
                <w:sz w:val="18"/>
              </w:rPr>
            </w:pPr>
            <w:r>
              <w:rPr>
                <w:sz w:val="18"/>
                <w:szCs w:val="18"/>
              </w:rPr>
              <w:t>350115</w:t>
            </w:r>
          </w:p>
        </w:tc>
        <w:tc>
          <w:tcPr>
            <w:tcW w:w="735" w:type="dxa"/>
            <w:tcBorders>
              <w:top w:val="single" w:sz="2" w:space="0" w:color="000000"/>
              <w:left w:val="single" w:sz="2" w:space="0" w:color="000000"/>
              <w:bottom w:val="single" w:sz="2" w:space="0" w:color="000000"/>
              <w:right w:val="single" w:sz="2" w:space="0" w:color="000000"/>
            </w:tcBorders>
            <w:vAlign w:val="center"/>
          </w:tcPr>
          <w:p w14:paraId="62E3580E" w14:textId="77777777" w:rsidR="00920B68" w:rsidRPr="00364545" w:rsidRDefault="00920B68" w:rsidP="00920B68">
            <w:pPr>
              <w:spacing w:line="259" w:lineRule="auto"/>
              <w:ind w:left="58"/>
              <w:jc w:val="center"/>
            </w:pPr>
            <w:r>
              <w:rPr>
                <w:sz w:val="18"/>
                <w:szCs w:val="18"/>
              </w:rPr>
              <w:t>370522</w:t>
            </w:r>
          </w:p>
        </w:tc>
        <w:tc>
          <w:tcPr>
            <w:tcW w:w="734" w:type="dxa"/>
            <w:tcBorders>
              <w:top w:val="single" w:sz="2" w:space="0" w:color="000000"/>
              <w:left w:val="single" w:sz="2" w:space="0" w:color="000000"/>
              <w:bottom w:val="single" w:sz="2" w:space="0" w:color="000000"/>
              <w:right w:val="single" w:sz="2" w:space="0" w:color="000000"/>
            </w:tcBorders>
            <w:vAlign w:val="center"/>
          </w:tcPr>
          <w:p w14:paraId="46B5F185" w14:textId="77777777" w:rsidR="00920B68" w:rsidRPr="00364545" w:rsidRDefault="00920B68" w:rsidP="00920B68">
            <w:pPr>
              <w:spacing w:line="259" w:lineRule="auto"/>
              <w:ind w:left="56"/>
              <w:jc w:val="center"/>
            </w:pPr>
            <w:r>
              <w:rPr>
                <w:sz w:val="18"/>
                <w:szCs w:val="18"/>
              </w:rPr>
              <w:t>381286</w:t>
            </w:r>
          </w:p>
        </w:tc>
        <w:tc>
          <w:tcPr>
            <w:tcW w:w="735" w:type="dxa"/>
            <w:tcBorders>
              <w:top w:val="single" w:sz="2" w:space="0" w:color="000000"/>
              <w:left w:val="single" w:sz="2" w:space="0" w:color="000000"/>
              <w:bottom w:val="single" w:sz="2" w:space="0" w:color="000000"/>
              <w:right w:val="single" w:sz="2" w:space="0" w:color="000000"/>
            </w:tcBorders>
            <w:vAlign w:val="center"/>
          </w:tcPr>
          <w:p w14:paraId="4CFF4C63" w14:textId="77777777" w:rsidR="00920B68" w:rsidRPr="00364545" w:rsidRDefault="00920B68" w:rsidP="00920B68">
            <w:pPr>
              <w:spacing w:line="259" w:lineRule="auto"/>
              <w:ind w:left="58"/>
              <w:jc w:val="center"/>
            </w:pPr>
            <w:r>
              <w:rPr>
                <w:sz w:val="18"/>
                <w:szCs w:val="18"/>
              </w:rPr>
              <w:t>350369</w:t>
            </w:r>
          </w:p>
        </w:tc>
        <w:tc>
          <w:tcPr>
            <w:tcW w:w="734" w:type="dxa"/>
            <w:tcBorders>
              <w:top w:val="single" w:sz="2" w:space="0" w:color="000000"/>
              <w:left w:val="single" w:sz="2" w:space="0" w:color="000000"/>
              <w:bottom w:val="single" w:sz="2" w:space="0" w:color="000000"/>
              <w:right w:val="single" w:sz="2" w:space="0" w:color="000000"/>
            </w:tcBorders>
            <w:vAlign w:val="center"/>
          </w:tcPr>
          <w:p w14:paraId="79226055" w14:textId="77777777" w:rsidR="00920B68" w:rsidRPr="00364545" w:rsidRDefault="00920B68" w:rsidP="00920B68">
            <w:pPr>
              <w:spacing w:line="259" w:lineRule="auto"/>
              <w:ind w:left="56"/>
              <w:jc w:val="center"/>
            </w:pPr>
            <w:r>
              <w:rPr>
                <w:sz w:val="18"/>
                <w:szCs w:val="18"/>
              </w:rPr>
              <w:t>307160</w:t>
            </w:r>
          </w:p>
        </w:tc>
        <w:tc>
          <w:tcPr>
            <w:tcW w:w="734" w:type="dxa"/>
            <w:tcBorders>
              <w:top w:val="single" w:sz="2" w:space="0" w:color="000000"/>
              <w:left w:val="single" w:sz="2" w:space="0" w:color="000000"/>
              <w:bottom w:val="single" w:sz="2" w:space="0" w:color="000000"/>
              <w:right w:val="single" w:sz="2" w:space="0" w:color="000000"/>
            </w:tcBorders>
            <w:vAlign w:val="center"/>
          </w:tcPr>
          <w:p w14:paraId="36D68C13" w14:textId="77777777" w:rsidR="00920B68" w:rsidRPr="00364545" w:rsidRDefault="00920B68" w:rsidP="00920B68">
            <w:pPr>
              <w:spacing w:line="259" w:lineRule="auto"/>
              <w:ind w:left="58"/>
              <w:jc w:val="center"/>
              <w:rPr>
                <w:sz w:val="18"/>
              </w:rPr>
            </w:pPr>
            <w:r>
              <w:rPr>
                <w:sz w:val="18"/>
                <w:szCs w:val="18"/>
              </w:rPr>
              <w:t>291379</w:t>
            </w:r>
          </w:p>
        </w:tc>
        <w:tc>
          <w:tcPr>
            <w:tcW w:w="735" w:type="dxa"/>
            <w:tcBorders>
              <w:top w:val="single" w:sz="2" w:space="0" w:color="000000"/>
              <w:left w:val="single" w:sz="2" w:space="0" w:color="000000"/>
              <w:bottom w:val="single" w:sz="2" w:space="0" w:color="000000"/>
              <w:right w:val="single" w:sz="2" w:space="0" w:color="000000"/>
            </w:tcBorders>
            <w:vAlign w:val="center"/>
          </w:tcPr>
          <w:p w14:paraId="5FC87DA8" w14:textId="77777777" w:rsidR="00920B68" w:rsidRPr="00364545" w:rsidRDefault="00920B68" w:rsidP="00920B68">
            <w:pPr>
              <w:spacing w:line="259" w:lineRule="auto"/>
              <w:ind w:left="58"/>
              <w:jc w:val="center"/>
            </w:pPr>
            <w:r w:rsidRPr="00364545">
              <w:rPr>
                <w:sz w:val="18"/>
              </w:rPr>
              <w:t>259004</w:t>
            </w:r>
          </w:p>
        </w:tc>
        <w:tc>
          <w:tcPr>
            <w:tcW w:w="734" w:type="dxa"/>
            <w:tcBorders>
              <w:top w:val="single" w:sz="2" w:space="0" w:color="000000"/>
              <w:left w:val="single" w:sz="2" w:space="0" w:color="000000"/>
              <w:bottom w:val="single" w:sz="2" w:space="0" w:color="000000"/>
              <w:right w:val="single" w:sz="2" w:space="0" w:color="000000"/>
            </w:tcBorders>
            <w:vAlign w:val="center"/>
          </w:tcPr>
          <w:p w14:paraId="29897E2F" w14:textId="77777777" w:rsidR="00920B68" w:rsidRPr="00364545" w:rsidRDefault="00920B68" w:rsidP="00920B68">
            <w:pPr>
              <w:spacing w:line="259" w:lineRule="auto"/>
              <w:ind w:left="56"/>
              <w:jc w:val="center"/>
            </w:pPr>
            <w:r w:rsidRPr="00364545">
              <w:rPr>
                <w:sz w:val="18"/>
              </w:rPr>
              <w:t>256402</w:t>
            </w:r>
          </w:p>
        </w:tc>
        <w:tc>
          <w:tcPr>
            <w:tcW w:w="735" w:type="dxa"/>
            <w:tcBorders>
              <w:top w:val="single" w:sz="2" w:space="0" w:color="000000"/>
              <w:left w:val="single" w:sz="2" w:space="0" w:color="000000"/>
              <w:bottom w:val="single" w:sz="2" w:space="0" w:color="000000"/>
              <w:right w:val="single" w:sz="2" w:space="0" w:color="000000"/>
            </w:tcBorders>
            <w:vAlign w:val="center"/>
          </w:tcPr>
          <w:p w14:paraId="1ABA96FC" w14:textId="77777777" w:rsidR="00920B68" w:rsidRPr="00364545" w:rsidRDefault="00920B68" w:rsidP="00920B68">
            <w:pPr>
              <w:spacing w:line="259" w:lineRule="auto"/>
              <w:ind w:left="58"/>
              <w:jc w:val="center"/>
            </w:pPr>
            <w:r w:rsidRPr="00364545">
              <w:rPr>
                <w:sz w:val="18"/>
              </w:rPr>
              <w:t>235838</w:t>
            </w:r>
          </w:p>
        </w:tc>
        <w:tc>
          <w:tcPr>
            <w:tcW w:w="734" w:type="dxa"/>
            <w:tcBorders>
              <w:top w:val="single" w:sz="2" w:space="0" w:color="000000"/>
              <w:left w:val="single" w:sz="2" w:space="0" w:color="000000"/>
              <w:bottom w:val="single" w:sz="2" w:space="0" w:color="000000"/>
              <w:right w:val="single" w:sz="2" w:space="0" w:color="000000"/>
            </w:tcBorders>
            <w:vAlign w:val="center"/>
          </w:tcPr>
          <w:p w14:paraId="033F0716" w14:textId="77777777" w:rsidR="00920B68" w:rsidRPr="00364545" w:rsidRDefault="00920B68" w:rsidP="00920B68">
            <w:pPr>
              <w:spacing w:line="259" w:lineRule="auto"/>
              <w:ind w:left="56"/>
              <w:jc w:val="center"/>
            </w:pPr>
            <w:r w:rsidRPr="00364545">
              <w:rPr>
                <w:sz w:val="18"/>
              </w:rPr>
              <w:t>226591</w:t>
            </w:r>
          </w:p>
        </w:tc>
        <w:tc>
          <w:tcPr>
            <w:tcW w:w="735" w:type="dxa"/>
            <w:tcBorders>
              <w:top w:val="single" w:sz="2" w:space="0" w:color="000000"/>
              <w:left w:val="single" w:sz="2" w:space="0" w:color="000000"/>
              <w:bottom w:val="single" w:sz="2" w:space="0" w:color="000000"/>
              <w:right w:val="single" w:sz="2" w:space="0" w:color="000000"/>
            </w:tcBorders>
            <w:vAlign w:val="center"/>
          </w:tcPr>
          <w:p w14:paraId="23FF79B0" w14:textId="77777777" w:rsidR="00920B68" w:rsidRPr="00364545" w:rsidRDefault="00920B68" w:rsidP="00920B68">
            <w:pPr>
              <w:spacing w:line="259" w:lineRule="auto"/>
              <w:ind w:left="56"/>
              <w:jc w:val="center"/>
              <w:rPr>
                <w:sz w:val="18"/>
              </w:rPr>
            </w:pPr>
            <w:r w:rsidRPr="00364545">
              <w:rPr>
                <w:sz w:val="18"/>
              </w:rPr>
              <w:t>206719</w:t>
            </w:r>
          </w:p>
        </w:tc>
      </w:tr>
      <w:tr w:rsidR="00920B68" w:rsidRPr="00364545" w14:paraId="0C29DA07" w14:textId="77777777" w:rsidTr="00920B68">
        <w:trPr>
          <w:trHeight w:val="419"/>
        </w:trPr>
        <w:tc>
          <w:tcPr>
            <w:tcW w:w="1121" w:type="dxa"/>
            <w:tcBorders>
              <w:top w:val="single" w:sz="2" w:space="0" w:color="000000"/>
              <w:left w:val="single" w:sz="2" w:space="0" w:color="000000"/>
              <w:bottom w:val="single" w:sz="2" w:space="0" w:color="000000"/>
              <w:right w:val="single" w:sz="2" w:space="0" w:color="000000"/>
            </w:tcBorders>
            <w:shd w:val="clear" w:color="auto" w:fill="ECE6E2"/>
          </w:tcPr>
          <w:p w14:paraId="6C9E4C96" w14:textId="77777777" w:rsidR="00920B68" w:rsidRPr="00364545" w:rsidRDefault="00920B68" w:rsidP="00920B68">
            <w:pPr>
              <w:spacing w:line="259" w:lineRule="auto"/>
            </w:pPr>
            <w:r w:rsidRPr="00364545">
              <w:rPr>
                <w:sz w:val="18"/>
              </w:rPr>
              <w:t xml:space="preserve">Industrial processes, solvents and other products </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FECFAD3" w14:textId="77777777" w:rsidR="00920B68" w:rsidRPr="00364545" w:rsidRDefault="00920B68" w:rsidP="00920B68">
            <w:pPr>
              <w:spacing w:line="259" w:lineRule="auto"/>
              <w:ind w:left="106"/>
              <w:jc w:val="center"/>
            </w:pPr>
            <w:r>
              <w:rPr>
                <w:sz w:val="18"/>
                <w:szCs w:val="18"/>
              </w:rPr>
              <w:t>42902</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15F2C86" w14:textId="77777777" w:rsidR="00920B68" w:rsidRPr="00364545" w:rsidRDefault="00920B68" w:rsidP="00920B68">
            <w:pPr>
              <w:spacing w:line="259" w:lineRule="auto"/>
              <w:ind w:left="56"/>
              <w:jc w:val="center"/>
              <w:rPr>
                <w:sz w:val="18"/>
              </w:rPr>
            </w:pPr>
            <w:r>
              <w:rPr>
                <w:sz w:val="18"/>
                <w:szCs w:val="18"/>
              </w:rPr>
              <w:t>38604</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3BC92E" w14:textId="77777777" w:rsidR="00920B68" w:rsidRPr="00364545" w:rsidRDefault="00920B68" w:rsidP="00920B68">
            <w:pPr>
              <w:spacing w:line="259" w:lineRule="auto"/>
              <w:ind w:left="108"/>
              <w:jc w:val="center"/>
            </w:pPr>
            <w:r>
              <w:rPr>
                <w:sz w:val="18"/>
                <w:szCs w:val="18"/>
              </w:rPr>
              <w:t>40574</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FA19B8B" w14:textId="77777777" w:rsidR="00920B68" w:rsidRPr="00364545" w:rsidRDefault="00920B68" w:rsidP="00920B68">
            <w:pPr>
              <w:spacing w:line="259" w:lineRule="auto"/>
              <w:ind w:left="106"/>
              <w:jc w:val="center"/>
            </w:pPr>
            <w:r>
              <w:rPr>
                <w:sz w:val="18"/>
                <w:szCs w:val="18"/>
              </w:rPr>
              <w:t>40644</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5D8CEF4" w14:textId="77777777" w:rsidR="00920B68" w:rsidRPr="00364545" w:rsidRDefault="00920B68" w:rsidP="00920B68">
            <w:pPr>
              <w:spacing w:line="259" w:lineRule="auto"/>
              <w:ind w:left="108"/>
              <w:jc w:val="center"/>
            </w:pPr>
            <w:r>
              <w:rPr>
                <w:sz w:val="18"/>
                <w:szCs w:val="18"/>
              </w:rPr>
              <w:t>32910</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9884DF8" w14:textId="77777777" w:rsidR="00920B68" w:rsidRPr="00364545" w:rsidRDefault="00920B68" w:rsidP="00920B68">
            <w:pPr>
              <w:spacing w:line="259" w:lineRule="auto"/>
              <w:ind w:left="106"/>
              <w:jc w:val="center"/>
            </w:pPr>
            <w:r>
              <w:rPr>
                <w:sz w:val="18"/>
                <w:szCs w:val="18"/>
              </w:rPr>
              <w:t>30753</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D23E913" w14:textId="77777777" w:rsidR="00920B68" w:rsidRPr="00364545" w:rsidRDefault="00920B68" w:rsidP="00920B68">
            <w:pPr>
              <w:spacing w:line="259" w:lineRule="auto"/>
              <w:ind w:left="108"/>
              <w:jc w:val="center"/>
              <w:rPr>
                <w:sz w:val="18"/>
              </w:rPr>
            </w:pPr>
            <w:r>
              <w:rPr>
                <w:sz w:val="18"/>
                <w:szCs w:val="18"/>
              </w:rPr>
              <w:t>31576</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B170C5" w14:textId="77777777" w:rsidR="00920B68" w:rsidRPr="00364545" w:rsidRDefault="00920B68" w:rsidP="00920B68">
            <w:pPr>
              <w:spacing w:line="259" w:lineRule="auto"/>
              <w:ind w:left="108"/>
              <w:jc w:val="center"/>
            </w:pPr>
            <w:r w:rsidRPr="00364545">
              <w:rPr>
                <w:sz w:val="18"/>
              </w:rPr>
              <w:t>29085</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33FFA93" w14:textId="77777777" w:rsidR="00920B68" w:rsidRPr="00364545" w:rsidRDefault="00920B68" w:rsidP="00920B68">
            <w:pPr>
              <w:spacing w:line="259" w:lineRule="auto"/>
              <w:ind w:left="106"/>
              <w:jc w:val="center"/>
            </w:pPr>
            <w:r w:rsidRPr="00364545">
              <w:rPr>
                <w:sz w:val="18"/>
              </w:rPr>
              <w:t>32247</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87CBE68" w14:textId="77777777" w:rsidR="00920B68" w:rsidRPr="00364545" w:rsidRDefault="00920B68" w:rsidP="00920B68">
            <w:pPr>
              <w:spacing w:line="259" w:lineRule="auto"/>
              <w:ind w:left="108"/>
              <w:jc w:val="center"/>
            </w:pPr>
            <w:r w:rsidRPr="00364545">
              <w:rPr>
                <w:sz w:val="18"/>
              </w:rPr>
              <w:t>32522</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4A16FED" w14:textId="77777777" w:rsidR="00920B68" w:rsidRPr="00364545" w:rsidRDefault="00920B68" w:rsidP="00920B68">
            <w:pPr>
              <w:spacing w:line="259" w:lineRule="auto"/>
              <w:ind w:left="106"/>
              <w:jc w:val="center"/>
            </w:pPr>
            <w:r w:rsidRPr="00364545">
              <w:rPr>
                <w:sz w:val="18"/>
              </w:rPr>
              <w:t>31943</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04FB044" w14:textId="77777777" w:rsidR="00920B68" w:rsidRPr="00364545" w:rsidRDefault="00920B68" w:rsidP="00920B68">
            <w:pPr>
              <w:spacing w:line="259" w:lineRule="auto"/>
              <w:ind w:left="106"/>
              <w:jc w:val="center"/>
              <w:rPr>
                <w:sz w:val="18"/>
              </w:rPr>
            </w:pPr>
            <w:r w:rsidRPr="00364545">
              <w:rPr>
                <w:sz w:val="18"/>
              </w:rPr>
              <w:t>30222</w:t>
            </w:r>
          </w:p>
        </w:tc>
      </w:tr>
      <w:tr w:rsidR="00920B68" w:rsidRPr="00364545" w14:paraId="2B0B11CE" w14:textId="77777777" w:rsidTr="00920B68">
        <w:trPr>
          <w:trHeight w:val="344"/>
        </w:trPr>
        <w:tc>
          <w:tcPr>
            <w:tcW w:w="1121" w:type="dxa"/>
            <w:tcBorders>
              <w:top w:val="single" w:sz="2" w:space="0" w:color="000000"/>
              <w:left w:val="single" w:sz="2" w:space="0" w:color="000000"/>
              <w:bottom w:val="single" w:sz="2" w:space="0" w:color="000000"/>
              <w:right w:val="single" w:sz="2" w:space="0" w:color="000000"/>
            </w:tcBorders>
          </w:tcPr>
          <w:p w14:paraId="3C9DF04C" w14:textId="77777777" w:rsidR="00920B68" w:rsidRPr="00364545" w:rsidRDefault="00920B68" w:rsidP="00920B68">
            <w:pPr>
              <w:spacing w:line="259" w:lineRule="auto"/>
            </w:pPr>
            <w:r w:rsidRPr="00364545">
              <w:rPr>
                <w:sz w:val="18"/>
              </w:rPr>
              <w:t xml:space="preserve">Agriculture (excluding energy) </w:t>
            </w:r>
          </w:p>
        </w:tc>
        <w:tc>
          <w:tcPr>
            <w:tcW w:w="734" w:type="dxa"/>
            <w:tcBorders>
              <w:top w:val="single" w:sz="2" w:space="0" w:color="000000"/>
              <w:left w:val="single" w:sz="2" w:space="0" w:color="000000"/>
              <w:bottom w:val="single" w:sz="2" w:space="0" w:color="000000"/>
              <w:right w:val="single" w:sz="2" w:space="0" w:color="000000"/>
            </w:tcBorders>
            <w:vAlign w:val="center"/>
          </w:tcPr>
          <w:p w14:paraId="12186CD8" w14:textId="77777777" w:rsidR="00920B68" w:rsidRPr="00364545" w:rsidRDefault="00920B68" w:rsidP="00920B68">
            <w:pPr>
              <w:spacing w:line="259" w:lineRule="auto"/>
              <w:ind w:right="1"/>
              <w:jc w:val="center"/>
            </w:pPr>
            <w:r>
              <w:rPr>
                <w:sz w:val="18"/>
                <w:szCs w:val="18"/>
              </w:rPr>
              <w:t>1894</w:t>
            </w:r>
          </w:p>
        </w:tc>
        <w:tc>
          <w:tcPr>
            <w:tcW w:w="734" w:type="dxa"/>
            <w:tcBorders>
              <w:top w:val="single" w:sz="2" w:space="0" w:color="000000"/>
              <w:left w:val="single" w:sz="2" w:space="0" w:color="000000"/>
              <w:bottom w:val="single" w:sz="2" w:space="0" w:color="000000"/>
              <w:right w:val="single" w:sz="2" w:space="0" w:color="000000"/>
            </w:tcBorders>
            <w:vAlign w:val="center"/>
          </w:tcPr>
          <w:p w14:paraId="4E144B79" w14:textId="77777777" w:rsidR="00920B68" w:rsidRPr="00364545" w:rsidRDefault="00920B68" w:rsidP="00920B68">
            <w:pPr>
              <w:spacing w:line="259" w:lineRule="auto"/>
              <w:ind w:left="56"/>
              <w:jc w:val="center"/>
              <w:rPr>
                <w:sz w:val="18"/>
              </w:rPr>
            </w:pPr>
            <w:r>
              <w:rPr>
                <w:sz w:val="18"/>
                <w:szCs w:val="18"/>
              </w:rPr>
              <w:t>1973</w:t>
            </w:r>
          </w:p>
        </w:tc>
        <w:tc>
          <w:tcPr>
            <w:tcW w:w="735" w:type="dxa"/>
            <w:tcBorders>
              <w:top w:val="single" w:sz="2" w:space="0" w:color="000000"/>
              <w:left w:val="single" w:sz="2" w:space="0" w:color="000000"/>
              <w:bottom w:val="single" w:sz="2" w:space="0" w:color="000000"/>
              <w:right w:val="single" w:sz="2" w:space="0" w:color="000000"/>
            </w:tcBorders>
            <w:vAlign w:val="center"/>
          </w:tcPr>
          <w:p w14:paraId="7BA032DA" w14:textId="77777777" w:rsidR="00920B68" w:rsidRPr="00364545" w:rsidRDefault="00920B68" w:rsidP="00920B68">
            <w:pPr>
              <w:spacing w:line="259" w:lineRule="auto"/>
              <w:ind w:left="1"/>
              <w:jc w:val="center"/>
            </w:pPr>
            <w:r>
              <w:rPr>
                <w:sz w:val="18"/>
                <w:szCs w:val="18"/>
              </w:rPr>
              <w:t>1989</w:t>
            </w:r>
          </w:p>
        </w:tc>
        <w:tc>
          <w:tcPr>
            <w:tcW w:w="734" w:type="dxa"/>
            <w:tcBorders>
              <w:top w:val="single" w:sz="2" w:space="0" w:color="000000"/>
              <w:left w:val="single" w:sz="2" w:space="0" w:color="000000"/>
              <w:bottom w:val="single" w:sz="2" w:space="0" w:color="000000"/>
              <w:right w:val="single" w:sz="2" w:space="0" w:color="000000"/>
            </w:tcBorders>
            <w:vAlign w:val="center"/>
          </w:tcPr>
          <w:p w14:paraId="4BCBC37D" w14:textId="77777777" w:rsidR="00920B68" w:rsidRPr="00364545" w:rsidRDefault="00920B68" w:rsidP="00920B68">
            <w:pPr>
              <w:spacing w:line="259" w:lineRule="auto"/>
              <w:ind w:right="1"/>
              <w:jc w:val="center"/>
            </w:pPr>
            <w:r>
              <w:rPr>
                <w:sz w:val="18"/>
                <w:szCs w:val="18"/>
              </w:rPr>
              <w:t>1965</w:t>
            </w:r>
          </w:p>
        </w:tc>
        <w:tc>
          <w:tcPr>
            <w:tcW w:w="735" w:type="dxa"/>
            <w:tcBorders>
              <w:top w:val="single" w:sz="2" w:space="0" w:color="000000"/>
              <w:left w:val="single" w:sz="2" w:space="0" w:color="000000"/>
              <w:bottom w:val="single" w:sz="2" w:space="0" w:color="000000"/>
              <w:right w:val="single" w:sz="2" w:space="0" w:color="000000"/>
            </w:tcBorders>
            <w:vAlign w:val="center"/>
          </w:tcPr>
          <w:p w14:paraId="63177AA2" w14:textId="77777777" w:rsidR="00920B68" w:rsidRPr="00364545" w:rsidRDefault="00920B68" w:rsidP="00920B68">
            <w:pPr>
              <w:spacing w:line="259" w:lineRule="auto"/>
              <w:ind w:left="1"/>
              <w:jc w:val="center"/>
            </w:pPr>
            <w:r>
              <w:rPr>
                <w:sz w:val="18"/>
                <w:szCs w:val="18"/>
              </w:rPr>
              <w:t>1986</w:t>
            </w:r>
          </w:p>
        </w:tc>
        <w:tc>
          <w:tcPr>
            <w:tcW w:w="734" w:type="dxa"/>
            <w:tcBorders>
              <w:top w:val="single" w:sz="2" w:space="0" w:color="000000"/>
              <w:left w:val="single" w:sz="2" w:space="0" w:color="000000"/>
              <w:bottom w:val="single" w:sz="2" w:space="0" w:color="000000"/>
              <w:right w:val="single" w:sz="2" w:space="0" w:color="000000"/>
            </w:tcBorders>
            <w:vAlign w:val="center"/>
          </w:tcPr>
          <w:p w14:paraId="16C88C18" w14:textId="77777777" w:rsidR="00920B68" w:rsidRPr="00364545" w:rsidRDefault="00920B68" w:rsidP="00920B68">
            <w:pPr>
              <w:spacing w:line="259" w:lineRule="auto"/>
              <w:ind w:right="1"/>
              <w:jc w:val="center"/>
            </w:pPr>
            <w:r>
              <w:rPr>
                <w:sz w:val="18"/>
                <w:szCs w:val="18"/>
              </w:rPr>
              <w:t>2176</w:t>
            </w:r>
          </w:p>
        </w:tc>
        <w:tc>
          <w:tcPr>
            <w:tcW w:w="734" w:type="dxa"/>
            <w:tcBorders>
              <w:top w:val="single" w:sz="2" w:space="0" w:color="000000"/>
              <w:left w:val="single" w:sz="2" w:space="0" w:color="000000"/>
              <w:bottom w:val="single" w:sz="2" w:space="0" w:color="000000"/>
              <w:right w:val="single" w:sz="2" w:space="0" w:color="000000"/>
            </w:tcBorders>
            <w:vAlign w:val="center"/>
          </w:tcPr>
          <w:p w14:paraId="26B33622" w14:textId="77777777" w:rsidR="00920B68" w:rsidRPr="00364545" w:rsidRDefault="00920B68" w:rsidP="00920B68">
            <w:pPr>
              <w:spacing w:line="259" w:lineRule="auto"/>
              <w:ind w:left="1"/>
              <w:jc w:val="center"/>
              <w:rPr>
                <w:sz w:val="18"/>
              </w:rPr>
            </w:pPr>
            <w:r>
              <w:rPr>
                <w:sz w:val="18"/>
                <w:szCs w:val="18"/>
              </w:rPr>
              <w:t>2032</w:t>
            </w:r>
          </w:p>
        </w:tc>
        <w:tc>
          <w:tcPr>
            <w:tcW w:w="735" w:type="dxa"/>
            <w:tcBorders>
              <w:top w:val="single" w:sz="2" w:space="0" w:color="000000"/>
              <w:left w:val="single" w:sz="2" w:space="0" w:color="000000"/>
              <w:bottom w:val="single" w:sz="2" w:space="0" w:color="000000"/>
              <w:right w:val="single" w:sz="2" w:space="0" w:color="000000"/>
            </w:tcBorders>
            <w:vAlign w:val="center"/>
          </w:tcPr>
          <w:p w14:paraId="44307FC8" w14:textId="77777777" w:rsidR="00920B68" w:rsidRPr="00364545" w:rsidRDefault="00920B68" w:rsidP="00920B68">
            <w:pPr>
              <w:spacing w:line="259" w:lineRule="auto"/>
              <w:ind w:left="1"/>
              <w:jc w:val="center"/>
            </w:pPr>
            <w:r w:rsidRPr="00364545">
              <w:rPr>
                <w:sz w:val="18"/>
              </w:rPr>
              <w:t>2139</w:t>
            </w:r>
          </w:p>
        </w:tc>
        <w:tc>
          <w:tcPr>
            <w:tcW w:w="734" w:type="dxa"/>
            <w:tcBorders>
              <w:top w:val="single" w:sz="2" w:space="0" w:color="000000"/>
              <w:left w:val="single" w:sz="2" w:space="0" w:color="000000"/>
              <w:bottom w:val="single" w:sz="2" w:space="0" w:color="000000"/>
              <w:right w:val="single" w:sz="2" w:space="0" w:color="000000"/>
            </w:tcBorders>
            <w:vAlign w:val="center"/>
          </w:tcPr>
          <w:p w14:paraId="13A2F5CC" w14:textId="77777777" w:rsidR="00920B68" w:rsidRPr="00364545" w:rsidRDefault="00920B68" w:rsidP="00920B68">
            <w:pPr>
              <w:spacing w:line="259" w:lineRule="auto"/>
              <w:ind w:right="1"/>
              <w:jc w:val="center"/>
            </w:pPr>
            <w:r w:rsidRPr="00364545">
              <w:rPr>
                <w:sz w:val="18"/>
              </w:rPr>
              <w:t>2205</w:t>
            </w:r>
          </w:p>
        </w:tc>
        <w:tc>
          <w:tcPr>
            <w:tcW w:w="735" w:type="dxa"/>
            <w:tcBorders>
              <w:top w:val="single" w:sz="2" w:space="0" w:color="000000"/>
              <w:left w:val="single" w:sz="2" w:space="0" w:color="000000"/>
              <w:bottom w:val="single" w:sz="2" w:space="0" w:color="000000"/>
              <w:right w:val="single" w:sz="2" w:space="0" w:color="000000"/>
            </w:tcBorders>
            <w:vAlign w:val="center"/>
          </w:tcPr>
          <w:p w14:paraId="6DBC5A4A" w14:textId="77777777" w:rsidR="00920B68" w:rsidRPr="00364545" w:rsidRDefault="00920B68" w:rsidP="00920B68">
            <w:pPr>
              <w:spacing w:line="259" w:lineRule="auto"/>
              <w:ind w:left="1"/>
              <w:jc w:val="center"/>
            </w:pPr>
            <w:r w:rsidRPr="00364545">
              <w:rPr>
                <w:sz w:val="18"/>
              </w:rPr>
              <w:t>2273</w:t>
            </w:r>
          </w:p>
        </w:tc>
        <w:tc>
          <w:tcPr>
            <w:tcW w:w="734" w:type="dxa"/>
            <w:tcBorders>
              <w:top w:val="single" w:sz="2" w:space="0" w:color="000000"/>
              <w:left w:val="single" w:sz="2" w:space="0" w:color="000000"/>
              <w:bottom w:val="single" w:sz="2" w:space="0" w:color="000000"/>
              <w:right w:val="single" w:sz="2" w:space="0" w:color="000000"/>
            </w:tcBorders>
            <w:vAlign w:val="center"/>
          </w:tcPr>
          <w:p w14:paraId="6DE0B826" w14:textId="77777777" w:rsidR="00920B68" w:rsidRPr="00364545" w:rsidRDefault="00920B68" w:rsidP="00920B68">
            <w:pPr>
              <w:spacing w:line="259" w:lineRule="auto"/>
              <w:jc w:val="center"/>
            </w:pPr>
            <w:r w:rsidRPr="00364545">
              <w:rPr>
                <w:sz w:val="18"/>
              </w:rPr>
              <w:t>2342</w:t>
            </w:r>
          </w:p>
        </w:tc>
        <w:tc>
          <w:tcPr>
            <w:tcW w:w="735" w:type="dxa"/>
            <w:tcBorders>
              <w:top w:val="single" w:sz="2" w:space="0" w:color="000000"/>
              <w:left w:val="single" w:sz="2" w:space="0" w:color="000000"/>
              <w:bottom w:val="single" w:sz="2" w:space="0" w:color="000000"/>
              <w:right w:val="single" w:sz="2" w:space="0" w:color="000000"/>
            </w:tcBorders>
            <w:vAlign w:val="center"/>
          </w:tcPr>
          <w:p w14:paraId="61057FF7" w14:textId="77777777" w:rsidR="00920B68" w:rsidRPr="00364545" w:rsidRDefault="00920B68" w:rsidP="00920B68">
            <w:pPr>
              <w:spacing w:line="259" w:lineRule="auto"/>
              <w:jc w:val="center"/>
              <w:rPr>
                <w:sz w:val="18"/>
              </w:rPr>
            </w:pPr>
            <w:r w:rsidRPr="00364545">
              <w:rPr>
                <w:sz w:val="18"/>
              </w:rPr>
              <w:t>2518</w:t>
            </w:r>
          </w:p>
        </w:tc>
      </w:tr>
      <w:tr w:rsidR="00920B68" w:rsidRPr="00364545" w14:paraId="754EEAD5" w14:textId="77777777" w:rsidTr="00920B68">
        <w:trPr>
          <w:trHeight w:val="344"/>
        </w:trPr>
        <w:tc>
          <w:tcPr>
            <w:tcW w:w="1121" w:type="dxa"/>
            <w:tcBorders>
              <w:top w:val="single" w:sz="2" w:space="0" w:color="000000"/>
              <w:left w:val="single" w:sz="2" w:space="0" w:color="000000"/>
              <w:bottom w:val="single" w:sz="2" w:space="0" w:color="000000"/>
              <w:right w:val="single" w:sz="2" w:space="0" w:color="000000"/>
            </w:tcBorders>
            <w:shd w:val="clear" w:color="auto" w:fill="ECE6E2"/>
          </w:tcPr>
          <w:p w14:paraId="62B6D4F7" w14:textId="77777777" w:rsidR="00920B68" w:rsidRPr="00364545" w:rsidRDefault="00920B68" w:rsidP="00920B68">
            <w:pPr>
              <w:spacing w:line="259" w:lineRule="auto"/>
            </w:pPr>
            <w:r w:rsidRPr="00364545">
              <w:rPr>
                <w:sz w:val="18"/>
              </w:rPr>
              <w:t xml:space="preserve">LULUCF </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B14EC5D" w14:textId="77777777" w:rsidR="00920B68" w:rsidRPr="00364545" w:rsidRDefault="00920B68" w:rsidP="00920B68">
            <w:pPr>
              <w:spacing w:line="259" w:lineRule="auto"/>
              <w:ind w:left="51"/>
              <w:jc w:val="center"/>
            </w:pPr>
            <w:r>
              <w:rPr>
                <w:sz w:val="18"/>
                <w:szCs w:val="18"/>
              </w:rPr>
              <w:t>-28145</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CBC5D17" w14:textId="77777777" w:rsidR="00920B68" w:rsidRPr="00364545" w:rsidRDefault="00920B68" w:rsidP="00920B68">
            <w:pPr>
              <w:spacing w:line="259" w:lineRule="auto"/>
              <w:jc w:val="center"/>
              <w:rPr>
                <w:sz w:val="18"/>
              </w:rPr>
            </w:pPr>
            <w:r>
              <w:rPr>
                <w:sz w:val="18"/>
                <w:szCs w:val="18"/>
              </w:rPr>
              <w:t>-31795</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4C02C3" w14:textId="77777777" w:rsidR="00920B68" w:rsidRPr="00364545" w:rsidRDefault="00920B68" w:rsidP="00920B68">
            <w:pPr>
              <w:spacing w:line="259" w:lineRule="auto"/>
              <w:ind w:left="53"/>
              <w:jc w:val="center"/>
            </w:pPr>
            <w:r>
              <w:rPr>
                <w:sz w:val="18"/>
                <w:szCs w:val="18"/>
              </w:rPr>
              <w:t>-24595</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C12D0A6" w14:textId="77777777" w:rsidR="00920B68" w:rsidRPr="00364545" w:rsidRDefault="00920B68" w:rsidP="00920B68">
            <w:pPr>
              <w:spacing w:line="259" w:lineRule="auto"/>
              <w:ind w:left="51"/>
              <w:jc w:val="center"/>
            </w:pPr>
            <w:r>
              <w:rPr>
                <w:sz w:val="18"/>
                <w:szCs w:val="18"/>
              </w:rPr>
              <w:t>-51471</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DB5A08" w14:textId="77777777" w:rsidR="00920B68" w:rsidRPr="00364545" w:rsidRDefault="00920B68" w:rsidP="00920B68">
            <w:pPr>
              <w:spacing w:line="259" w:lineRule="auto"/>
              <w:ind w:left="53"/>
              <w:jc w:val="center"/>
            </w:pPr>
            <w:r>
              <w:rPr>
                <w:sz w:val="18"/>
                <w:szCs w:val="18"/>
              </w:rPr>
              <w:t>-42701</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19A3B2" w14:textId="77777777" w:rsidR="00920B68" w:rsidRPr="00364545" w:rsidRDefault="00920B68" w:rsidP="00920B68">
            <w:pPr>
              <w:spacing w:line="259" w:lineRule="auto"/>
              <w:ind w:left="51"/>
              <w:jc w:val="center"/>
            </w:pPr>
            <w:r>
              <w:rPr>
                <w:sz w:val="18"/>
                <w:szCs w:val="18"/>
              </w:rPr>
              <w:t>-38599</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CA9C5C0" w14:textId="77777777" w:rsidR="00920B68" w:rsidRPr="00364545" w:rsidRDefault="00920B68" w:rsidP="00920B68">
            <w:pPr>
              <w:spacing w:line="259" w:lineRule="auto"/>
              <w:ind w:left="53"/>
              <w:jc w:val="center"/>
              <w:rPr>
                <w:sz w:val="18"/>
              </w:rPr>
            </w:pPr>
            <w:r>
              <w:rPr>
                <w:sz w:val="18"/>
                <w:szCs w:val="18"/>
              </w:rPr>
              <w:t>-16293</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814014F" w14:textId="77777777" w:rsidR="00920B68" w:rsidRPr="00364545" w:rsidRDefault="00920B68" w:rsidP="00920B68">
            <w:pPr>
              <w:spacing w:line="259" w:lineRule="auto"/>
              <w:ind w:left="53"/>
              <w:jc w:val="center"/>
            </w:pPr>
            <w:r w:rsidRPr="00364545">
              <w:rPr>
                <w:sz w:val="18"/>
              </w:rPr>
              <w:t>-37085</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831421" w14:textId="6AA06AF4" w:rsidR="00920B68" w:rsidRPr="00364545" w:rsidRDefault="00745926" w:rsidP="00920B68">
            <w:pPr>
              <w:spacing w:line="259" w:lineRule="auto"/>
              <w:ind w:left="51"/>
              <w:jc w:val="center"/>
            </w:pPr>
            <w:r>
              <w:rPr>
                <w:sz w:val="18"/>
              </w:rPr>
              <w:t>- 32,</w:t>
            </w:r>
            <w:r w:rsidR="00920B68" w:rsidRPr="00364545">
              <w:rPr>
                <w:sz w:val="18"/>
              </w:rPr>
              <w:t>992</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9A82D6C" w14:textId="77777777" w:rsidR="00920B68" w:rsidRPr="00364545" w:rsidRDefault="00920B68" w:rsidP="00920B68">
            <w:pPr>
              <w:spacing w:line="259" w:lineRule="auto"/>
              <w:ind w:left="53"/>
              <w:jc w:val="center"/>
            </w:pPr>
            <w:r w:rsidRPr="00364545">
              <w:rPr>
                <w:sz w:val="18"/>
              </w:rPr>
              <w:t>- 30,678</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3E3769B" w14:textId="77777777" w:rsidR="00920B68" w:rsidRPr="00364545" w:rsidRDefault="00920B68" w:rsidP="00920B68">
            <w:pPr>
              <w:spacing w:line="259" w:lineRule="auto"/>
              <w:ind w:left="51"/>
              <w:jc w:val="center"/>
            </w:pPr>
            <w:r w:rsidRPr="00364545">
              <w:rPr>
                <w:sz w:val="18"/>
              </w:rPr>
              <w:t>- 25,806</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849E123" w14:textId="77777777" w:rsidR="00920B68" w:rsidRPr="00364545" w:rsidRDefault="00920B68" w:rsidP="00920B68">
            <w:pPr>
              <w:spacing w:line="259" w:lineRule="auto"/>
              <w:ind w:left="51"/>
              <w:jc w:val="center"/>
              <w:rPr>
                <w:sz w:val="18"/>
              </w:rPr>
            </w:pPr>
            <w:r w:rsidRPr="00364545">
              <w:rPr>
                <w:sz w:val="18"/>
              </w:rPr>
              <w:t>-16,873</w:t>
            </w:r>
          </w:p>
        </w:tc>
      </w:tr>
      <w:tr w:rsidR="00920B68" w:rsidRPr="00364545" w14:paraId="5F7787AB" w14:textId="77777777" w:rsidTr="00920B68">
        <w:trPr>
          <w:trHeight w:val="347"/>
        </w:trPr>
        <w:tc>
          <w:tcPr>
            <w:tcW w:w="1121" w:type="dxa"/>
            <w:tcBorders>
              <w:top w:val="single" w:sz="2" w:space="0" w:color="000000"/>
              <w:left w:val="single" w:sz="2" w:space="0" w:color="000000"/>
              <w:bottom w:val="single" w:sz="2" w:space="0" w:color="000000"/>
              <w:right w:val="single" w:sz="2" w:space="0" w:color="000000"/>
            </w:tcBorders>
          </w:tcPr>
          <w:p w14:paraId="6F93D587" w14:textId="77777777" w:rsidR="00920B68" w:rsidRPr="00364545" w:rsidRDefault="00920B68" w:rsidP="00920B68">
            <w:pPr>
              <w:spacing w:line="259" w:lineRule="auto"/>
            </w:pPr>
            <w:r w:rsidRPr="00364545">
              <w:rPr>
                <w:sz w:val="18"/>
              </w:rPr>
              <w:t xml:space="preserve">Waste </w:t>
            </w:r>
          </w:p>
        </w:tc>
        <w:tc>
          <w:tcPr>
            <w:tcW w:w="734" w:type="dxa"/>
            <w:tcBorders>
              <w:top w:val="single" w:sz="2" w:space="0" w:color="000000"/>
              <w:left w:val="single" w:sz="2" w:space="0" w:color="000000"/>
              <w:bottom w:val="single" w:sz="2" w:space="0" w:color="000000"/>
              <w:right w:val="single" w:sz="2" w:space="0" w:color="000000"/>
            </w:tcBorders>
            <w:vAlign w:val="center"/>
          </w:tcPr>
          <w:p w14:paraId="15738878" w14:textId="77777777" w:rsidR="00920B68" w:rsidRPr="00364545" w:rsidRDefault="00920B68" w:rsidP="00920B68">
            <w:pPr>
              <w:spacing w:line="259" w:lineRule="auto"/>
              <w:ind w:right="1"/>
              <w:jc w:val="center"/>
            </w:pPr>
            <w:r>
              <w:rPr>
                <w:sz w:val="18"/>
                <w:szCs w:val="18"/>
              </w:rPr>
              <w:t>2194</w:t>
            </w:r>
          </w:p>
        </w:tc>
        <w:tc>
          <w:tcPr>
            <w:tcW w:w="734" w:type="dxa"/>
            <w:tcBorders>
              <w:top w:val="single" w:sz="2" w:space="0" w:color="000000"/>
              <w:left w:val="single" w:sz="2" w:space="0" w:color="000000"/>
              <w:bottom w:val="single" w:sz="2" w:space="0" w:color="000000"/>
              <w:right w:val="single" w:sz="2" w:space="0" w:color="000000"/>
            </w:tcBorders>
            <w:vAlign w:val="center"/>
          </w:tcPr>
          <w:p w14:paraId="0C4710C7" w14:textId="77777777" w:rsidR="00920B68" w:rsidRPr="00364545" w:rsidRDefault="00920B68" w:rsidP="00920B68">
            <w:pPr>
              <w:spacing w:line="259" w:lineRule="auto"/>
              <w:ind w:left="56"/>
              <w:jc w:val="center"/>
              <w:rPr>
                <w:sz w:val="18"/>
              </w:rPr>
            </w:pPr>
            <w:r>
              <w:rPr>
                <w:sz w:val="18"/>
                <w:szCs w:val="18"/>
              </w:rPr>
              <w:t>2223</w:t>
            </w:r>
          </w:p>
        </w:tc>
        <w:tc>
          <w:tcPr>
            <w:tcW w:w="735" w:type="dxa"/>
            <w:tcBorders>
              <w:top w:val="single" w:sz="2" w:space="0" w:color="000000"/>
              <w:left w:val="single" w:sz="2" w:space="0" w:color="000000"/>
              <w:bottom w:val="single" w:sz="2" w:space="0" w:color="000000"/>
              <w:right w:val="single" w:sz="2" w:space="0" w:color="000000"/>
            </w:tcBorders>
            <w:vAlign w:val="center"/>
          </w:tcPr>
          <w:p w14:paraId="1D5B6A14" w14:textId="77777777" w:rsidR="00920B68" w:rsidRPr="00364545" w:rsidRDefault="00920B68" w:rsidP="00920B68">
            <w:pPr>
              <w:spacing w:line="259" w:lineRule="auto"/>
              <w:ind w:left="1"/>
              <w:jc w:val="center"/>
            </w:pPr>
            <w:r>
              <w:rPr>
                <w:sz w:val="18"/>
                <w:szCs w:val="18"/>
              </w:rPr>
              <w:t>1704</w:t>
            </w:r>
          </w:p>
        </w:tc>
        <w:tc>
          <w:tcPr>
            <w:tcW w:w="734" w:type="dxa"/>
            <w:tcBorders>
              <w:top w:val="single" w:sz="2" w:space="0" w:color="000000"/>
              <w:left w:val="single" w:sz="2" w:space="0" w:color="000000"/>
              <w:bottom w:val="single" w:sz="2" w:space="0" w:color="000000"/>
              <w:right w:val="single" w:sz="2" w:space="0" w:color="000000"/>
            </w:tcBorders>
            <w:vAlign w:val="center"/>
          </w:tcPr>
          <w:p w14:paraId="57013531" w14:textId="77777777" w:rsidR="00920B68" w:rsidRPr="00364545" w:rsidRDefault="00920B68" w:rsidP="00920B68">
            <w:pPr>
              <w:spacing w:line="259" w:lineRule="auto"/>
              <w:ind w:right="1"/>
              <w:jc w:val="center"/>
            </w:pPr>
            <w:r>
              <w:rPr>
                <w:sz w:val="18"/>
                <w:szCs w:val="18"/>
              </w:rPr>
              <w:t>1549</w:t>
            </w:r>
          </w:p>
        </w:tc>
        <w:tc>
          <w:tcPr>
            <w:tcW w:w="735" w:type="dxa"/>
            <w:tcBorders>
              <w:top w:val="single" w:sz="2" w:space="0" w:color="000000"/>
              <w:left w:val="single" w:sz="2" w:space="0" w:color="000000"/>
              <w:bottom w:val="single" w:sz="2" w:space="0" w:color="000000"/>
              <w:right w:val="single" w:sz="2" w:space="0" w:color="000000"/>
            </w:tcBorders>
            <w:vAlign w:val="center"/>
          </w:tcPr>
          <w:p w14:paraId="64626DEB" w14:textId="77777777" w:rsidR="00920B68" w:rsidRPr="00364545" w:rsidRDefault="00920B68" w:rsidP="00920B68">
            <w:pPr>
              <w:spacing w:line="259" w:lineRule="auto"/>
              <w:ind w:left="1"/>
              <w:jc w:val="center"/>
            </w:pPr>
            <w:r>
              <w:rPr>
                <w:sz w:val="18"/>
                <w:szCs w:val="18"/>
              </w:rPr>
              <w:t>1608</w:t>
            </w:r>
          </w:p>
        </w:tc>
        <w:tc>
          <w:tcPr>
            <w:tcW w:w="734" w:type="dxa"/>
            <w:tcBorders>
              <w:top w:val="single" w:sz="2" w:space="0" w:color="000000"/>
              <w:left w:val="single" w:sz="2" w:space="0" w:color="000000"/>
              <w:bottom w:val="single" w:sz="2" w:space="0" w:color="000000"/>
              <w:right w:val="single" w:sz="2" w:space="0" w:color="000000"/>
            </w:tcBorders>
            <w:vAlign w:val="center"/>
          </w:tcPr>
          <w:p w14:paraId="2F1FB766" w14:textId="77777777" w:rsidR="00920B68" w:rsidRPr="00364545" w:rsidRDefault="00920B68" w:rsidP="00920B68">
            <w:pPr>
              <w:spacing w:line="259" w:lineRule="auto"/>
              <w:ind w:right="1"/>
              <w:jc w:val="center"/>
            </w:pPr>
            <w:r>
              <w:rPr>
                <w:sz w:val="18"/>
                <w:szCs w:val="18"/>
              </w:rPr>
              <w:t>1542</w:t>
            </w:r>
          </w:p>
        </w:tc>
        <w:tc>
          <w:tcPr>
            <w:tcW w:w="734" w:type="dxa"/>
            <w:tcBorders>
              <w:top w:val="single" w:sz="2" w:space="0" w:color="000000"/>
              <w:left w:val="single" w:sz="2" w:space="0" w:color="000000"/>
              <w:bottom w:val="single" w:sz="2" w:space="0" w:color="000000"/>
              <w:right w:val="single" w:sz="2" w:space="0" w:color="000000"/>
            </w:tcBorders>
            <w:vAlign w:val="center"/>
          </w:tcPr>
          <w:p w14:paraId="6ECB9486" w14:textId="77777777" w:rsidR="00920B68" w:rsidRPr="00364545" w:rsidRDefault="00920B68" w:rsidP="00920B68">
            <w:pPr>
              <w:spacing w:line="259" w:lineRule="auto"/>
              <w:ind w:left="1"/>
              <w:jc w:val="center"/>
              <w:rPr>
                <w:sz w:val="18"/>
              </w:rPr>
            </w:pPr>
            <w:r>
              <w:rPr>
                <w:sz w:val="18"/>
                <w:szCs w:val="18"/>
              </w:rPr>
              <w:t>1738</w:t>
            </w:r>
          </w:p>
        </w:tc>
        <w:tc>
          <w:tcPr>
            <w:tcW w:w="735" w:type="dxa"/>
            <w:tcBorders>
              <w:top w:val="single" w:sz="2" w:space="0" w:color="000000"/>
              <w:left w:val="single" w:sz="2" w:space="0" w:color="000000"/>
              <w:bottom w:val="single" w:sz="2" w:space="0" w:color="000000"/>
              <w:right w:val="single" w:sz="2" w:space="0" w:color="000000"/>
            </w:tcBorders>
            <w:vAlign w:val="center"/>
          </w:tcPr>
          <w:p w14:paraId="130DDC08" w14:textId="77777777" w:rsidR="00920B68" w:rsidRPr="00364545" w:rsidRDefault="00920B68" w:rsidP="00920B68">
            <w:pPr>
              <w:spacing w:line="259" w:lineRule="auto"/>
              <w:ind w:left="1"/>
              <w:jc w:val="center"/>
            </w:pPr>
            <w:r w:rsidRPr="00364545">
              <w:rPr>
                <w:sz w:val="18"/>
              </w:rPr>
              <w:t>1259</w:t>
            </w:r>
          </w:p>
        </w:tc>
        <w:tc>
          <w:tcPr>
            <w:tcW w:w="734" w:type="dxa"/>
            <w:tcBorders>
              <w:top w:val="single" w:sz="2" w:space="0" w:color="000000"/>
              <w:left w:val="single" w:sz="2" w:space="0" w:color="000000"/>
              <w:bottom w:val="single" w:sz="2" w:space="0" w:color="000000"/>
              <w:right w:val="single" w:sz="2" w:space="0" w:color="000000"/>
            </w:tcBorders>
            <w:vAlign w:val="center"/>
          </w:tcPr>
          <w:p w14:paraId="15BEE26B" w14:textId="77777777" w:rsidR="00920B68" w:rsidRPr="00364545" w:rsidRDefault="00920B68" w:rsidP="00920B68">
            <w:pPr>
              <w:spacing w:line="259" w:lineRule="auto"/>
              <w:ind w:right="1"/>
              <w:jc w:val="center"/>
            </w:pPr>
            <w:r w:rsidRPr="00364545">
              <w:rPr>
                <w:sz w:val="18"/>
              </w:rPr>
              <w:t>1351</w:t>
            </w:r>
          </w:p>
        </w:tc>
        <w:tc>
          <w:tcPr>
            <w:tcW w:w="735" w:type="dxa"/>
            <w:tcBorders>
              <w:top w:val="single" w:sz="2" w:space="0" w:color="000000"/>
              <w:left w:val="single" w:sz="2" w:space="0" w:color="000000"/>
              <w:bottom w:val="single" w:sz="2" w:space="0" w:color="000000"/>
              <w:right w:val="single" w:sz="2" w:space="0" w:color="000000"/>
            </w:tcBorders>
            <w:vAlign w:val="center"/>
          </w:tcPr>
          <w:p w14:paraId="5700EF99" w14:textId="77777777" w:rsidR="00920B68" w:rsidRPr="00364545" w:rsidRDefault="00920B68" w:rsidP="00920B68">
            <w:pPr>
              <w:spacing w:line="259" w:lineRule="auto"/>
              <w:ind w:left="1"/>
              <w:jc w:val="center"/>
            </w:pPr>
            <w:r w:rsidRPr="00364545">
              <w:rPr>
                <w:sz w:val="18"/>
              </w:rPr>
              <w:t>1406</w:t>
            </w:r>
          </w:p>
        </w:tc>
        <w:tc>
          <w:tcPr>
            <w:tcW w:w="734" w:type="dxa"/>
            <w:tcBorders>
              <w:top w:val="single" w:sz="2" w:space="0" w:color="000000"/>
              <w:left w:val="single" w:sz="2" w:space="0" w:color="000000"/>
              <w:bottom w:val="single" w:sz="2" w:space="0" w:color="000000"/>
              <w:right w:val="single" w:sz="2" w:space="0" w:color="000000"/>
            </w:tcBorders>
            <w:vAlign w:val="center"/>
          </w:tcPr>
          <w:p w14:paraId="59F49A6B" w14:textId="77777777" w:rsidR="00920B68" w:rsidRPr="00364545" w:rsidRDefault="00920B68" w:rsidP="00920B68">
            <w:pPr>
              <w:spacing w:line="259" w:lineRule="auto"/>
              <w:jc w:val="center"/>
            </w:pPr>
            <w:r w:rsidRPr="00364545">
              <w:rPr>
                <w:sz w:val="18"/>
              </w:rPr>
              <w:t>1478</w:t>
            </w:r>
          </w:p>
        </w:tc>
        <w:tc>
          <w:tcPr>
            <w:tcW w:w="735" w:type="dxa"/>
            <w:tcBorders>
              <w:top w:val="single" w:sz="2" w:space="0" w:color="000000"/>
              <w:left w:val="single" w:sz="2" w:space="0" w:color="000000"/>
              <w:bottom w:val="single" w:sz="2" w:space="0" w:color="000000"/>
              <w:right w:val="single" w:sz="2" w:space="0" w:color="000000"/>
            </w:tcBorders>
            <w:vAlign w:val="center"/>
          </w:tcPr>
          <w:p w14:paraId="17D4F2E9" w14:textId="77777777" w:rsidR="00920B68" w:rsidRPr="00364545" w:rsidRDefault="00920B68" w:rsidP="00920B68">
            <w:pPr>
              <w:spacing w:line="259" w:lineRule="auto"/>
              <w:jc w:val="center"/>
              <w:rPr>
                <w:sz w:val="18"/>
              </w:rPr>
            </w:pPr>
            <w:r w:rsidRPr="00364545">
              <w:rPr>
                <w:sz w:val="18"/>
              </w:rPr>
              <w:t>1805</w:t>
            </w:r>
          </w:p>
        </w:tc>
      </w:tr>
      <w:tr w:rsidR="00920B68" w:rsidRPr="00364545" w14:paraId="7BABE529" w14:textId="77777777" w:rsidTr="00920B68">
        <w:trPr>
          <w:trHeight w:val="344"/>
        </w:trPr>
        <w:tc>
          <w:tcPr>
            <w:tcW w:w="1121" w:type="dxa"/>
            <w:tcBorders>
              <w:top w:val="single" w:sz="2" w:space="0" w:color="000000"/>
              <w:left w:val="single" w:sz="2" w:space="0" w:color="000000"/>
              <w:bottom w:val="single" w:sz="2" w:space="0" w:color="000000"/>
              <w:right w:val="single" w:sz="2" w:space="0" w:color="000000"/>
            </w:tcBorders>
            <w:shd w:val="clear" w:color="auto" w:fill="ECE6E2"/>
          </w:tcPr>
          <w:p w14:paraId="079C9FB7" w14:textId="77777777" w:rsidR="00920B68" w:rsidRPr="00364545" w:rsidRDefault="00920B68" w:rsidP="00920B68">
            <w:pPr>
              <w:spacing w:line="259" w:lineRule="auto"/>
            </w:pPr>
            <w:r w:rsidRPr="00364545">
              <w:rPr>
                <w:b/>
                <w:sz w:val="18"/>
              </w:rPr>
              <w:t xml:space="preserve">Ensemble (hors UTCF) </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EA7D4DF" w14:textId="77777777" w:rsidR="00920B68" w:rsidRPr="00944589" w:rsidRDefault="00920B68" w:rsidP="00920B68">
            <w:pPr>
              <w:spacing w:line="259" w:lineRule="auto"/>
              <w:ind w:left="56"/>
              <w:jc w:val="center"/>
              <w:rPr>
                <w:b/>
              </w:rPr>
            </w:pPr>
            <w:r w:rsidRPr="00944589">
              <w:rPr>
                <w:b/>
                <w:sz w:val="18"/>
                <w:szCs w:val="18"/>
              </w:rPr>
              <w:t>398425</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79E3AFE" w14:textId="77777777" w:rsidR="00920B68" w:rsidRPr="00944589" w:rsidRDefault="00920B68" w:rsidP="00920B68">
            <w:pPr>
              <w:spacing w:line="259" w:lineRule="auto"/>
              <w:jc w:val="center"/>
              <w:rPr>
                <w:b/>
                <w:sz w:val="18"/>
              </w:rPr>
            </w:pPr>
            <w:r w:rsidRPr="00944589">
              <w:rPr>
                <w:b/>
                <w:sz w:val="18"/>
                <w:szCs w:val="18"/>
              </w:rPr>
              <w:t>392916</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49DCCA" w14:textId="77777777" w:rsidR="00920B68" w:rsidRPr="00944589" w:rsidRDefault="00920B68" w:rsidP="00920B68">
            <w:pPr>
              <w:spacing w:line="259" w:lineRule="auto"/>
              <w:ind w:left="58"/>
              <w:jc w:val="center"/>
              <w:rPr>
                <w:b/>
              </w:rPr>
            </w:pPr>
            <w:r w:rsidRPr="00944589">
              <w:rPr>
                <w:b/>
                <w:sz w:val="18"/>
                <w:szCs w:val="18"/>
              </w:rPr>
              <w:t>414788</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8A82C44" w14:textId="77777777" w:rsidR="00920B68" w:rsidRPr="00944589" w:rsidRDefault="00920B68" w:rsidP="00920B68">
            <w:pPr>
              <w:spacing w:line="259" w:lineRule="auto"/>
              <w:ind w:left="56"/>
              <w:jc w:val="center"/>
              <w:rPr>
                <w:b/>
              </w:rPr>
            </w:pPr>
            <w:r w:rsidRPr="00944589">
              <w:rPr>
                <w:b/>
                <w:sz w:val="18"/>
                <w:szCs w:val="18"/>
              </w:rPr>
              <w:t>425444</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6B70259" w14:textId="77777777" w:rsidR="00920B68" w:rsidRPr="00944589" w:rsidRDefault="00920B68" w:rsidP="00920B68">
            <w:pPr>
              <w:spacing w:line="259" w:lineRule="auto"/>
              <w:ind w:left="58"/>
              <w:jc w:val="center"/>
              <w:rPr>
                <w:b/>
              </w:rPr>
            </w:pPr>
            <w:r w:rsidRPr="00944589">
              <w:rPr>
                <w:b/>
                <w:sz w:val="18"/>
                <w:szCs w:val="18"/>
              </w:rPr>
              <w:t>386872</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E1DB69" w14:textId="77777777" w:rsidR="00920B68" w:rsidRPr="00944589" w:rsidRDefault="00920B68" w:rsidP="00920B68">
            <w:pPr>
              <w:spacing w:line="259" w:lineRule="auto"/>
              <w:ind w:left="56"/>
              <w:jc w:val="center"/>
              <w:rPr>
                <w:b/>
              </w:rPr>
            </w:pPr>
            <w:r w:rsidRPr="00944589">
              <w:rPr>
                <w:b/>
                <w:sz w:val="18"/>
                <w:szCs w:val="18"/>
              </w:rPr>
              <w:t>341631</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4AB2522" w14:textId="77777777" w:rsidR="00920B68" w:rsidRPr="00944589" w:rsidRDefault="00920B68" w:rsidP="00920B68">
            <w:pPr>
              <w:spacing w:line="259" w:lineRule="auto"/>
              <w:ind w:left="62"/>
              <w:jc w:val="center"/>
              <w:rPr>
                <w:b/>
                <w:sz w:val="18"/>
              </w:rPr>
            </w:pPr>
            <w:r w:rsidRPr="00944589">
              <w:rPr>
                <w:b/>
                <w:sz w:val="18"/>
                <w:szCs w:val="18"/>
              </w:rPr>
              <w:t>326725</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4BC68F6" w14:textId="77777777" w:rsidR="00920B68" w:rsidRPr="00364545" w:rsidRDefault="00920B68" w:rsidP="00920B68">
            <w:pPr>
              <w:spacing w:line="259" w:lineRule="auto"/>
              <w:ind w:left="62"/>
              <w:jc w:val="center"/>
              <w:rPr>
                <w:b/>
              </w:rPr>
            </w:pPr>
            <w:r w:rsidRPr="00364545">
              <w:rPr>
                <w:b/>
                <w:sz w:val="18"/>
              </w:rPr>
              <w:t>291487</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137685" w14:textId="77777777" w:rsidR="00920B68" w:rsidRPr="00364545" w:rsidRDefault="00920B68" w:rsidP="00920B68">
            <w:pPr>
              <w:spacing w:line="259" w:lineRule="auto"/>
              <w:ind w:left="56"/>
              <w:jc w:val="center"/>
              <w:rPr>
                <w:b/>
              </w:rPr>
            </w:pPr>
            <w:r w:rsidRPr="00364545">
              <w:rPr>
                <w:b/>
                <w:sz w:val="18"/>
              </w:rPr>
              <w:t>292205</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4B674EE" w14:textId="77777777" w:rsidR="00920B68" w:rsidRPr="00364545" w:rsidRDefault="00920B68" w:rsidP="00920B68">
            <w:pPr>
              <w:spacing w:line="259" w:lineRule="auto"/>
              <w:ind w:left="58"/>
              <w:jc w:val="center"/>
              <w:rPr>
                <w:b/>
              </w:rPr>
            </w:pPr>
            <w:r w:rsidRPr="00364545">
              <w:rPr>
                <w:b/>
                <w:sz w:val="18"/>
              </w:rPr>
              <w:t>272039</w:t>
            </w:r>
          </w:p>
        </w:tc>
        <w:tc>
          <w:tcPr>
            <w:tcW w:w="73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6B0932B" w14:textId="77777777" w:rsidR="00920B68" w:rsidRPr="00364545" w:rsidRDefault="00920B68" w:rsidP="00920B68">
            <w:pPr>
              <w:spacing w:line="259" w:lineRule="auto"/>
              <w:ind w:left="56"/>
              <w:jc w:val="center"/>
              <w:rPr>
                <w:b/>
              </w:rPr>
            </w:pPr>
            <w:r w:rsidRPr="00364545">
              <w:rPr>
                <w:b/>
                <w:sz w:val="18"/>
              </w:rPr>
              <w:t>262355</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0AC81E" w14:textId="77777777" w:rsidR="00920B68" w:rsidRPr="00364545" w:rsidRDefault="00920B68" w:rsidP="00920B68">
            <w:pPr>
              <w:spacing w:line="259" w:lineRule="auto"/>
              <w:ind w:left="56"/>
              <w:jc w:val="center"/>
              <w:rPr>
                <w:b/>
                <w:sz w:val="18"/>
              </w:rPr>
            </w:pPr>
            <w:r w:rsidRPr="00364545">
              <w:rPr>
                <w:b/>
                <w:sz w:val="18"/>
              </w:rPr>
              <w:t>241265</w:t>
            </w:r>
          </w:p>
        </w:tc>
      </w:tr>
      <w:tr w:rsidR="00920B68" w:rsidRPr="00364545" w14:paraId="1E74A8EA" w14:textId="77777777" w:rsidTr="00920B68">
        <w:trPr>
          <w:trHeight w:val="344"/>
        </w:trPr>
        <w:tc>
          <w:tcPr>
            <w:tcW w:w="1121" w:type="dxa"/>
            <w:tcBorders>
              <w:top w:val="single" w:sz="2" w:space="0" w:color="000000"/>
              <w:left w:val="single" w:sz="2" w:space="0" w:color="000000"/>
              <w:bottom w:val="single" w:sz="2" w:space="0" w:color="000000"/>
              <w:right w:val="single" w:sz="2" w:space="0" w:color="000000"/>
            </w:tcBorders>
          </w:tcPr>
          <w:p w14:paraId="0C8353ED" w14:textId="77777777" w:rsidR="00920B68" w:rsidRPr="00364545" w:rsidRDefault="00920B68" w:rsidP="00920B68">
            <w:pPr>
              <w:spacing w:line="259" w:lineRule="auto"/>
            </w:pPr>
            <w:r w:rsidRPr="00364545">
              <w:rPr>
                <w:b/>
                <w:sz w:val="18"/>
              </w:rPr>
              <w:t xml:space="preserve">Ensemble (avec UTCF) </w:t>
            </w:r>
          </w:p>
        </w:tc>
        <w:tc>
          <w:tcPr>
            <w:tcW w:w="734" w:type="dxa"/>
            <w:tcBorders>
              <w:top w:val="single" w:sz="2" w:space="0" w:color="000000"/>
              <w:left w:val="single" w:sz="2" w:space="0" w:color="000000"/>
              <w:bottom w:val="single" w:sz="2" w:space="0" w:color="000000"/>
              <w:right w:val="single" w:sz="2" w:space="0" w:color="000000"/>
            </w:tcBorders>
            <w:vAlign w:val="center"/>
          </w:tcPr>
          <w:p w14:paraId="253772A8" w14:textId="77777777" w:rsidR="00920B68" w:rsidRPr="00944589" w:rsidRDefault="00920B68" w:rsidP="00920B68">
            <w:pPr>
              <w:spacing w:line="259" w:lineRule="auto"/>
              <w:ind w:left="56"/>
              <w:jc w:val="center"/>
              <w:rPr>
                <w:b/>
              </w:rPr>
            </w:pPr>
            <w:r w:rsidRPr="00944589">
              <w:rPr>
                <w:b/>
                <w:sz w:val="18"/>
                <w:szCs w:val="18"/>
              </w:rPr>
              <w:t>370280</w:t>
            </w:r>
          </w:p>
        </w:tc>
        <w:tc>
          <w:tcPr>
            <w:tcW w:w="734" w:type="dxa"/>
            <w:tcBorders>
              <w:top w:val="single" w:sz="2" w:space="0" w:color="000000"/>
              <w:left w:val="single" w:sz="2" w:space="0" w:color="000000"/>
              <w:bottom w:val="single" w:sz="2" w:space="0" w:color="000000"/>
              <w:right w:val="single" w:sz="2" w:space="0" w:color="000000"/>
            </w:tcBorders>
            <w:vAlign w:val="center"/>
          </w:tcPr>
          <w:p w14:paraId="5B365C6A" w14:textId="77777777" w:rsidR="00920B68" w:rsidRPr="00944589" w:rsidRDefault="00920B68" w:rsidP="00920B68">
            <w:pPr>
              <w:spacing w:line="259" w:lineRule="auto"/>
              <w:ind w:left="56"/>
              <w:jc w:val="center"/>
              <w:rPr>
                <w:b/>
                <w:sz w:val="18"/>
              </w:rPr>
            </w:pPr>
            <w:r w:rsidRPr="00944589">
              <w:rPr>
                <w:b/>
                <w:sz w:val="18"/>
                <w:szCs w:val="18"/>
              </w:rPr>
              <w:t>361121</w:t>
            </w:r>
          </w:p>
        </w:tc>
        <w:tc>
          <w:tcPr>
            <w:tcW w:w="735" w:type="dxa"/>
            <w:tcBorders>
              <w:top w:val="single" w:sz="2" w:space="0" w:color="000000"/>
              <w:left w:val="single" w:sz="2" w:space="0" w:color="000000"/>
              <w:bottom w:val="single" w:sz="2" w:space="0" w:color="000000"/>
              <w:right w:val="single" w:sz="2" w:space="0" w:color="000000"/>
            </w:tcBorders>
            <w:vAlign w:val="center"/>
          </w:tcPr>
          <w:p w14:paraId="4F842FFD" w14:textId="77777777" w:rsidR="00920B68" w:rsidRPr="00944589" w:rsidRDefault="00920B68" w:rsidP="00920B68">
            <w:pPr>
              <w:spacing w:line="259" w:lineRule="auto"/>
              <w:ind w:left="58"/>
              <w:jc w:val="center"/>
              <w:rPr>
                <w:b/>
              </w:rPr>
            </w:pPr>
            <w:r w:rsidRPr="00944589">
              <w:rPr>
                <w:b/>
                <w:sz w:val="18"/>
                <w:szCs w:val="18"/>
              </w:rPr>
              <w:t>390194</w:t>
            </w:r>
          </w:p>
        </w:tc>
        <w:tc>
          <w:tcPr>
            <w:tcW w:w="734" w:type="dxa"/>
            <w:tcBorders>
              <w:top w:val="single" w:sz="2" w:space="0" w:color="000000"/>
              <w:left w:val="single" w:sz="2" w:space="0" w:color="000000"/>
              <w:bottom w:val="single" w:sz="2" w:space="0" w:color="000000"/>
              <w:right w:val="single" w:sz="2" w:space="0" w:color="000000"/>
            </w:tcBorders>
            <w:vAlign w:val="center"/>
          </w:tcPr>
          <w:p w14:paraId="1D31E2D1" w14:textId="77777777" w:rsidR="00920B68" w:rsidRPr="00944589" w:rsidRDefault="00920B68" w:rsidP="00920B68">
            <w:pPr>
              <w:spacing w:line="259" w:lineRule="auto"/>
              <w:ind w:left="56"/>
              <w:jc w:val="center"/>
              <w:rPr>
                <w:b/>
              </w:rPr>
            </w:pPr>
            <w:r w:rsidRPr="00944589">
              <w:rPr>
                <w:b/>
                <w:sz w:val="18"/>
                <w:szCs w:val="18"/>
              </w:rPr>
              <w:t>373972</w:t>
            </w:r>
          </w:p>
        </w:tc>
        <w:tc>
          <w:tcPr>
            <w:tcW w:w="735" w:type="dxa"/>
            <w:tcBorders>
              <w:top w:val="single" w:sz="2" w:space="0" w:color="000000"/>
              <w:left w:val="single" w:sz="2" w:space="0" w:color="000000"/>
              <w:bottom w:val="single" w:sz="2" w:space="0" w:color="000000"/>
              <w:right w:val="single" w:sz="2" w:space="0" w:color="000000"/>
            </w:tcBorders>
            <w:vAlign w:val="center"/>
          </w:tcPr>
          <w:p w14:paraId="1DD7209A" w14:textId="77777777" w:rsidR="00920B68" w:rsidRPr="00944589" w:rsidRDefault="00920B68" w:rsidP="00920B68">
            <w:pPr>
              <w:spacing w:line="259" w:lineRule="auto"/>
              <w:ind w:left="58"/>
              <w:jc w:val="center"/>
              <w:rPr>
                <w:b/>
              </w:rPr>
            </w:pPr>
            <w:r w:rsidRPr="00944589">
              <w:rPr>
                <w:b/>
                <w:sz w:val="18"/>
                <w:szCs w:val="18"/>
              </w:rPr>
              <w:t>344171</w:t>
            </w:r>
          </w:p>
        </w:tc>
        <w:tc>
          <w:tcPr>
            <w:tcW w:w="734" w:type="dxa"/>
            <w:tcBorders>
              <w:top w:val="single" w:sz="2" w:space="0" w:color="000000"/>
              <w:left w:val="single" w:sz="2" w:space="0" w:color="000000"/>
              <w:bottom w:val="single" w:sz="2" w:space="0" w:color="000000"/>
              <w:right w:val="single" w:sz="2" w:space="0" w:color="000000"/>
            </w:tcBorders>
            <w:vAlign w:val="center"/>
          </w:tcPr>
          <w:p w14:paraId="610A8205" w14:textId="77777777" w:rsidR="00920B68" w:rsidRPr="00944589" w:rsidRDefault="00920B68" w:rsidP="00920B68">
            <w:pPr>
              <w:spacing w:line="259" w:lineRule="auto"/>
              <w:ind w:left="56"/>
              <w:jc w:val="center"/>
              <w:rPr>
                <w:b/>
              </w:rPr>
            </w:pPr>
            <w:r w:rsidRPr="00944589">
              <w:rPr>
                <w:b/>
                <w:sz w:val="18"/>
                <w:szCs w:val="18"/>
              </w:rPr>
              <w:t>303032</w:t>
            </w:r>
          </w:p>
        </w:tc>
        <w:tc>
          <w:tcPr>
            <w:tcW w:w="734" w:type="dxa"/>
            <w:tcBorders>
              <w:top w:val="single" w:sz="2" w:space="0" w:color="000000"/>
              <w:left w:val="single" w:sz="2" w:space="0" w:color="000000"/>
              <w:bottom w:val="single" w:sz="2" w:space="0" w:color="000000"/>
              <w:right w:val="single" w:sz="2" w:space="0" w:color="000000"/>
            </w:tcBorders>
            <w:vAlign w:val="center"/>
          </w:tcPr>
          <w:p w14:paraId="6B2ADDFE" w14:textId="77777777" w:rsidR="00920B68" w:rsidRPr="00944589" w:rsidRDefault="00920B68" w:rsidP="00920B68">
            <w:pPr>
              <w:spacing w:line="259" w:lineRule="auto"/>
              <w:ind w:left="58"/>
              <w:jc w:val="center"/>
              <w:rPr>
                <w:b/>
                <w:sz w:val="18"/>
              </w:rPr>
            </w:pPr>
            <w:r w:rsidRPr="00944589">
              <w:rPr>
                <w:b/>
                <w:sz w:val="18"/>
                <w:szCs w:val="18"/>
              </w:rPr>
              <w:t>310432</w:t>
            </w:r>
          </w:p>
        </w:tc>
        <w:tc>
          <w:tcPr>
            <w:tcW w:w="735" w:type="dxa"/>
            <w:tcBorders>
              <w:top w:val="single" w:sz="2" w:space="0" w:color="000000"/>
              <w:left w:val="single" w:sz="2" w:space="0" w:color="000000"/>
              <w:bottom w:val="single" w:sz="2" w:space="0" w:color="000000"/>
              <w:right w:val="single" w:sz="2" w:space="0" w:color="000000"/>
            </w:tcBorders>
            <w:vAlign w:val="center"/>
          </w:tcPr>
          <w:p w14:paraId="669353DB" w14:textId="77777777" w:rsidR="00920B68" w:rsidRPr="00364545" w:rsidRDefault="00920B68" w:rsidP="00920B68">
            <w:pPr>
              <w:spacing w:line="259" w:lineRule="auto"/>
              <w:ind w:left="58"/>
              <w:jc w:val="center"/>
              <w:rPr>
                <w:b/>
              </w:rPr>
            </w:pPr>
            <w:r w:rsidRPr="00364545">
              <w:rPr>
                <w:b/>
                <w:sz w:val="18"/>
              </w:rPr>
              <w:t>254402</w:t>
            </w:r>
          </w:p>
        </w:tc>
        <w:tc>
          <w:tcPr>
            <w:tcW w:w="734" w:type="dxa"/>
            <w:tcBorders>
              <w:top w:val="single" w:sz="2" w:space="0" w:color="000000"/>
              <w:left w:val="single" w:sz="2" w:space="0" w:color="000000"/>
              <w:bottom w:val="single" w:sz="2" w:space="0" w:color="000000"/>
              <w:right w:val="single" w:sz="2" w:space="0" w:color="000000"/>
            </w:tcBorders>
            <w:vAlign w:val="center"/>
          </w:tcPr>
          <w:p w14:paraId="3D04D8B1" w14:textId="77777777" w:rsidR="00920B68" w:rsidRPr="00364545" w:rsidRDefault="00920B68" w:rsidP="00920B68">
            <w:pPr>
              <w:spacing w:line="259" w:lineRule="auto"/>
              <w:ind w:left="56"/>
              <w:jc w:val="center"/>
              <w:rPr>
                <w:b/>
              </w:rPr>
            </w:pPr>
            <w:r w:rsidRPr="00364545">
              <w:rPr>
                <w:b/>
                <w:sz w:val="18"/>
              </w:rPr>
              <w:t>259213</w:t>
            </w:r>
          </w:p>
        </w:tc>
        <w:tc>
          <w:tcPr>
            <w:tcW w:w="735" w:type="dxa"/>
            <w:tcBorders>
              <w:top w:val="single" w:sz="2" w:space="0" w:color="000000"/>
              <w:left w:val="single" w:sz="2" w:space="0" w:color="000000"/>
              <w:bottom w:val="single" w:sz="2" w:space="0" w:color="000000"/>
              <w:right w:val="single" w:sz="2" w:space="0" w:color="000000"/>
            </w:tcBorders>
            <w:vAlign w:val="center"/>
          </w:tcPr>
          <w:p w14:paraId="7DF9D9DC" w14:textId="77777777" w:rsidR="00920B68" w:rsidRPr="00364545" w:rsidRDefault="00920B68" w:rsidP="00920B68">
            <w:pPr>
              <w:spacing w:line="259" w:lineRule="auto"/>
              <w:ind w:left="58"/>
              <w:jc w:val="center"/>
              <w:rPr>
                <w:b/>
              </w:rPr>
            </w:pPr>
            <w:r w:rsidRPr="00364545">
              <w:rPr>
                <w:b/>
                <w:sz w:val="18"/>
              </w:rPr>
              <w:t>241362</w:t>
            </w:r>
          </w:p>
        </w:tc>
        <w:tc>
          <w:tcPr>
            <w:tcW w:w="734" w:type="dxa"/>
            <w:tcBorders>
              <w:top w:val="single" w:sz="2" w:space="0" w:color="000000"/>
              <w:left w:val="single" w:sz="2" w:space="0" w:color="000000"/>
              <w:bottom w:val="single" w:sz="2" w:space="0" w:color="000000"/>
              <w:right w:val="single" w:sz="2" w:space="0" w:color="000000"/>
            </w:tcBorders>
            <w:vAlign w:val="center"/>
          </w:tcPr>
          <w:p w14:paraId="7527CBC6" w14:textId="77777777" w:rsidR="00920B68" w:rsidRPr="00364545" w:rsidRDefault="00920B68" w:rsidP="00920B68">
            <w:pPr>
              <w:spacing w:line="259" w:lineRule="auto"/>
              <w:ind w:left="56"/>
              <w:jc w:val="center"/>
              <w:rPr>
                <w:b/>
              </w:rPr>
            </w:pPr>
            <w:r w:rsidRPr="00364545">
              <w:rPr>
                <w:b/>
                <w:sz w:val="18"/>
              </w:rPr>
              <w:t>236549</w:t>
            </w:r>
          </w:p>
        </w:tc>
        <w:tc>
          <w:tcPr>
            <w:tcW w:w="735" w:type="dxa"/>
            <w:tcBorders>
              <w:top w:val="single" w:sz="2" w:space="0" w:color="000000"/>
              <w:left w:val="single" w:sz="2" w:space="0" w:color="000000"/>
              <w:bottom w:val="single" w:sz="2" w:space="0" w:color="000000"/>
              <w:right w:val="single" w:sz="2" w:space="0" w:color="000000"/>
            </w:tcBorders>
            <w:vAlign w:val="center"/>
          </w:tcPr>
          <w:p w14:paraId="12C158B4" w14:textId="77777777" w:rsidR="00920B68" w:rsidRPr="00364545" w:rsidRDefault="00920B68" w:rsidP="00920B68">
            <w:pPr>
              <w:spacing w:line="259" w:lineRule="auto"/>
              <w:ind w:left="56"/>
              <w:jc w:val="center"/>
              <w:rPr>
                <w:b/>
                <w:sz w:val="18"/>
              </w:rPr>
            </w:pPr>
            <w:r w:rsidRPr="00364545">
              <w:rPr>
                <w:b/>
                <w:sz w:val="18"/>
              </w:rPr>
              <w:t>224391</w:t>
            </w:r>
          </w:p>
        </w:tc>
      </w:tr>
    </w:tbl>
    <w:p w14:paraId="7C80E355" w14:textId="77777777" w:rsidR="00920B68" w:rsidRPr="00364545" w:rsidRDefault="00920B68" w:rsidP="00920B68">
      <w:pPr>
        <w:pStyle w:val="Caption"/>
      </w:pPr>
      <w:r w:rsidRPr="00364545">
        <w:t xml:space="preserve">Table </w:t>
      </w:r>
      <w:fldSimple w:instr=" SEQ Tableau \* ARABIC ">
        <w:r w:rsidRPr="00364545">
          <w:rPr>
            <w:noProof/>
          </w:rPr>
          <w:t>19</w:t>
        </w:r>
      </w:fldSimple>
      <w:r w:rsidRPr="00364545">
        <w:t>: CO</w:t>
      </w:r>
      <w:r w:rsidRPr="00364545">
        <w:rPr>
          <w:vertAlign w:val="subscript"/>
        </w:rPr>
        <w:t>2</w:t>
      </w:r>
      <w:r w:rsidRPr="00364545">
        <w:t xml:space="preserve"> emission projections (in ktCO</w:t>
      </w:r>
      <w:r w:rsidRPr="00364545">
        <w:rPr>
          <w:vertAlign w:val="subscript"/>
        </w:rPr>
        <w:t>2</w:t>
      </w:r>
      <w:r w:rsidRPr="00364545">
        <w:t>e) at Kyoto scope in the WEM 2021 scenario (with existing measures)</w:t>
      </w:r>
    </w:p>
    <w:p w14:paraId="779E3B45" w14:textId="77777777" w:rsidR="00920B68" w:rsidRPr="00364545" w:rsidRDefault="00920B68" w:rsidP="00920B68">
      <w:pPr>
        <w:pStyle w:val="Caption"/>
      </w:pPr>
      <w:r w:rsidRPr="00364545">
        <w:t>Source: UNF</w:t>
      </w:r>
      <w:r>
        <w:t>CCC inventory, Citepa/MTES, 2022</w:t>
      </w:r>
      <w:r w:rsidRPr="00364545">
        <w:t xml:space="preserve"> submission and MTES emission projections, 2021</w:t>
      </w:r>
    </w:p>
    <w:p w14:paraId="0C54CEF7" w14:textId="77777777" w:rsidR="00920B68" w:rsidRPr="00364545" w:rsidRDefault="00920B68" w:rsidP="00920B68"/>
    <w:p w14:paraId="2C9487D0" w14:textId="77777777" w:rsidR="00920B68" w:rsidRDefault="00920B68" w:rsidP="00920B68">
      <w:pPr>
        <w:pStyle w:val="Caption"/>
      </w:pPr>
      <w:r>
        <w:rPr>
          <w:noProof/>
          <w:lang w:val="fr-FR"/>
        </w:rPr>
        <w:drawing>
          <wp:inline distT="0" distB="0" distL="0" distR="0" wp14:anchorId="0BF63288" wp14:editId="7EFD4D1D">
            <wp:extent cx="6318250" cy="3632382"/>
            <wp:effectExtent l="0" t="0" r="6350" b="6350"/>
            <wp:docPr id="28705" name="Graphique 287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92B053C" w14:textId="77777777" w:rsidR="00920B68" w:rsidRPr="00364545" w:rsidRDefault="00920B68" w:rsidP="00920B68">
      <w:pPr>
        <w:pStyle w:val="Caption"/>
      </w:pPr>
      <w:r w:rsidRPr="00364545">
        <w:t xml:space="preserve">Figure </w:t>
      </w:r>
      <w:fldSimple w:instr=" SEQ Figure \* ARABIC ">
        <w:r w:rsidRPr="00364545">
          <w:rPr>
            <w:noProof/>
          </w:rPr>
          <w:t>62</w:t>
        </w:r>
      </w:fldSimple>
      <w:r w:rsidRPr="00364545">
        <w:t>: Projection by gas, excluding LULUCF in ktCO</w:t>
      </w:r>
      <w:r w:rsidRPr="00364545">
        <w:rPr>
          <w:vertAlign w:val="subscript"/>
        </w:rPr>
        <w:t>2e</w:t>
      </w:r>
      <w:r w:rsidRPr="00364545">
        <w:t>, in the Kyoto format, AME 2021 scenario</w:t>
      </w:r>
    </w:p>
    <w:p w14:paraId="6274C45C" w14:textId="77777777" w:rsidR="00920B68" w:rsidRPr="00364545" w:rsidRDefault="00920B68" w:rsidP="00920B68">
      <w:pPr>
        <w:pStyle w:val="Caption"/>
      </w:pPr>
      <w:r w:rsidRPr="00364545">
        <w:t>Source: UNFCCC in</w:t>
      </w:r>
      <w:r>
        <w:t>ventory, Citepa/MTES, 2022</w:t>
      </w:r>
      <w:r w:rsidRPr="00364545">
        <w:t xml:space="preserve"> submission and MTES emission projections, 2021</w:t>
      </w:r>
    </w:p>
    <w:p w14:paraId="349DD70A" w14:textId="77777777" w:rsidR="00920B68" w:rsidRPr="00364545" w:rsidRDefault="00920B68" w:rsidP="00920B68"/>
    <w:tbl>
      <w:tblPr>
        <w:tblStyle w:val="TableGrid0"/>
        <w:tblW w:w="9934" w:type="dxa"/>
        <w:tblInd w:w="10" w:type="dxa"/>
        <w:tblCellMar>
          <w:top w:w="39" w:type="dxa"/>
          <w:left w:w="28" w:type="dxa"/>
          <w:bottom w:w="2" w:type="dxa"/>
          <w:right w:w="48" w:type="dxa"/>
        </w:tblCellMar>
        <w:tblLook w:val="04A0" w:firstRow="1" w:lastRow="0" w:firstColumn="1" w:lastColumn="0" w:noHBand="0" w:noVBand="1"/>
      </w:tblPr>
      <w:tblGrid>
        <w:gridCol w:w="1114"/>
        <w:gridCol w:w="803"/>
        <w:gridCol w:w="780"/>
        <w:gridCol w:w="779"/>
        <w:gridCol w:w="802"/>
        <w:gridCol w:w="802"/>
        <w:gridCol w:w="802"/>
        <w:gridCol w:w="802"/>
        <w:gridCol w:w="650"/>
        <w:gridCol w:w="650"/>
        <w:gridCol w:w="650"/>
        <w:gridCol w:w="650"/>
        <w:gridCol w:w="650"/>
      </w:tblGrid>
      <w:tr w:rsidR="00920B68" w:rsidRPr="00364545" w14:paraId="3942C0C8" w14:textId="77777777" w:rsidTr="00920B68">
        <w:trPr>
          <w:trHeight w:val="402"/>
        </w:trPr>
        <w:tc>
          <w:tcPr>
            <w:tcW w:w="1114" w:type="dxa"/>
            <w:tcBorders>
              <w:top w:val="single" w:sz="2" w:space="0" w:color="000000"/>
              <w:left w:val="single" w:sz="2" w:space="0" w:color="000000"/>
              <w:bottom w:val="single" w:sz="2" w:space="0" w:color="000000"/>
              <w:right w:val="single" w:sz="2" w:space="0" w:color="000000"/>
            </w:tcBorders>
            <w:shd w:val="clear" w:color="auto" w:fill="6D2A78"/>
          </w:tcPr>
          <w:p w14:paraId="264F5767" w14:textId="77777777" w:rsidR="00920B68" w:rsidRPr="00364545" w:rsidRDefault="00920B68" w:rsidP="00920B68">
            <w:pPr>
              <w:spacing w:line="259" w:lineRule="auto"/>
              <w:ind w:left="67"/>
              <w:jc w:val="left"/>
            </w:pPr>
            <w:r>
              <w:t>AME 21 – CH</w:t>
            </w:r>
            <w:r w:rsidRPr="00364545">
              <w:rPr>
                <w:vertAlign w:val="subscript"/>
              </w:rPr>
              <w:t>4</w:t>
            </w:r>
            <w:r w:rsidRPr="00364545">
              <w:t xml:space="preserve"> </w:t>
            </w:r>
          </w:p>
        </w:tc>
        <w:tc>
          <w:tcPr>
            <w:tcW w:w="803" w:type="dxa"/>
            <w:tcBorders>
              <w:top w:val="single" w:sz="2" w:space="0" w:color="000000"/>
              <w:left w:val="single" w:sz="2" w:space="0" w:color="000000"/>
              <w:bottom w:val="single" w:sz="2" w:space="0" w:color="000000"/>
              <w:right w:val="single" w:sz="2" w:space="0" w:color="000000"/>
            </w:tcBorders>
            <w:shd w:val="clear" w:color="auto" w:fill="6D2A78"/>
          </w:tcPr>
          <w:p w14:paraId="4CD8C9CF" w14:textId="77777777" w:rsidR="00920B68" w:rsidRPr="00364545" w:rsidRDefault="00920B68" w:rsidP="00920B68">
            <w:pPr>
              <w:spacing w:line="259" w:lineRule="auto"/>
              <w:ind w:left="19"/>
              <w:jc w:val="center"/>
            </w:pPr>
            <w:r w:rsidRPr="00364545">
              <w:rPr>
                <w:b/>
                <w:color w:val="FFFFFF"/>
                <w:sz w:val="18"/>
              </w:rPr>
              <w:t xml:space="preserve">1990 </w:t>
            </w:r>
          </w:p>
        </w:tc>
        <w:tc>
          <w:tcPr>
            <w:tcW w:w="780" w:type="dxa"/>
            <w:tcBorders>
              <w:top w:val="single" w:sz="2" w:space="0" w:color="000000"/>
              <w:left w:val="single" w:sz="2" w:space="0" w:color="000000"/>
              <w:bottom w:val="single" w:sz="2" w:space="0" w:color="000000"/>
              <w:right w:val="single" w:sz="2" w:space="0" w:color="000000"/>
            </w:tcBorders>
            <w:shd w:val="clear" w:color="auto" w:fill="6D2A78"/>
          </w:tcPr>
          <w:p w14:paraId="33C2D74D"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79" w:type="dxa"/>
            <w:tcBorders>
              <w:top w:val="single" w:sz="2" w:space="0" w:color="000000"/>
              <w:left w:val="single" w:sz="2" w:space="0" w:color="000000"/>
              <w:bottom w:val="single" w:sz="2" w:space="0" w:color="000000"/>
              <w:right w:val="single" w:sz="2" w:space="0" w:color="000000"/>
            </w:tcBorders>
            <w:shd w:val="clear" w:color="auto" w:fill="6D2A78"/>
          </w:tcPr>
          <w:p w14:paraId="54CA7B4A" w14:textId="77777777" w:rsidR="00920B68" w:rsidRPr="00364545" w:rsidRDefault="00920B68" w:rsidP="00920B68">
            <w:pPr>
              <w:spacing w:line="259" w:lineRule="auto"/>
              <w:ind w:left="21"/>
              <w:jc w:val="center"/>
            </w:pPr>
            <w:r w:rsidRPr="00364545">
              <w:rPr>
                <w:b/>
                <w:color w:val="FFFFFF"/>
                <w:sz w:val="18"/>
              </w:rPr>
              <w:t xml:space="preserve">2000 </w:t>
            </w:r>
          </w:p>
        </w:tc>
        <w:tc>
          <w:tcPr>
            <w:tcW w:w="802" w:type="dxa"/>
            <w:tcBorders>
              <w:top w:val="single" w:sz="2" w:space="0" w:color="000000"/>
              <w:left w:val="single" w:sz="2" w:space="0" w:color="000000"/>
              <w:bottom w:val="single" w:sz="2" w:space="0" w:color="000000"/>
              <w:right w:val="single" w:sz="2" w:space="0" w:color="000000"/>
            </w:tcBorders>
            <w:shd w:val="clear" w:color="auto" w:fill="6D2A78"/>
          </w:tcPr>
          <w:p w14:paraId="76E8A94F" w14:textId="77777777" w:rsidR="00920B68" w:rsidRPr="00364545" w:rsidRDefault="00920B68" w:rsidP="00920B68">
            <w:pPr>
              <w:spacing w:line="259" w:lineRule="auto"/>
              <w:ind w:left="19"/>
              <w:jc w:val="center"/>
            </w:pPr>
            <w:r w:rsidRPr="00364545">
              <w:rPr>
                <w:b/>
                <w:color w:val="FFFFFF"/>
                <w:sz w:val="18"/>
              </w:rPr>
              <w:t xml:space="preserve">2005 </w:t>
            </w:r>
          </w:p>
        </w:tc>
        <w:tc>
          <w:tcPr>
            <w:tcW w:w="802" w:type="dxa"/>
            <w:tcBorders>
              <w:top w:val="single" w:sz="2" w:space="0" w:color="000000"/>
              <w:left w:val="single" w:sz="2" w:space="0" w:color="000000"/>
              <w:bottom w:val="single" w:sz="2" w:space="0" w:color="000000"/>
              <w:right w:val="single" w:sz="2" w:space="0" w:color="000000"/>
            </w:tcBorders>
            <w:shd w:val="clear" w:color="auto" w:fill="6D2A78"/>
          </w:tcPr>
          <w:p w14:paraId="56B43D53" w14:textId="77777777" w:rsidR="00920B68" w:rsidRPr="00364545" w:rsidRDefault="00920B68" w:rsidP="00920B68">
            <w:pPr>
              <w:spacing w:line="259" w:lineRule="auto"/>
              <w:ind w:left="21"/>
              <w:jc w:val="center"/>
            </w:pPr>
            <w:r w:rsidRPr="00364545">
              <w:rPr>
                <w:b/>
                <w:color w:val="FFFFFF"/>
                <w:sz w:val="18"/>
              </w:rPr>
              <w:t xml:space="preserve">2010 </w:t>
            </w:r>
          </w:p>
        </w:tc>
        <w:tc>
          <w:tcPr>
            <w:tcW w:w="802" w:type="dxa"/>
            <w:tcBorders>
              <w:top w:val="single" w:sz="2" w:space="0" w:color="000000"/>
              <w:left w:val="single" w:sz="2" w:space="0" w:color="000000"/>
              <w:bottom w:val="single" w:sz="2" w:space="0" w:color="000000"/>
              <w:right w:val="single" w:sz="2" w:space="0" w:color="000000"/>
            </w:tcBorders>
            <w:shd w:val="clear" w:color="auto" w:fill="6D2A78"/>
          </w:tcPr>
          <w:p w14:paraId="5BA17C48" w14:textId="77777777" w:rsidR="00920B68" w:rsidRPr="00364545" w:rsidRDefault="00920B68" w:rsidP="00920B68">
            <w:pPr>
              <w:spacing w:line="259" w:lineRule="auto"/>
              <w:ind w:left="19"/>
              <w:jc w:val="center"/>
            </w:pPr>
            <w:r w:rsidRPr="00364545">
              <w:rPr>
                <w:b/>
                <w:color w:val="FFFFFF"/>
                <w:sz w:val="18"/>
              </w:rPr>
              <w:t xml:space="preserve">2015 </w:t>
            </w:r>
          </w:p>
        </w:tc>
        <w:tc>
          <w:tcPr>
            <w:tcW w:w="802" w:type="dxa"/>
            <w:tcBorders>
              <w:top w:val="single" w:sz="2" w:space="0" w:color="000000"/>
              <w:left w:val="single" w:sz="2" w:space="0" w:color="000000"/>
              <w:bottom w:val="single" w:sz="2" w:space="0" w:color="000000"/>
              <w:right w:val="single" w:sz="2" w:space="0" w:color="000000"/>
            </w:tcBorders>
            <w:shd w:val="clear" w:color="auto" w:fill="6D2A78"/>
          </w:tcPr>
          <w:p w14:paraId="5D29BBE8" w14:textId="77777777" w:rsidR="00920B68" w:rsidRPr="00364545" w:rsidRDefault="00920B68" w:rsidP="00920B68">
            <w:pPr>
              <w:spacing w:line="259" w:lineRule="auto"/>
              <w:ind w:left="21"/>
              <w:jc w:val="center"/>
              <w:rPr>
                <w:b/>
                <w:color w:val="FFFFFF"/>
                <w:sz w:val="18"/>
              </w:rPr>
            </w:pPr>
            <w:r w:rsidRPr="00364545">
              <w:rPr>
                <w:b/>
                <w:color w:val="FFFFFF"/>
                <w:sz w:val="18"/>
              </w:rPr>
              <w:t>2019</w:t>
            </w:r>
          </w:p>
        </w:tc>
        <w:tc>
          <w:tcPr>
            <w:tcW w:w="650" w:type="dxa"/>
            <w:tcBorders>
              <w:top w:val="single" w:sz="2" w:space="0" w:color="000000"/>
              <w:left w:val="single" w:sz="2" w:space="0" w:color="000000"/>
              <w:bottom w:val="single" w:sz="2" w:space="0" w:color="000000"/>
              <w:right w:val="single" w:sz="2" w:space="0" w:color="000000"/>
            </w:tcBorders>
            <w:shd w:val="clear" w:color="auto" w:fill="6D2A78"/>
          </w:tcPr>
          <w:p w14:paraId="251AA6BF" w14:textId="77777777" w:rsidR="00920B68" w:rsidRPr="00364545" w:rsidRDefault="00920B68" w:rsidP="00920B68">
            <w:pPr>
              <w:spacing w:line="259" w:lineRule="auto"/>
              <w:ind w:left="21"/>
              <w:jc w:val="center"/>
            </w:pPr>
            <w:r w:rsidRPr="00364545">
              <w:rPr>
                <w:b/>
                <w:color w:val="FFFFFF"/>
                <w:sz w:val="18"/>
              </w:rPr>
              <w:t xml:space="preserve">2020 </w:t>
            </w:r>
          </w:p>
        </w:tc>
        <w:tc>
          <w:tcPr>
            <w:tcW w:w="650" w:type="dxa"/>
            <w:tcBorders>
              <w:top w:val="single" w:sz="2" w:space="0" w:color="000000"/>
              <w:left w:val="single" w:sz="2" w:space="0" w:color="000000"/>
              <w:bottom w:val="single" w:sz="2" w:space="0" w:color="000000"/>
              <w:right w:val="single" w:sz="2" w:space="0" w:color="000000"/>
            </w:tcBorders>
            <w:shd w:val="clear" w:color="auto" w:fill="6D2A78"/>
          </w:tcPr>
          <w:p w14:paraId="0A7BC3B5" w14:textId="77777777" w:rsidR="00920B68" w:rsidRPr="00364545" w:rsidRDefault="00920B68" w:rsidP="00920B68">
            <w:pPr>
              <w:spacing w:line="259" w:lineRule="auto"/>
              <w:ind w:left="19"/>
              <w:jc w:val="center"/>
            </w:pPr>
            <w:r w:rsidRPr="00364545">
              <w:rPr>
                <w:b/>
                <w:color w:val="FFFFFF"/>
                <w:sz w:val="18"/>
              </w:rPr>
              <w:t xml:space="preserve">2025 </w:t>
            </w:r>
          </w:p>
        </w:tc>
        <w:tc>
          <w:tcPr>
            <w:tcW w:w="650" w:type="dxa"/>
            <w:tcBorders>
              <w:top w:val="single" w:sz="2" w:space="0" w:color="000000"/>
              <w:left w:val="single" w:sz="2" w:space="0" w:color="000000"/>
              <w:bottom w:val="single" w:sz="2" w:space="0" w:color="000000"/>
              <w:right w:val="single" w:sz="2" w:space="0" w:color="000000"/>
            </w:tcBorders>
            <w:shd w:val="clear" w:color="auto" w:fill="6D2A78"/>
          </w:tcPr>
          <w:p w14:paraId="490FB3D2" w14:textId="77777777" w:rsidR="00920B68" w:rsidRPr="00364545" w:rsidRDefault="00920B68" w:rsidP="00920B68">
            <w:pPr>
              <w:spacing w:line="259" w:lineRule="auto"/>
              <w:ind w:left="21"/>
              <w:jc w:val="center"/>
            </w:pPr>
            <w:r w:rsidRPr="00364545">
              <w:rPr>
                <w:b/>
                <w:color w:val="FFFFFF"/>
                <w:sz w:val="18"/>
              </w:rPr>
              <w:t xml:space="preserve">2030 </w:t>
            </w:r>
          </w:p>
        </w:tc>
        <w:tc>
          <w:tcPr>
            <w:tcW w:w="650" w:type="dxa"/>
            <w:tcBorders>
              <w:top w:val="single" w:sz="2" w:space="0" w:color="000000"/>
              <w:left w:val="single" w:sz="2" w:space="0" w:color="000000"/>
              <w:bottom w:val="single" w:sz="2" w:space="0" w:color="000000"/>
              <w:right w:val="single" w:sz="2" w:space="0" w:color="000000"/>
            </w:tcBorders>
            <w:shd w:val="clear" w:color="auto" w:fill="6D2A78"/>
          </w:tcPr>
          <w:p w14:paraId="7A725A8C" w14:textId="77777777" w:rsidR="00920B68" w:rsidRPr="00364545" w:rsidRDefault="00920B68" w:rsidP="00920B68">
            <w:pPr>
              <w:spacing w:line="259" w:lineRule="auto"/>
              <w:ind w:left="20"/>
              <w:jc w:val="center"/>
            </w:pPr>
            <w:r w:rsidRPr="00364545">
              <w:rPr>
                <w:b/>
                <w:color w:val="FFFFFF"/>
                <w:sz w:val="18"/>
              </w:rPr>
              <w:t xml:space="preserve">2035 </w:t>
            </w:r>
          </w:p>
        </w:tc>
        <w:tc>
          <w:tcPr>
            <w:tcW w:w="650" w:type="dxa"/>
            <w:tcBorders>
              <w:top w:val="single" w:sz="2" w:space="0" w:color="000000"/>
              <w:left w:val="single" w:sz="2" w:space="0" w:color="000000"/>
              <w:bottom w:val="single" w:sz="2" w:space="0" w:color="000000"/>
              <w:right w:val="single" w:sz="2" w:space="0" w:color="000000"/>
            </w:tcBorders>
            <w:shd w:val="clear" w:color="auto" w:fill="6D2A78"/>
          </w:tcPr>
          <w:p w14:paraId="1008B635"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7F888F5B" w14:textId="77777777" w:rsidTr="00920B68">
        <w:trPr>
          <w:trHeight w:val="344"/>
        </w:trPr>
        <w:tc>
          <w:tcPr>
            <w:tcW w:w="1114" w:type="dxa"/>
            <w:tcBorders>
              <w:top w:val="single" w:sz="2" w:space="0" w:color="000000"/>
              <w:left w:val="single" w:sz="2" w:space="0" w:color="000000"/>
              <w:bottom w:val="single" w:sz="2" w:space="0" w:color="000000"/>
              <w:right w:val="single" w:sz="2" w:space="0" w:color="000000"/>
            </w:tcBorders>
          </w:tcPr>
          <w:p w14:paraId="50EA94F8" w14:textId="77777777" w:rsidR="00920B68" w:rsidRPr="00364545" w:rsidRDefault="00920B68" w:rsidP="00920B68">
            <w:pPr>
              <w:spacing w:line="259" w:lineRule="auto"/>
            </w:pPr>
            <w:r w:rsidRPr="00364545">
              <w:rPr>
                <w:sz w:val="18"/>
              </w:rPr>
              <w:t xml:space="preserve">Energy </w:t>
            </w:r>
          </w:p>
        </w:tc>
        <w:tc>
          <w:tcPr>
            <w:tcW w:w="803" w:type="dxa"/>
            <w:tcBorders>
              <w:top w:val="single" w:sz="2" w:space="0" w:color="000000"/>
              <w:left w:val="single" w:sz="2" w:space="0" w:color="000000"/>
              <w:bottom w:val="single" w:sz="2" w:space="0" w:color="000000"/>
              <w:right w:val="single" w:sz="2" w:space="0" w:color="000000"/>
            </w:tcBorders>
            <w:vAlign w:val="bottom"/>
          </w:tcPr>
          <w:p w14:paraId="5261BF8A" w14:textId="77777777" w:rsidR="00920B68" w:rsidRPr="00634E4C" w:rsidRDefault="00920B68" w:rsidP="00920B68">
            <w:pPr>
              <w:spacing w:line="259" w:lineRule="auto"/>
              <w:ind w:left="106"/>
              <w:rPr>
                <w:rFonts w:asciiTheme="majorHAnsi" w:hAnsiTheme="majorHAnsi"/>
                <w:sz w:val="16"/>
              </w:rPr>
            </w:pPr>
            <w:r w:rsidRPr="00944589">
              <w:rPr>
                <w:rFonts w:asciiTheme="majorHAnsi" w:hAnsiTheme="majorHAnsi"/>
                <w:sz w:val="16"/>
                <w:szCs w:val="16"/>
              </w:rPr>
              <w:t>12404</w:t>
            </w:r>
          </w:p>
        </w:tc>
        <w:tc>
          <w:tcPr>
            <w:tcW w:w="780" w:type="dxa"/>
            <w:tcBorders>
              <w:top w:val="single" w:sz="2" w:space="0" w:color="000000"/>
              <w:left w:val="single" w:sz="2" w:space="0" w:color="000000"/>
              <w:bottom w:val="single" w:sz="2" w:space="0" w:color="000000"/>
              <w:right w:val="single" w:sz="2" w:space="0" w:color="000000"/>
            </w:tcBorders>
            <w:vAlign w:val="bottom"/>
          </w:tcPr>
          <w:p w14:paraId="0AFDFBFC"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11918</w:t>
            </w:r>
          </w:p>
        </w:tc>
        <w:tc>
          <w:tcPr>
            <w:tcW w:w="779" w:type="dxa"/>
            <w:tcBorders>
              <w:top w:val="single" w:sz="2" w:space="0" w:color="000000"/>
              <w:left w:val="single" w:sz="2" w:space="0" w:color="000000"/>
              <w:bottom w:val="single" w:sz="2" w:space="0" w:color="000000"/>
              <w:right w:val="single" w:sz="2" w:space="0" w:color="000000"/>
            </w:tcBorders>
            <w:vAlign w:val="bottom"/>
          </w:tcPr>
          <w:p w14:paraId="4CB8A6C5"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7568</w:t>
            </w:r>
          </w:p>
        </w:tc>
        <w:tc>
          <w:tcPr>
            <w:tcW w:w="802" w:type="dxa"/>
            <w:tcBorders>
              <w:top w:val="single" w:sz="2" w:space="0" w:color="000000"/>
              <w:left w:val="single" w:sz="2" w:space="0" w:color="000000"/>
              <w:bottom w:val="single" w:sz="2" w:space="0" w:color="000000"/>
              <w:right w:val="single" w:sz="2" w:space="0" w:color="000000"/>
            </w:tcBorders>
            <w:vAlign w:val="bottom"/>
          </w:tcPr>
          <w:p w14:paraId="62E2C48E"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4922</w:t>
            </w:r>
          </w:p>
        </w:tc>
        <w:tc>
          <w:tcPr>
            <w:tcW w:w="802" w:type="dxa"/>
            <w:tcBorders>
              <w:top w:val="single" w:sz="2" w:space="0" w:color="000000"/>
              <w:left w:val="single" w:sz="2" w:space="0" w:color="000000"/>
              <w:bottom w:val="single" w:sz="2" w:space="0" w:color="000000"/>
              <w:right w:val="single" w:sz="2" w:space="0" w:color="000000"/>
            </w:tcBorders>
            <w:vAlign w:val="bottom"/>
          </w:tcPr>
          <w:p w14:paraId="309B787E"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3704</w:t>
            </w:r>
          </w:p>
        </w:tc>
        <w:tc>
          <w:tcPr>
            <w:tcW w:w="802" w:type="dxa"/>
            <w:tcBorders>
              <w:top w:val="single" w:sz="2" w:space="0" w:color="000000"/>
              <w:left w:val="single" w:sz="2" w:space="0" w:color="000000"/>
              <w:bottom w:val="single" w:sz="2" w:space="0" w:color="000000"/>
              <w:right w:val="single" w:sz="2" w:space="0" w:color="000000"/>
            </w:tcBorders>
            <w:vAlign w:val="bottom"/>
          </w:tcPr>
          <w:p w14:paraId="576A4BBE"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2743</w:t>
            </w:r>
          </w:p>
        </w:tc>
        <w:tc>
          <w:tcPr>
            <w:tcW w:w="802" w:type="dxa"/>
            <w:tcBorders>
              <w:top w:val="single" w:sz="2" w:space="0" w:color="000000"/>
              <w:left w:val="single" w:sz="2" w:space="0" w:color="000000"/>
              <w:bottom w:val="single" w:sz="2" w:space="0" w:color="000000"/>
              <w:right w:val="single" w:sz="2" w:space="0" w:color="000000"/>
            </w:tcBorders>
            <w:vAlign w:val="bottom"/>
          </w:tcPr>
          <w:p w14:paraId="23E8AD4A"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2398</w:t>
            </w:r>
          </w:p>
        </w:tc>
        <w:tc>
          <w:tcPr>
            <w:tcW w:w="650" w:type="dxa"/>
            <w:tcBorders>
              <w:top w:val="single" w:sz="2" w:space="0" w:color="000000"/>
              <w:left w:val="single" w:sz="2" w:space="0" w:color="000000"/>
              <w:bottom w:val="single" w:sz="2" w:space="0" w:color="000000"/>
              <w:right w:val="single" w:sz="2" w:space="0" w:color="000000"/>
            </w:tcBorders>
            <w:vAlign w:val="bottom"/>
          </w:tcPr>
          <w:p w14:paraId="304CADA0"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2320</w:t>
            </w:r>
          </w:p>
        </w:tc>
        <w:tc>
          <w:tcPr>
            <w:tcW w:w="650" w:type="dxa"/>
            <w:tcBorders>
              <w:top w:val="single" w:sz="2" w:space="0" w:color="000000"/>
              <w:left w:val="single" w:sz="2" w:space="0" w:color="000000"/>
              <w:bottom w:val="single" w:sz="2" w:space="0" w:color="000000"/>
              <w:right w:val="single" w:sz="2" w:space="0" w:color="000000"/>
            </w:tcBorders>
            <w:vAlign w:val="bottom"/>
          </w:tcPr>
          <w:p w14:paraId="08ADA061"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2262</w:t>
            </w:r>
          </w:p>
        </w:tc>
        <w:tc>
          <w:tcPr>
            <w:tcW w:w="650" w:type="dxa"/>
            <w:tcBorders>
              <w:top w:val="single" w:sz="2" w:space="0" w:color="000000"/>
              <w:left w:val="single" w:sz="2" w:space="0" w:color="000000"/>
              <w:bottom w:val="single" w:sz="2" w:space="0" w:color="000000"/>
              <w:right w:val="single" w:sz="2" w:space="0" w:color="000000"/>
            </w:tcBorders>
            <w:vAlign w:val="bottom"/>
          </w:tcPr>
          <w:p w14:paraId="07EE6722"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2191</w:t>
            </w:r>
          </w:p>
        </w:tc>
        <w:tc>
          <w:tcPr>
            <w:tcW w:w="650" w:type="dxa"/>
            <w:tcBorders>
              <w:top w:val="single" w:sz="2" w:space="0" w:color="000000"/>
              <w:left w:val="single" w:sz="2" w:space="0" w:color="000000"/>
              <w:bottom w:val="single" w:sz="2" w:space="0" w:color="000000"/>
              <w:right w:val="single" w:sz="2" w:space="0" w:color="000000"/>
            </w:tcBorders>
            <w:vAlign w:val="bottom"/>
          </w:tcPr>
          <w:p w14:paraId="5FF7382D"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2158</w:t>
            </w:r>
          </w:p>
        </w:tc>
        <w:tc>
          <w:tcPr>
            <w:tcW w:w="650" w:type="dxa"/>
            <w:tcBorders>
              <w:top w:val="single" w:sz="2" w:space="0" w:color="000000"/>
              <w:left w:val="single" w:sz="2" w:space="0" w:color="000000"/>
              <w:bottom w:val="single" w:sz="2" w:space="0" w:color="000000"/>
              <w:right w:val="single" w:sz="2" w:space="0" w:color="000000"/>
            </w:tcBorders>
            <w:vAlign w:val="bottom"/>
          </w:tcPr>
          <w:p w14:paraId="2A32F25C"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2199</w:t>
            </w:r>
          </w:p>
        </w:tc>
      </w:tr>
      <w:tr w:rsidR="00920B68" w:rsidRPr="00364545" w14:paraId="0BFF1629" w14:textId="77777777" w:rsidTr="00920B68">
        <w:trPr>
          <w:trHeight w:val="419"/>
        </w:trPr>
        <w:tc>
          <w:tcPr>
            <w:tcW w:w="1114" w:type="dxa"/>
            <w:tcBorders>
              <w:top w:val="single" w:sz="2" w:space="0" w:color="000000"/>
              <w:left w:val="single" w:sz="2" w:space="0" w:color="000000"/>
              <w:bottom w:val="single" w:sz="2" w:space="0" w:color="000000"/>
              <w:right w:val="single" w:sz="2" w:space="0" w:color="000000"/>
            </w:tcBorders>
            <w:shd w:val="clear" w:color="auto" w:fill="ECE6E2"/>
          </w:tcPr>
          <w:p w14:paraId="34F09164" w14:textId="77777777" w:rsidR="00920B68" w:rsidRPr="00364545" w:rsidRDefault="00920B68" w:rsidP="00920B68">
            <w:pPr>
              <w:spacing w:line="259" w:lineRule="auto"/>
            </w:pPr>
            <w:r w:rsidRPr="00364545">
              <w:rPr>
                <w:sz w:val="18"/>
              </w:rPr>
              <w:t xml:space="preserve">Industrial processes, solvents and other products </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C068292" w14:textId="77777777" w:rsidR="00920B68" w:rsidRPr="00634E4C" w:rsidRDefault="00920B68" w:rsidP="00920B68">
            <w:pPr>
              <w:spacing w:line="259" w:lineRule="auto"/>
              <w:ind w:left="19"/>
              <w:jc w:val="center"/>
              <w:rPr>
                <w:rFonts w:asciiTheme="majorHAnsi" w:hAnsiTheme="majorHAnsi"/>
                <w:sz w:val="16"/>
              </w:rPr>
            </w:pPr>
            <w:r w:rsidRPr="00634E4C">
              <w:rPr>
                <w:rFonts w:asciiTheme="majorHAnsi" w:hAnsiTheme="majorHAnsi"/>
                <w:sz w:val="16"/>
              </w:rPr>
              <w:t>220</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0CBDB53"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sz w:val="16"/>
              </w:rPr>
              <w:t>221</w:t>
            </w:r>
          </w:p>
        </w:tc>
        <w:tc>
          <w:tcPr>
            <w:tcW w:w="77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7A9F982"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sz w:val="16"/>
              </w:rPr>
              <w:t>236</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ED5E1E5"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207</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E47D6B8"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sz w:val="16"/>
              </w:rPr>
              <w:t>147</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5054A75"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85</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706166A"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66</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F96A4EA"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67</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1419EFE"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75</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D7D4506"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75</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9CDCD59"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75</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74BA4D3"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73</w:t>
            </w:r>
          </w:p>
        </w:tc>
      </w:tr>
      <w:tr w:rsidR="00920B68" w:rsidRPr="00364545" w14:paraId="1551E69A" w14:textId="77777777" w:rsidTr="00920B68">
        <w:trPr>
          <w:trHeight w:val="347"/>
        </w:trPr>
        <w:tc>
          <w:tcPr>
            <w:tcW w:w="1114" w:type="dxa"/>
            <w:tcBorders>
              <w:top w:val="single" w:sz="2" w:space="0" w:color="000000"/>
              <w:left w:val="single" w:sz="2" w:space="0" w:color="000000"/>
              <w:bottom w:val="single" w:sz="2" w:space="0" w:color="000000"/>
              <w:right w:val="single" w:sz="2" w:space="0" w:color="000000"/>
            </w:tcBorders>
          </w:tcPr>
          <w:p w14:paraId="5401DEC3" w14:textId="77777777" w:rsidR="00920B68" w:rsidRPr="00364545" w:rsidRDefault="00920B68" w:rsidP="00920B68">
            <w:pPr>
              <w:spacing w:line="259" w:lineRule="auto"/>
            </w:pPr>
            <w:r w:rsidRPr="00364545">
              <w:rPr>
                <w:sz w:val="18"/>
              </w:rPr>
              <w:t xml:space="preserve">Agriculture (excluding energy) </w:t>
            </w:r>
          </w:p>
        </w:tc>
        <w:tc>
          <w:tcPr>
            <w:tcW w:w="803" w:type="dxa"/>
            <w:tcBorders>
              <w:top w:val="single" w:sz="2" w:space="0" w:color="000000"/>
              <w:left w:val="single" w:sz="2" w:space="0" w:color="000000"/>
              <w:bottom w:val="single" w:sz="2" w:space="0" w:color="000000"/>
              <w:right w:val="single" w:sz="2" w:space="0" w:color="000000"/>
            </w:tcBorders>
            <w:vAlign w:val="bottom"/>
          </w:tcPr>
          <w:p w14:paraId="66CBBDB2" w14:textId="77777777" w:rsidR="00920B68" w:rsidRPr="00634E4C" w:rsidRDefault="00920B68" w:rsidP="00920B68">
            <w:pPr>
              <w:spacing w:line="259" w:lineRule="auto"/>
              <w:ind w:left="106"/>
              <w:rPr>
                <w:rFonts w:asciiTheme="majorHAnsi" w:hAnsiTheme="majorHAnsi"/>
                <w:sz w:val="16"/>
              </w:rPr>
            </w:pPr>
            <w:r w:rsidRPr="00634E4C">
              <w:rPr>
                <w:rFonts w:asciiTheme="majorHAnsi" w:hAnsiTheme="majorHAnsi"/>
                <w:sz w:val="16"/>
              </w:rPr>
              <w:t>42218</w:t>
            </w:r>
          </w:p>
        </w:tc>
        <w:tc>
          <w:tcPr>
            <w:tcW w:w="780" w:type="dxa"/>
            <w:tcBorders>
              <w:top w:val="single" w:sz="2" w:space="0" w:color="000000"/>
              <w:left w:val="single" w:sz="2" w:space="0" w:color="000000"/>
              <w:bottom w:val="single" w:sz="2" w:space="0" w:color="000000"/>
              <w:right w:val="single" w:sz="2" w:space="0" w:color="000000"/>
            </w:tcBorders>
            <w:vAlign w:val="bottom"/>
          </w:tcPr>
          <w:p w14:paraId="31395438"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41145</w:t>
            </w:r>
          </w:p>
        </w:tc>
        <w:tc>
          <w:tcPr>
            <w:tcW w:w="779" w:type="dxa"/>
            <w:tcBorders>
              <w:top w:val="single" w:sz="2" w:space="0" w:color="000000"/>
              <w:left w:val="single" w:sz="2" w:space="0" w:color="000000"/>
              <w:bottom w:val="single" w:sz="2" w:space="0" w:color="000000"/>
              <w:right w:val="single" w:sz="2" w:space="0" w:color="000000"/>
            </w:tcBorders>
            <w:vAlign w:val="bottom"/>
          </w:tcPr>
          <w:p w14:paraId="7F60BA29"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42197</w:t>
            </w:r>
          </w:p>
        </w:tc>
        <w:tc>
          <w:tcPr>
            <w:tcW w:w="802" w:type="dxa"/>
            <w:tcBorders>
              <w:top w:val="single" w:sz="2" w:space="0" w:color="000000"/>
              <w:left w:val="single" w:sz="2" w:space="0" w:color="000000"/>
              <w:bottom w:val="single" w:sz="2" w:space="0" w:color="000000"/>
              <w:right w:val="single" w:sz="2" w:space="0" w:color="000000"/>
            </w:tcBorders>
            <w:vAlign w:val="bottom"/>
          </w:tcPr>
          <w:p w14:paraId="3CD2C496"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39373</w:t>
            </w:r>
          </w:p>
        </w:tc>
        <w:tc>
          <w:tcPr>
            <w:tcW w:w="802" w:type="dxa"/>
            <w:tcBorders>
              <w:top w:val="single" w:sz="2" w:space="0" w:color="000000"/>
              <w:left w:val="single" w:sz="2" w:space="0" w:color="000000"/>
              <w:bottom w:val="single" w:sz="2" w:space="0" w:color="000000"/>
              <w:right w:val="single" w:sz="2" w:space="0" w:color="000000"/>
            </w:tcBorders>
            <w:vAlign w:val="bottom"/>
          </w:tcPr>
          <w:p w14:paraId="7CCC748C"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39325</w:t>
            </w:r>
          </w:p>
        </w:tc>
        <w:tc>
          <w:tcPr>
            <w:tcW w:w="802" w:type="dxa"/>
            <w:tcBorders>
              <w:top w:val="single" w:sz="2" w:space="0" w:color="000000"/>
              <w:left w:val="single" w:sz="2" w:space="0" w:color="000000"/>
              <w:bottom w:val="single" w:sz="2" w:space="0" w:color="000000"/>
              <w:right w:val="single" w:sz="2" w:space="0" w:color="000000"/>
            </w:tcBorders>
            <w:vAlign w:val="bottom"/>
          </w:tcPr>
          <w:p w14:paraId="4AA018B1"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39281</w:t>
            </w:r>
          </w:p>
        </w:tc>
        <w:tc>
          <w:tcPr>
            <w:tcW w:w="802" w:type="dxa"/>
            <w:tcBorders>
              <w:top w:val="single" w:sz="2" w:space="0" w:color="000000"/>
              <w:left w:val="single" w:sz="2" w:space="0" w:color="000000"/>
              <w:bottom w:val="single" w:sz="2" w:space="0" w:color="000000"/>
              <w:right w:val="single" w:sz="2" w:space="0" w:color="000000"/>
            </w:tcBorders>
            <w:vAlign w:val="bottom"/>
          </w:tcPr>
          <w:p w14:paraId="7AE025A0"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37445</w:t>
            </w:r>
          </w:p>
        </w:tc>
        <w:tc>
          <w:tcPr>
            <w:tcW w:w="650" w:type="dxa"/>
            <w:tcBorders>
              <w:top w:val="single" w:sz="2" w:space="0" w:color="000000"/>
              <w:left w:val="single" w:sz="2" w:space="0" w:color="000000"/>
              <w:bottom w:val="single" w:sz="2" w:space="0" w:color="000000"/>
              <w:right w:val="single" w:sz="2" w:space="0" w:color="000000"/>
            </w:tcBorders>
            <w:vAlign w:val="bottom"/>
          </w:tcPr>
          <w:p w14:paraId="0410577A"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37180</w:t>
            </w:r>
          </w:p>
        </w:tc>
        <w:tc>
          <w:tcPr>
            <w:tcW w:w="650" w:type="dxa"/>
            <w:tcBorders>
              <w:top w:val="single" w:sz="2" w:space="0" w:color="000000"/>
              <w:left w:val="single" w:sz="2" w:space="0" w:color="000000"/>
              <w:bottom w:val="single" w:sz="2" w:space="0" w:color="000000"/>
              <w:right w:val="single" w:sz="2" w:space="0" w:color="000000"/>
            </w:tcBorders>
            <w:vAlign w:val="bottom"/>
          </w:tcPr>
          <w:p w14:paraId="01F8899D"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36538</w:t>
            </w:r>
          </w:p>
        </w:tc>
        <w:tc>
          <w:tcPr>
            <w:tcW w:w="650" w:type="dxa"/>
            <w:tcBorders>
              <w:top w:val="single" w:sz="2" w:space="0" w:color="000000"/>
              <w:left w:val="single" w:sz="2" w:space="0" w:color="000000"/>
              <w:bottom w:val="single" w:sz="2" w:space="0" w:color="000000"/>
              <w:right w:val="single" w:sz="2" w:space="0" w:color="000000"/>
            </w:tcBorders>
            <w:vAlign w:val="bottom"/>
          </w:tcPr>
          <w:p w14:paraId="36C3F88B"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35950</w:t>
            </w:r>
          </w:p>
        </w:tc>
        <w:tc>
          <w:tcPr>
            <w:tcW w:w="650" w:type="dxa"/>
            <w:tcBorders>
              <w:top w:val="single" w:sz="2" w:space="0" w:color="000000"/>
              <w:left w:val="single" w:sz="2" w:space="0" w:color="000000"/>
              <w:bottom w:val="single" w:sz="2" w:space="0" w:color="000000"/>
              <w:right w:val="single" w:sz="2" w:space="0" w:color="000000"/>
            </w:tcBorders>
            <w:vAlign w:val="bottom"/>
          </w:tcPr>
          <w:p w14:paraId="1722C24B"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35340</w:t>
            </w:r>
          </w:p>
        </w:tc>
        <w:tc>
          <w:tcPr>
            <w:tcW w:w="650" w:type="dxa"/>
            <w:tcBorders>
              <w:top w:val="single" w:sz="2" w:space="0" w:color="000000"/>
              <w:left w:val="single" w:sz="2" w:space="0" w:color="000000"/>
              <w:bottom w:val="single" w:sz="2" w:space="0" w:color="000000"/>
              <w:right w:val="single" w:sz="2" w:space="0" w:color="000000"/>
            </w:tcBorders>
            <w:vAlign w:val="bottom"/>
          </w:tcPr>
          <w:p w14:paraId="2B8480E7"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34518</w:t>
            </w:r>
          </w:p>
        </w:tc>
      </w:tr>
      <w:tr w:rsidR="00920B68" w:rsidRPr="00364545" w14:paraId="5469BD3A" w14:textId="77777777" w:rsidTr="00920B68">
        <w:trPr>
          <w:trHeight w:val="342"/>
        </w:trPr>
        <w:tc>
          <w:tcPr>
            <w:tcW w:w="1114" w:type="dxa"/>
            <w:tcBorders>
              <w:top w:val="single" w:sz="2" w:space="0" w:color="000000"/>
              <w:left w:val="single" w:sz="2" w:space="0" w:color="000000"/>
              <w:bottom w:val="single" w:sz="2" w:space="0" w:color="000000"/>
              <w:right w:val="single" w:sz="2" w:space="0" w:color="000000"/>
            </w:tcBorders>
            <w:shd w:val="clear" w:color="auto" w:fill="ECE6E2"/>
          </w:tcPr>
          <w:p w14:paraId="02085CC5" w14:textId="77777777" w:rsidR="00920B68" w:rsidRPr="00364545" w:rsidRDefault="00920B68" w:rsidP="00920B68">
            <w:pPr>
              <w:spacing w:line="259" w:lineRule="auto"/>
            </w:pPr>
            <w:r w:rsidRPr="00364545">
              <w:rPr>
                <w:sz w:val="18"/>
              </w:rPr>
              <w:t xml:space="preserve">LULUCF </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5DB953C" w14:textId="77777777" w:rsidR="00920B68" w:rsidRPr="00634E4C" w:rsidRDefault="00920B68" w:rsidP="00920B68">
            <w:pPr>
              <w:spacing w:line="259" w:lineRule="auto"/>
              <w:ind w:left="19"/>
              <w:jc w:val="center"/>
              <w:rPr>
                <w:rFonts w:asciiTheme="majorHAnsi" w:hAnsiTheme="majorHAnsi"/>
                <w:sz w:val="16"/>
              </w:rPr>
            </w:pPr>
            <w:r w:rsidRPr="00944589">
              <w:rPr>
                <w:rFonts w:asciiTheme="majorHAnsi" w:hAnsiTheme="majorHAnsi"/>
                <w:sz w:val="16"/>
                <w:szCs w:val="16"/>
              </w:rPr>
              <w:t>933</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3F8E3F6"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3670</w:t>
            </w:r>
          </w:p>
        </w:tc>
        <w:tc>
          <w:tcPr>
            <w:tcW w:w="77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E4E1196"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1693</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4056A54"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1189</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ECCF341"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sz w:val="16"/>
              </w:rPr>
              <w:t>1130</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79CDD2E"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1078</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7DDFC03"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1138</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A19D1D0"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1128</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B92E06B"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1127</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CB84A22"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1127</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500A4FD"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1127</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4C63EF2"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1127</w:t>
            </w:r>
          </w:p>
        </w:tc>
      </w:tr>
      <w:tr w:rsidR="00920B68" w:rsidRPr="00364545" w14:paraId="3A1EE65D" w14:textId="77777777" w:rsidTr="00920B68">
        <w:trPr>
          <w:trHeight w:val="347"/>
        </w:trPr>
        <w:tc>
          <w:tcPr>
            <w:tcW w:w="1114" w:type="dxa"/>
            <w:tcBorders>
              <w:top w:val="single" w:sz="2" w:space="0" w:color="000000"/>
              <w:left w:val="single" w:sz="2" w:space="0" w:color="000000"/>
              <w:bottom w:val="single" w:sz="2" w:space="0" w:color="000000"/>
              <w:right w:val="single" w:sz="2" w:space="0" w:color="000000"/>
            </w:tcBorders>
          </w:tcPr>
          <w:p w14:paraId="778D48D0" w14:textId="77777777" w:rsidR="00920B68" w:rsidRPr="00364545" w:rsidRDefault="00920B68" w:rsidP="00920B68">
            <w:pPr>
              <w:spacing w:line="259" w:lineRule="auto"/>
            </w:pPr>
            <w:r w:rsidRPr="00364545">
              <w:rPr>
                <w:sz w:val="18"/>
              </w:rPr>
              <w:t xml:space="preserve">Waste </w:t>
            </w:r>
          </w:p>
        </w:tc>
        <w:tc>
          <w:tcPr>
            <w:tcW w:w="803" w:type="dxa"/>
            <w:tcBorders>
              <w:top w:val="single" w:sz="2" w:space="0" w:color="000000"/>
              <w:left w:val="single" w:sz="2" w:space="0" w:color="000000"/>
              <w:bottom w:val="single" w:sz="2" w:space="0" w:color="000000"/>
              <w:right w:val="single" w:sz="2" w:space="0" w:color="000000"/>
            </w:tcBorders>
            <w:vAlign w:val="bottom"/>
          </w:tcPr>
          <w:p w14:paraId="022F3F3D" w14:textId="77777777" w:rsidR="00920B68" w:rsidRPr="00634E4C" w:rsidRDefault="00920B68" w:rsidP="00920B68">
            <w:pPr>
              <w:spacing w:line="259" w:lineRule="auto"/>
              <w:ind w:left="106"/>
              <w:rPr>
                <w:rFonts w:asciiTheme="majorHAnsi" w:hAnsiTheme="majorHAnsi"/>
                <w:sz w:val="16"/>
              </w:rPr>
            </w:pPr>
            <w:r w:rsidRPr="00944589">
              <w:rPr>
                <w:rFonts w:asciiTheme="majorHAnsi" w:hAnsiTheme="majorHAnsi"/>
                <w:sz w:val="16"/>
                <w:szCs w:val="16"/>
              </w:rPr>
              <w:t>14318</w:t>
            </w:r>
          </w:p>
        </w:tc>
        <w:tc>
          <w:tcPr>
            <w:tcW w:w="780" w:type="dxa"/>
            <w:tcBorders>
              <w:top w:val="single" w:sz="2" w:space="0" w:color="000000"/>
              <w:left w:val="single" w:sz="2" w:space="0" w:color="000000"/>
              <w:bottom w:val="single" w:sz="2" w:space="0" w:color="000000"/>
              <w:right w:val="single" w:sz="2" w:space="0" w:color="000000"/>
            </w:tcBorders>
            <w:vAlign w:val="bottom"/>
          </w:tcPr>
          <w:p w14:paraId="6999BB62"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17099</w:t>
            </w:r>
          </w:p>
        </w:tc>
        <w:tc>
          <w:tcPr>
            <w:tcW w:w="779" w:type="dxa"/>
            <w:tcBorders>
              <w:top w:val="single" w:sz="2" w:space="0" w:color="000000"/>
              <w:left w:val="single" w:sz="2" w:space="0" w:color="000000"/>
              <w:bottom w:val="single" w:sz="2" w:space="0" w:color="000000"/>
              <w:right w:val="single" w:sz="2" w:space="0" w:color="000000"/>
            </w:tcBorders>
            <w:vAlign w:val="bottom"/>
          </w:tcPr>
          <w:p w14:paraId="49B68F98"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sz w:val="16"/>
              </w:rPr>
              <w:t>18602</w:t>
            </w:r>
          </w:p>
        </w:tc>
        <w:tc>
          <w:tcPr>
            <w:tcW w:w="802" w:type="dxa"/>
            <w:tcBorders>
              <w:top w:val="single" w:sz="2" w:space="0" w:color="000000"/>
              <w:left w:val="single" w:sz="2" w:space="0" w:color="000000"/>
              <w:bottom w:val="single" w:sz="2" w:space="0" w:color="000000"/>
              <w:right w:val="single" w:sz="2" w:space="0" w:color="000000"/>
            </w:tcBorders>
            <w:vAlign w:val="bottom"/>
          </w:tcPr>
          <w:p w14:paraId="7BAFA7C3"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19129</w:t>
            </w:r>
          </w:p>
        </w:tc>
        <w:tc>
          <w:tcPr>
            <w:tcW w:w="802" w:type="dxa"/>
            <w:tcBorders>
              <w:top w:val="single" w:sz="2" w:space="0" w:color="000000"/>
              <w:left w:val="single" w:sz="2" w:space="0" w:color="000000"/>
              <w:bottom w:val="single" w:sz="2" w:space="0" w:color="000000"/>
              <w:right w:val="single" w:sz="2" w:space="0" w:color="000000"/>
            </w:tcBorders>
            <w:vAlign w:val="bottom"/>
          </w:tcPr>
          <w:p w14:paraId="1CC3D31C"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18487</w:t>
            </w:r>
          </w:p>
        </w:tc>
        <w:tc>
          <w:tcPr>
            <w:tcW w:w="802" w:type="dxa"/>
            <w:tcBorders>
              <w:top w:val="single" w:sz="2" w:space="0" w:color="000000"/>
              <w:left w:val="single" w:sz="2" w:space="0" w:color="000000"/>
              <w:bottom w:val="single" w:sz="2" w:space="0" w:color="000000"/>
              <w:right w:val="single" w:sz="2" w:space="0" w:color="000000"/>
            </w:tcBorders>
            <w:vAlign w:val="bottom"/>
          </w:tcPr>
          <w:p w14:paraId="1F86A8F9"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15753</w:t>
            </w:r>
          </w:p>
        </w:tc>
        <w:tc>
          <w:tcPr>
            <w:tcW w:w="802" w:type="dxa"/>
            <w:tcBorders>
              <w:top w:val="single" w:sz="2" w:space="0" w:color="000000"/>
              <w:left w:val="single" w:sz="2" w:space="0" w:color="000000"/>
              <w:bottom w:val="single" w:sz="2" w:space="0" w:color="000000"/>
              <w:right w:val="single" w:sz="2" w:space="0" w:color="000000"/>
            </w:tcBorders>
            <w:vAlign w:val="bottom"/>
          </w:tcPr>
          <w:p w14:paraId="0C0D1D18"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15830</w:t>
            </w:r>
          </w:p>
        </w:tc>
        <w:tc>
          <w:tcPr>
            <w:tcW w:w="650" w:type="dxa"/>
            <w:tcBorders>
              <w:top w:val="single" w:sz="2" w:space="0" w:color="000000"/>
              <w:left w:val="single" w:sz="2" w:space="0" w:color="000000"/>
              <w:bottom w:val="single" w:sz="2" w:space="0" w:color="000000"/>
              <w:right w:val="single" w:sz="2" w:space="0" w:color="000000"/>
            </w:tcBorders>
            <w:vAlign w:val="bottom"/>
          </w:tcPr>
          <w:p w14:paraId="6E21E3E1"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15594</w:t>
            </w:r>
          </w:p>
        </w:tc>
        <w:tc>
          <w:tcPr>
            <w:tcW w:w="650" w:type="dxa"/>
            <w:tcBorders>
              <w:top w:val="single" w:sz="2" w:space="0" w:color="000000"/>
              <w:left w:val="single" w:sz="2" w:space="0" w:color="000000"/>
              <w:bottom w:val="single" w:sz="2" w:space="0" w:color="000000"/>
              <w:right w:val="single" w:sz="2" w:space="0" w:color="000000"/>
            </w:tcBorders>
            <w:vAlign w:val="bottom"/>
          </w:tcPr>
          <w:p w14:paraId="2530177D"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14700</w:t>
            </w:r>
          </w:p>
        </w:tc>
        <w:tc>
          <w:tcPr>
            <w:tcW w:w="650" w:type="dxa"/>
            <w:tcBorders>
              <w:top w:val="single" w:sz="2" w:space="0" w:color="000000"/>
              <w:left w:val="single" w:sz="2" w:space="0" w:color="000000"/>
              <w:bottom w:val="single" w:sz="2" w:space="0" w:color="000000"/>
              <w:right w:val="single" w:sz="2" w:space="0" w:color="000000"/>
            </w:tcBorders>
            <w:vAlign w:val="bottom"/>
          </w:tcPr>
          <w:p w14:paraId="4101EDDA" w14:textId="77777777" w:rsidR="00920B68" w:rsidRPr="00634E4C" w:rsidRDefault="00920B68" w:rsidP="00920B68">
            <w:pPr>
              <w:spacing w:line="259" w:lineRule="auto"/>
              <w:ind w:left="106"/>
              <w:jc w:val="center"/>
              <w:rPr>
                <w:rFonts w:asciiTheme="majorHAnsi" w:hAnsiTheme="majorHAnsi"/>
                <w:b/>
                <w:color w:val="000000"/>
                <w:sz w:val="16"/>
              </w:rPr>
            </w:pPr>
            <w:r w:rsidRPr="00634E4C">
              <w:rPr>
                <w:rFonts w:asciiTheme="majorHAnsi" w:hAnsiTheme="majorHAnsi"/>
                <w:b/>
                <w:color w:val="000000"/>
                <w:sz w:val="16"/>
              </w:rPr>
              <w:t>14232</w:t>
            </w:r>
          </w:p>
        </w:tc>
        <w:tc>
          <w:tcPr>
            <w:tcW w:w="650" w:type="dxa"/>
            <w:tcBorders>
              <w:top w:val="single" w:sz="2" w:space="0" w:color="000000"/>
              <w:left w:val="single" w:sz="2" w:space="0" w:color="000000"/>
              <w:bottom w:val="single" w:sz="2" w:space="0" w:color="000000"/>
              <w:right w:val="single" w:sz="2" w:space="0" w:color="000000"/>
            </w:tcBorders>
            <w:vAlign w:val="bottom"/>
          </w:tcPr>
          <w:p w14:paraId="020E9D10" w14:textId="77777777" w:rsidR="00920B68" w:rsidRPr="00634E4C" w:rsidRDefault="00920B68" w:rsidP="00920B68">
            <w:pPr>
              <w:spacing w:line="259" w:lineRule="auto"/>
              <w:ind w:left="106"/>
              <w:jc w:val="center"/>
              <w:rPr>
                <w:rFonts w:asciiTheme="majorHAnsi" w:hAnsiTheme="majorHAnsi"/>
                <w:b/>
                <w:color w:val="000000"/>
                <w:sz w:val="16"/>
              </w:rPr>
            </w:pPr>
            <w:r w:rsidRPr="00634E4C">
              <w:rPr>
                <w:rFonts w:asciiTheme="majorHAnsi" w:hAnsiTheme="majorHAnsi"/>
                <w:b/>
                <w:color w:val="000000"/>
                <w:sz w:val="16"/>
              </w:rPr>
              <w:t>14146</w:t>
            </w:r>
          </w:p>
        </w:tc>
        <w:tc>
          <w:tcPr>
            <w:tcW w:w="650" w:type="dxa"/>
            <w:tcBorders>
              <w:top w:val="single" w:sz="2" w:space="0" w:color="000000"/>
              <w:left w:val="single" w:sz="2" w:space="0" w:color="000000"/>
              <w:bottom w:val="single" w:sz="2" w:space="0" w:color="000000"/>
              <w:right w:val="single" w:sz="2" w:space="0" w:color="000000"/>
            </w:tcBorders>
            <w:vAlign w:val="bottom"/>
          </w:tcPr>
          <w:p w14:paraId="05AC32A0" w14:textId="77777777" w:rsidR="00920B68" w:rsidRPr="00634E4C" w:rsidRDefault="00920B68" w:rsidP="00920B68">
            <w:pPr>
              <w:spacing w:line="259" w:lineRule="auto"/>
              <w:ind w:left="106"/>
              <w:jc w:val="center"/>
              <w:rPr>
                <w:rFonts w:asciiTheme="majorHAnsi" w:hAnsiTheme="majorHAnsi"/>
                <w:b/>
                <w:color w:val="000000"/>
                <w:sz w:val="16"/>
              </w:rPr>
            </w:pPr>
            <w:r w:rsidRPr="00634E4C">
              <w:rPr>
                <w:rFonts w:asciiTheme="majorHAnsi" w:hAnsiTheme="majorHAnsi"/>
                <w:b/>
                <w:color w:val="000000"/>
                <w:sz w:val="16"/>
              </w:rPr>
              <w:t>14260</w:t>
            </w:r>
          </w:p>
        </w:tc>
      </w:tr>
      <w:tr w:rsidR="00920B68" w:rsidRPr="00364545" w14:paraId="38FC3A90" w14:textId="77777777" w:rsidTr="00920B68">
        <w:trPr>
          <w:trHeight w:val="344"/>
        </w:trPr>
        <w:tc>
          <w:tcPr>
            <w:tcW w:w="1114" w:type="dxa"/>
            <w:tcBorders>
              <w:top w:val="single" w:sz="2" w:space="0" w:color="000000"/>
              <w:left w:val="single" w:sz="2" w:space="0" w:color="000000"/>
              <w:bottom w:val="single" w:sz="2" w:space="0" w:color="000000"/>
              <w:right w:val="single" w:sz="2" w:space="0" w:color="000000"/>
            </w:tcBorders>
            <w:shd w:val="clear" w:color="auto" w:fill="ECE6E2"/>
          </w:tcPr>
          <w:p w14:paraId="4E785E22" w14:textId="77777777" w:rsidR="00920B68" w:rsidRPr="00364545" w:rsidRDefault="00920B68" w:rsidP="00920B68">
            <w:pPr>
              <w:spacing w:line="259" w:lineRule="auto"/>
            </w:pPr>
            <w:r w:rsidRPr="00364545">
              <w:rPr>
                <w:b/>
                <w:sz w:val="18"/>
              </w:rPr>
              <w:t xml:space="preserve">Ensemble (hors UTCF) </w:t>
            </w:r>
          </w:p>
        </w:tc>
        <w:tc>
          <w:tcPr>
            <w:tcW w:w="803"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AC01F88" w14:textId="77777777" w:rsidR="00920B68" w:rsidRPr="00634E4C" w:rsidRDefault="00920B68" w:rsidP="00920B68">
            <w:pPr>
              <w:spacing w:line="259" w:lineRule="auto"/>
              <w:ind w:left="106"/>
              <w:rPr>
                <w:rFonts w:asciiTheme="majorHAnsi" w:hAnsiTheme="majorHAnsi"/>
                <w:sz w:val="16"/>
              </w:rPr>
            </w:pPr>
            <w:r w:rsidRPr="00944589">
              <w:rPr>
                <w:rFonts w:asciiTheme="majorHAnsi" w:hAnsiTheme="majorHAnsi"/>
                <w:sz w:val="16"/>
                <w:szCs w:val="16"/>
              </w:rPr>
              <w:t>69161</w:t>
            </w:r>
          </w:p>
        </w:tc>
        <w:tc>
          <w:tcPr>
            <w:tcW w:w="78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78694CD"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70383</w:t>
            </w:r>
          </w:p>
        </w:tc>
        <w:tc>
          <w:tcPr>
            <w:tcW w:w="77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10741A2"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68603</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E6DB06D"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63632</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11637DD"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61663</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C69F333"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57862</w:t>
            </w:r>
          </w:p>
        </w:tc>
        <w:tc>
          <w:tcPr>
            <w:tcW w:w="8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7A3C42A"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55740</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0A97AE3"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55161</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0DC4B93"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53575</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E4C42EE"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52448</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EB0A051"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51719</w:t>
            </w:r>
          </w:p>
        </w:tc>
        <w:tc>
          <w:tcPr>
            <w:tcW w:w="65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9032701"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51050</w:t>
            </w:r>
          </w:p>
        </w:tc>
      </w:tr>
      <w:tr w:rsidR="00920B68" w:rsidRPr="00364545" w14:paraId="143B863C" w14:textId="77777777" w:rsidTr="00920B68">
        <w:trPr>
          <w:trHeight w:val="346"/>
        </w:trPr>
        <w:tc>
          <w:tcPr>
            <w:tcW w:w="1114" w:type="dxa"/>
            <w:tcBorders>
              <w:top w:val="single" w:sz="2" w:space="0" w:color="000000"/>
              <w:left w:val="single" w:sz="2" w:space="0" w:color="000000"/>
              <w:bottom w:val="single" w:sz="2" w:space="0" w:color="000000"/>
              <w:right w:val="single" w:sz="2" w:space="0" w:color="000000"/>
            </w:tcBorders>
          </w:tcPr>
          <w:p w14:paraId="3F5F810D" w14:textId="77777777" w:rsidR="00920B68" w:rsidRPr="00364545" w:rsidRDefault="00920B68" w:rsidP="00920B68">
            <w:pPr>
              <w:spacing w:line="259" w:lineRule="auto"/>
            </w:pPr>
            <w:r w:rsidRPr="00364545">
              <w:rPr>
                <w:b/>
                <w:sz w:val="18"/>
              </w:rPr>
              <w:t xml:space="preserve">Ensemble (avec UTCF) </w:t>
            </w:r>
          </w:p>
        </w:tc>
        <w:tc>
          <w:tcPr>
            <w:tcW w:w="803" w:type="dxa"/>
            <w:tcBorders>
              <w:top w:val="single" w:sz="2" w:space="0" w:color="000000"/>
              <w:left w:val="single" w:sz="2" w:space="0" w:color="000000"/>
              <w:bottom w:val="single" w:sz="2" w:space="0" w:color="000000"/>
              <w:right w:val="single" w:sz="2" w:space="0" w:color="000000"/>
            </w:tcBorders>
            <w:vAlign w:val="bottom"/>
          </w:tcPr>
          <w:p w14:paraId="4DE6A84A" w14:textId="77777777" w:rsidR="00920B68" w:rsidRPr="00634E4C" w:rsidRDefault="00920B68" w:rsidP="00920B68">
            <w:pPr>
              <w:spacing w:line="259" w:lineRule="auto"/>
              <w:ind w:left="106"/>
              <w:rPr>
                <w:rFonts w:asciiTheme="majorHAnsi" w:hAnsiTheme="majorHAnsi"/>
                <w:sz w:val="16"/>
              </w:rPr>
            </w:pPr>
            <w:r w:rsidRPr="00944589">
              <w:rPr>
                <w:rFonts w:asciiTheme="majorHAnsi" w:hAnsiTheme="majorHAnsi"/>
                <w:sz w:val="16"/>
                <w:szCs w:val="16"/>
              </w:rPr>
              <w:t>70094</w:t>
            </w:r>
          </w:p>
        </w:tc>
        <w:tc>
          <w:tcPr>
            <w:tcW w:w="780" w:type="dxa"/>
            <w:tcBorders>
              <w:top w:val="single" w:sz="2" w:space="0" w:color="000000"/>
              <w:left w:val="single" w:sz="2" w:space="0" w:color="000000"/>
              <w:bottom w:val="single" w:sz="2" w:space="0" w:color="000000"/>
              <w:right w:val="single" w:sz="2" w:space="0" w:color="000000"/>
            </w:tcBorders>
            <w:vAlign w:val="bottom"/>
          </w:tcPr>
          <w:p w14:paraId="24D2ED2F"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74053</w:t>
            </w:r>
          </w:p>
        </w:tc>
        <w:tc>
          <w:tcPr>
            <w:tcW w:w="779" w:type="dxa"/>
            <w:tcBorders>
              <w:top w:val="single" w:sz="2" w:space="0" w:color="000000"/>
              <w:left w:val="single" w:sz="2" w:space="0" w:color="000000"/>
              <w:bottom w:val="single" w:sz="2" w:space="0" w:color="000000"/>
              <w:right w:val="single" w:sz="2" w:space="0" w:color="000000"/>
            </w:tcBorders>
            <w:vAlign w:val="bottom"/>
          </w:tcPr>
          <w:p w14:paraId="4AE1F6CB"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70296</w:t>
            </w:r>
          </w:p>
        </w:tc>
        <w:tc>
          <w:tcPr>
            <w:tcW w:w="802" w:type="dxa"/>
            <w:tcBorders>
              <w:top w:val="single" w:sz="2" w:space="0" w:color="000000"/>
              <w:left w:val="single" w:sz="2" w:space="0" w:color="000000"/>
              <w:bottom w:val="single" w:sz="2" w:space="0" w:color="000000"/>
              <w:right w:val="single" w:sz="2" w:space="0" w:color="000000"/>
            </w:tcBorders>
            <w:vAlign w:val="bottom"/>
          </w:tcPr>
          <w:p w14:paraId="59C5B7F7"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64820</w:t>
            </w:r>
          </w:p>
        </w:tc>
        <w:tc>
          <w:tcPr>
            <w:tcW w:w="802" w:type="dxa"/>
            <w:tcBorders>
              <w:top w:val="single" w:sz="2" w:space="0" w:color="000000"/>
              <w:left w:val="single" w:sz="2" w:space="0" w:color="000000"/>
              <w:bottom w:val="single" w:sz="2" w:space="0" w:color="000000"/>
              <w:right w:val="single" w:sz="2" w:space="0" w:color="000000"/>
            </w:tcBorders>
            <w:vAlign w:val="bottom"/>
          </w:tcPr>
          <w:p w14:paraId="112F5FFE"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62793</w:t>
            </w:r>
          </w:p>
        </w:tc>
        <w:tc>
          <w:tcPr>
            <w:tcW w:w="802" w:type="dxa"/>
            <w:tcBorders>
              <w:top w:val="single" w:sz="2" w:space="0" w:color="000000"/>
              <w:left w:val="single" w:sz="2" w:space="0" w:color="000000"/>
              <w:bottom w:val="single" w:sz="2" w:space="0" w:color="000000"/>
              <w:right w:val="single" w:sz="2" w:space="0" w:color="000000"/>
            </w:tcBorders>
            <w:vAlign w:val="bottom"/>
          </w:tcPr>
          <w:p w14:paraId="61823DE8"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58940</w:t>
            </w:r>
          </w:p>
        </w:tc>
        <w:tc>
          <w:tcPr>
            <w:tcW w:w="802" w:type="dxa"/>
            <w:tcBorders>
              <w:top w:val="single" w:sz="2" w:space="0" w:color="000000"/>
              <w:left w:val="single" w:sz="2" w:space="0" w:color="000000"/>
              <w:bottom w:val="single" w:sz="2" w:space="0" w:color="000000"/>
              <w:right w:val="single" w:sz="2" w:space="0" w:color="000000"/>
            </w:tcBorders>
            <w:vAlign w:val="bottom"/>
          </w:tcPr>
          <w:p w14:paraId="5C8DD4AE" w14:textId="77777777" w:rsidR="00920B68" w:rsidRPr="00634E4C" w:rsidRDefault="00920B68" w:rsidP="00920B68">
            <w:pPr>
              <w:spacing w:line="259" w:lineRule="auto"/>
              <w:ind w:left="106"/>
              <w:rPr>
                <w:rFonts w:asciiTheme="majorHAnsi" w:hAnsiTheme="majorHAnsi"/>
                <w:b/>
                <w:color w:val="000000"/>
                <w:sz w:val="16"/>
              </w:rPr>
            </w:pPr>
            <w:r w:rsidRPr="00944589">
              <w:rPr>
                <w:rFonts w:asciiTheme="majorHAnsi" w:hAnsiTheme="majorHAnsi"/>
                <w:sz w:val="16"/>
                <w:szCs w:val="16"/>
              </w:rPr>
              <w:t>56877</w:t>
            </w:r>
          </w:p>
        </w:tc>
        <w:tc>
          <w:tcPr>
            <w:tcW w:w="650" w:type="dxa"/>
            <w:tcBorders>
              <w:top w:val="single" w:sz="2" w:space="0" w:color="000000"/>
              <w:left w:val="single" w:sz="2" w:space="0" w:color="000000"/>
              <w:bottom w:val="single" w:sz="2" w:space="0" w:color="000000"/>
              <w:right w:val="single" w:sz="2" w:space="0" w:color="000000"/>
            </w:tcBorders>
            <w:vAlign w:val="bottom"/>
          </w:tcPr>
          <w:p w14:paraId="48250A87"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56289</w:t>
            </w:r>
          </w:p>
        </w:tc>
        <w:tc>
          <w:tcPr>
            <w:tcW w:w="650" w:type="dxa"/>
            <w:tcBorders>
              <w:top w:val="single" w:sz="2" w:space="0" w:color="000000"/>
              <w:left w:val="single" w:sz="2" w:space="0" w:color="000000"/>
              <w:bottom w:val="single" w:sz="2" w:space="0" w:color="000000"/>
              <w:right w:val="single" w:sz="2" w:space="0" w:color="000000"/>
            </w:tcBorders>
            <w:vAlign w:val="bottom"/>
          </w:tcPr>
          <w:p w14:paraId="5011A56C"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54702</w:t>
            </w:r>
          </w:p>
        </w:tc>
        <w:tc>
          <w:tcPr>
            <w:tcW w:w="650" w:type="dxa"/>
            <w:tcBorders>
              <w:top w:val="single" w:sz="2" w:space="0" w:color="000000"/>
              <w:left w:val="single" w:sz="2" w:space="0" w:color="000000"/>
              <w:bottom w:val="single" w:sz="2" w:space="0" w:color="000000"/>
              <w:right w:val="single" w:sz="2" w:space="0" w:color="000000"/>
            </w:tcBorders>
            <w:vAlign w:val="bottom"/>
          </w:tcPr>
          <w:p w14:paraId="50040BE8"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53575</w:t>
            </w:r>
          </w:p>
        </w:tc>
        <w:tc>
          <w:tcPr>
            <w:tcW w:w="650" w:type="dxa"/>
            <w:tcBorders>
              <w:top w:val="single" w:sz="2" w:space="0" w:color="000000"/>
              <w:left w:val="single" w:sz="2" w:space="0" w:color="000000"/>
              <w:bottom w:val="single" w:sz="2" w:space="0" w:color="000000"/>
              <w:right w:val="single" w:sz="2" w:space="0" w:color="000000"/>
            </w:tcBorders>
            <w:vAlign w:val="bottom"/>
          </w:tcPr>
          <w:p w14:paraId="46499DCB"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52846</w:t>
            </w:r>
          </w:p>
        </w:tc>
        <w:tc>
          <w:tcPr>
            <w:tcW w:w="650" w:type="dxa"/>
            <w:tcBorders>
              <w:top w:val="single" w:sz="2" w:space="0" w:color="000000"/>
              <w:left w:val="single" w:sz="2" w:space="0" w:color="000000"/>
              <w:bottom w:val="single" w:sz="2" w:space="0" w:color="000000"/>
              <w:right w:val="single" w:sz="2" w:space="0" w:color="000000"/>
            </w:tcBorders>
            <w:vAlign w:val="bottom"/>
          </w:tcPr>
          <w:p w14:paraId="11375EC6" w14:textId="77777777" w:rsidR="00920B68" w:rsidRPr="00634E4C" w:rsidRDefault="00920B68" w:rsidP="00920B68">
            <w:pPr>
              <w:spacing w:line="259" w:lineRule="auto"/>
              <w:ind w:left="106"/>
              <w:rPr>
                <w:rFonts w:asciiTheme="majorHAnsi" w:hAnsiTheme="majorHAnsi"/>
                <w:b/>
                <w:color w:val="000000"/>
                <w:sz w:val="16"/>
              </w:rPr>
            </w:pPr>
            <w:r w:rsidRPr="00634E4C">
              <w:rPr>
                <w:rFonts w:asciiTheme="majorHAnsi" w:hAnsiTheme="majorHAnsi"/>
                <w:b/>
                <w:color w:val="000000"/>
                <w:sz w:val="16"/>
              </w:rPr>
              <w:t>52177</w:t>
            </w:r>
          </w:p>
        </w:tc>
      </w:tr>
    </w:tbl>
    <w:p w14:paraId="4A995708" w14:textId="77777777" w:rsidR="00920B68" w:rsidRPr="00364545" w:rsidRDefault="00920B68" w:rsidP="00920B68">
      <w:pPr>
        <w:pStyle w:val="Caption"/>
      </w:pPr>
      <w:r w:rsidRPr="00364545">
        <w:t>Table</w:t>
      </w:r>
      <w:fldSimple w:instr=" SEQ Tableau \* ARABIC ">
        <w:r w:rsidRPr="00364545">
          <w:rPr>
            <w:noProof/>
          </w:rPr>
          <w:t>20</w:t>
        </w:r>
      </w:fldSimple>
      <w:r w:rsidRPr="00364545">
        <w:t>: CH</w:t>
      </w:r>
      <w:r w:rsidRPr="00364545">
        <w:rPr>
          <w:vertAlign w:val="subscript"/>
        </w:rPr>
        <w:t>4</w:t>
      </w:r>
      <w:r w:rsidRPr="00364545">
        <w:t xml:space="preserve"> emissions projections (in ktCO</w:t>
      </w:r>
      <w:r w:rsidRPr="00364545">
        <w:rPr>
          <w:vertAlign w:val="subscript"/>
        </w:rPr>
        <w:t>2e</w:t>
      </w:r>
      <w:r w:rsidRPr="00364545">
        <w:t>) in the Kyoto scope in the AME 2021 scenario (with existing measures)</w:t>
      </w:r>
    </w:p>
    <w:p w14:paraId="77ACA053" w14:textId="77777777" w:rsidR="00920B68" w:rsidRPr="00364545" w:rsidRDefault="00920B68" w:rsidP="00920B68">
      <w:pPr>
        <w:pStyle w:val="Caption"/>
      </w:pPr>
      <w:r w:rsidRPr="00364545">
        <w:t>Source: UNFCCC inventory, Citepa/MTES, 202</w:t>
      </w:r>
      <w:r>
        <w:t>2</w:t>
      </w:r>
      <w:r w:rsidRPr="00364545">
        <w:t xml:space="preserve"> submission and MTES emission projections, 2021</w:t>
      </w:r>
    </w:p>
    <w:p w14:paraId="348F88DD" w14:textId="77777777" w:rsidR="00920B68" w:rsidRPr="00364545" w:rsidRDefault="00920B68" w:rsidP="00920B68"/>
    <w:p w14:paraId="018251BE" w14:textId="77777777" w:rsidR="00920B68" w:rsidRPr="00364545" w:rsidRDefault="00920B68" w:rsidP="00920B68"/>
    <w:tbl>
      <w:tblPr>
        <w:tblStyle w:val="TableGrid0"/>
        <w:tblW w:w="9934" w:type="dxa"/>
        <w:tblInd w:w="10" w:type="dxa"/>
        <w:tblCellMar>
          <w:top w:w="39" w:type="dxa"/>
          <w:left w:w="28" w:type="dxa"/>
          <w:bottom w:w="2" w:type="dxa"/>
        </w:tblCellMar>
        <w:tblLook w:val="04A0" w:firstRow="1" w:lastRow="0" w:firstColumn="1" w:lastColumn="0" w:noHBand="0" w:noVBand="1"/>
      </w:tblPr>
      <w:tblGrid>
        <w:gridCol w:w="1547"/>
        <w:gridCol w:w="698"/>
        <w:gridCol w:w="699"/>
        <w:gridCol w:w="699"/>
        <w:gridCol w:w="699"/>
        <w:gridCol w:w="699"/>
        <w:gridCol w:w="699"/>
        <w:gridCol w:w="699"/>
        <w:gridCol w:w="699"/>
        <w:gridCol w:w="699"/>
        <w:gridCol w:w="699"/>
        <w:gridCol w:w="699"/>
        <w:gridCol w:w="699"/>
      </w:tblGrid>
      <w:tr w:rsidR="00920B68" w:rsidRPr="00364545" w14:paraId="4F7BA055" w14:textId="77777777" w:rsidTr="00920B68">
        <w:trPr>
          <w:trHeight w:val="460"/>
        </w:trPr>
        <w:tc>
          <w:tcPr>
            <w:tcW w:w="1547"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F869620" w14:textId="77777777" w:rsidR="00920B68" w:rsidRPr="00364545" w:rsidRDefault="00920B68" w:rsidP="00920B68">
            <w:pPr>
              <w:spacing w:line="259" w:lineRule="auto"/>
            </w:pPr>
            <w:r w:rsidRPr="00364545">
              <w:t>AME 21 – N</w:t>
            </w:r>
            <w:r w:rsidRPr="00364545">
              <w:rPr>
                <w:vertAlign w:val="subscript"/>
              </w:rPr>
              <w:t>2</w:t>
            </w:r>
            <w:r w:rsidRPr="00364545">
              <w:t xml:space="preserve">O </w:t>
            </w:r>
          </w:p>
        </w:tc>
        <w:tc>
          <w:tcPr>
            <w:tcW w:w="698"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93A3AFE" w14:textId="77777777" w:rsidR="00920B68" w:rsidRPr="00364545" w:rsidRDefault="00920B68" w:rsidP="00920B68">
            <w:pPr>
              <w:spacing w:line="259" w:lineRule="auto"/>
              <w:ind w:right="30"/>
              <w:jc w:val="center"/>
            </w:pPr>
            <w:r w:rsidRPr="00364545">
              <w:rPr>
                <w:b/>
                <w:color w:val="FFFFFF"/>
                <w:sz w:val="18"/>
              </w:rPr>
              <w:t>1990</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9F600E8" w14:textId="77777777" w:rsidR="00920B68" w:rsidRPr="00364545" w:rsidRDefault="00920B68" w:rsidP="00920B68">
            <w:pPr>
              <w:spacing w:line="259" w:lineRule="auto"/>
              <w:ind w:right="30"/>
              <w:jc w:val="center"/>
              <w:rPr>
                <w:b/>
                <w:color w:val="FFFFFF"/>
                <w:sz w:val="18"/>
              </w:rPr>
            </w:pPr>
            <w:r w:rsidRPr="00364545">
              <w:rPr>
                <w:b/>
                <w:color w:val="FFFFFF"/>
                <w:sz w:val="18"/>
              </w:rPr>
              <w:t>1995</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D8DADED" w14:textId="77777777" w:rsidR="00920B68" w:rsidRPr="00364545" w:rsidRDefault="00920B68" w:rsidP="00920B68">
            <w:pPr>
              <w:spacing w:line="259" w:lineRule="auto"/>
              <w:ind w:right="30"/>
              <w:jc w:val="center"/>
              <w:rPr>
                <w:b/>
                <w:color w:val="FFFFFF"/>
                <w:sz w:val="18"/>
              </w:rPr>
            </w:pPr>
            <w:r w:rsidRPr="00364545">
              <w:rPr>
                <w:b/>
                <w:color w:val="FFFFFF"/>
                <w:sz w:val="18"/>
              </w:rPr>
              <w:t>2000</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F5661CB" w14:textId="77777777" w:rsidR="00920B68" w:rsidRPr="00364545" w:rsidRDefault="00920B68" w:rsidP="00920B68">
            <w:pPr>
              <w:spacing w:line="259" w:lineRule="auto"/>
              <w:ind w:right="30"/>
              <w:jc w:val="center"/>
              <w:rPr>
                <w:b/>
                <w:color w:val="FFFFFF"/>
                <w:sz w:val="18"/>
              </w:rPr>
            </w:pPr>
            <w:r w:rsidRPr="00364545">
              <w:rPr>
                <w:b/>
                <w:color w:val="FFFFFF"/>
                <w:sz w:val="18"/>
              </w:rPr>
              <w:t>2005</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FF29CF5" w14:textId="77777777" w:rsidR="00920B68" w:rsidRPr="00364545" w:rsidRDefault="00920B68" w:rsidP="00920B68">
            <w:pPr>
              <w:spacing w:line="259" w:lineRule="auto"/>
              <w:ind w:right="30"/>
              <w:jc w:val="center"/>
              <w:rPr>
                <w:b/>
                <w:color w:val="FFFFFF"/>
                <w:sz w:val="18"/>
              </w:rPr>
            </w:pPr>
            <w:r w:rsidRPr="00364545">
              <w:rPr>
                <w:b/>
                <w:color w:val="FFFFFF"/>
                <w:sz w:val="18"/>
              </w:rPr>
              <w:t>2010</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97C58B7" w14:textId="77777777" w:rsidR="00920B68" w:rsidRPr="00364545" w:rsidRDefault="00920B68" w:rsidP="00920B68">
            <w:pPr>
              <w:spacing w:line="259" w:lineRule="auto"/>
              <w:ind w:right="30"/>
              <w:jc w:val="center"/>
              <w:rPr>
                <w:b/>
                <w:color w:val="FFFFFF"/>
                <w:sz w:val="18"/>
              </w:rPr>
            </w:pPr>
            <w:r w:rsidRPr="00364545">
              <w:rPr>
                <w:b/>
                <w:color w:val="FFFFFF"/>
                <w:sz w:val="18"/>
              </w:rPr>
              <w:t>2015</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32644C08" w14:textId="77777777" w:rsidR="00920B68" w:rsidRPr="00364545" w:rsidRDefault="00920B68" w:rsidP="00920B68">
            <w:pPr>
              <w:spacing w:line="259" w:lineRule="auto"/>
              <w:ind w:right="30"/>
              <w:jc w:val="center"/>
              <w:rPr>
                <w:b/>
                <w:color w:val="FFFFFF"/>
                <w:sz w:val="18"/>
              </w:rPr>
            </w:pPr>
            <w:r w:rsidRPr="00364545">
              <w:rPr>
                <w:b/>
                <w:color w:val="FFFFFF"/>
                <w:sz w:val="18"/>
              </w:rPr>
              <w:t>2019</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4CC5A9F2" w14:textId="77777777" w:rsidR="00920B68" w:rsidRPr="00364545" w:rsidRDefault="00920B68" w:rsidP="00920B68">
            <w:pPr>
              <w:spacing w:line="259" w:lineRule="auto"/>
              <w:ind w:right="30"/>
              <w:jc w:val="center"/>
              <w:rPr>
                <w:b/>
                <w:color w:val="FFFFFF"/>
                <w:sz w:val="18"/>
              </w:rPr>
            </w:pPr>
            <w:r w:rsidRPr="00364545">
              <w:rPr>
                <w:b/>
                <w:color w:val="FFFFFF"/>
                <w:sz w:val="18"/>
              </w:rPr>
              <w:t>2020</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61576FD" w14:textId="77777777" w:rsidR="00920B68" w:rsidRPr="00364545" w:rsidRDefault="00920B68" w:rsidP="00920B68">
            <w:pPr>
              <w:spacing w:line="259" w:lineRule="auto"/>
              <w:ind w:right="30"/>
              <w:jc w:val="center"/>
              <w:rPr>
                <w:b/>
                <w:color w:val="FFFFFF"/>
                <w:sz w:val="18"/>
              </w:rPr>
            </w:pPr>
            <w:r w:rsidRPr="00364545">
              <w:rPr>
                <w:b/>
                <w:color w:val="FFFFFF"/>
                <w:sz w:val="18"/>
              </w:rPr>
              <w:t>2025</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082AC18" w14:textId="77777777" w:rsidR="00920B68" w:rsidRPr="00364545" w:rsidRDefault="00920B68" w:rsidP="00920B68">
            <w:pPr>
              <w:spacing w:line="259" w:lineRule="auto"/>
              <w:ind w:right="30"/>
              <w:jc w:val="center"/>
              <w:rPr>
                <w:b/>
                <w:color w:val="FFFFFF"/>
                <w:sz w:val="18"/>
              </w:rPr>
            </w:pPr>
            <w:r w:rsidRPr="00364545">
              <w:rPr>
                <w:b/>
                <w:color w:val="FFFFFF"/>
                <w:sz w:val="18"/>
              </w:rPr>
              <w:t>2030</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010C294" w14:textId="77777777" w:rsidR="00920B68" w:rsidRPr="00364545" w:rsidRDefault="00920B68" w:rsidP="00920B68">
            <w:pPr>
              <w:spacing w:line="259" w:lineRule="auto"/>
              <w:ind w:right="30"/>
              <w:jc w:val="center"/>
              <w:rPr>
                <w:b/>
                <w:color w:val="FFFFFF"/>
                <w:sz w:val="18"/>
              </w:rPr>
            </w:pPr>
            <w:r w:rsidRPr="00364545">
              <w:rPr>
                <w:b/>
                <w:color w:val="FFFFFF"/>
                <w:sz w:val="18"/>
              </w:rPr>
              <w:t>2035</w:t>
            </w:r>
          </w:p>
        </w:tc>
        <w:tc>
          <w:tcPr>
            <w:tcW w:w="69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E05618A" w14:textId="77777777" w:rsidR="00920B68" w:rsidRPr="00364545" w:rsidRDefault="00920B68" w:rsidP="00920B68">
            <w:pPr>
              <w:spacing w:line="259" w:lineRule="auto"/>
              <w:ind w:right="30"/>
              <w:jc w:val="center"/>
              <w:rPr>
                <w:b/>
                <w:color w:val="FFFFFF"/>
                <w:sz w:val="18"/>
              </w:rPr>
            </w:pPr>
            <w:r w:rsidRPr="00364545">
              <w:rPr>
                <w:b/>
                <w:color w:val="FFFFFF"/>
                <w:sz w:val="18"/>
              </w:rPr>
              <w:t>2050</w:t>
            </w:r>
          </w:p>
        </w:tc>
      </w:tr>
      <w:tr w:rsidR="00920B68" w:rsidRPr="00364545" w14:paraId="6DBC0022" w14:textId="77777777" w:rsidTr="00920B68">
        <w:trPr>
          <w:trHeight w:val="344"/>
        </w:trPr>
        <w:tc>
          <w:tcPr>
            <w:tcW w:w="1547" w:type="dxa"/>
            <w:tcBorders>
              <w:top w:val="single" w:sz="2" w:space="0" w:color="000000"/>
              <w:left w:val="single" w:sz="2" w:space="0" w:color="000000"/>
              <w:bottom w:val="single" w:sz="2" w:space="0" w:color="000000"/>
              <w:right w:val="single" w:sz="2" w:space="0" w:color="000000"/>
            </w:tcBorders>
          </w:tcPr>
          <w:p w14:paraId="54C2C301" w14:textId="77777777" w:rsidR="00920B68" w:rsidRPr="00364545" w:rsidRDefault="00920B68" w:rsidP="00920B68">
            <w:pPr>
              <w:spacing w:line="259" w:lineRule="auto"/>
            </w:pPr>
            <w:r w:rsidRPr="00364545">
              <w:rPr>
                <w:sz w:val="18"/>
              </w:rPr>
              <w:t xml:space="preserve">Energy </w:t>
            </w:r>
          </w:p>
        </w:tc>
        <w:tc>
          <w:tcPr>
            <w:tcW w:w="698" w:type="dxa"/>
            <w:tcBorders>
              <w:top w:val="single" w:sz="2" w:space="0" w:color="000000"/>
              <w:left w:val="single" w:sz="2" w:space="0" w:color="000000"/>
              <w:bottom w:val="single" w:sz="2" w:space="0" w:color="000000"/>
              <w:right w:val="single" w:sz="2" w:space="0" w:color="000000"/>
            </w:tcBorders>
            <w:vAlign w:val="center"/>
          </w:tcPr>
          <w:p w14:paraId="4EBFED4E"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3433</w:t>
            </w:r>
          </w:p>
        </w:tc>
        <w:tc>
          <w:tcPr>
            <w:tcW w:w="699" w:type="dxa"/>
            <w:tcBorders>
              <w:top w:val="single" w:sz="2" w:space="0" w:color="000000"/>
              <w:left w:val="single" w:sz="2" w:space="0" w:color="000000"/>
              <w:bottom w:val="single" w:sz="2" w:space="0" w:color="000000"/>
              <w:right w:val="single" w:sz="2" w:space="0" w:color="000000"/>
            </w:tcBorders>
            <w:vAlign w:val="center"/>
          </w:tcPr>
          <w:p w14:paraId="33FFB16A"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4046</w:t>
            </w:r>
          </w:p>
        </w:tc>
        <w:tc>
          <w:tcPr>
            <w:tcW w:w="699" w:type="dxa"/>
            <w:tcBorders>
              <w:top w:val="single" w:sz="2" w:space="0" w:color="000000"/>
              <w:left w:val="single" w:sz="2" w:space="0" w:color="000000"/>
              <w:bottom w:val="single" w:sz="2" w:space="0" w:color="000000"/>
              <w:right w:val="single" w:sz="2" w:space="0" w:color="000000"/>
            </w:tcBorders>
            <w:vAlign w:val="center"/>
          </w:tcPr>
          <w:p w14:paraId="7345EE72"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3900</w:t>
            </w:r>
          </w:p>
        </w:tc>
        <w:tc>
          <w:tcPr>
            <w:tcW w:w="699" w:type="dxa"/>
            <w:tcBorders>
              <w:top w:val="single" w:sz="2" w:space="0" w:color="000000"/>
              <w:left w:val="single" w:sz="2" w:space="0" w:color="000000"/>
              <w:bottom w:val="single" w:sz="2" w:space="0" w:color="000000"/>
              <w:right w:val="single" w:sz="2" w:space="0" w:color="000000"/>
            </w:tcBorders>
            <w:vAlign w:val="center"/>
          </w:tcPr>
          <w:p w14:paraId="5CD97B6E"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4183</w:t>
            </w:r>
          </w:p>
        </w:tc>
        <w:tc>
          <w:tcPr>
            <w:tcW w:w="699" w:type="dxa"/>
            <w:tcBorders>
              <w:top w:val="single" w:sz="2" w:space="0" w:color="000000"/>
              <w:left w:val="single" w:sz="2" w:space="0" w:color="000000"/>
              <w:bottom w:val="single" w:sz="2" w:space="0" w:color="000000"/>
              <w:right w:val="single" w:sz="2" w:space="0" w:color="000000"/>
            </w:tcBorders>
            <w:vAlign w:val="center"/>
          </w:tcPr>
          <w:p w14:paraId="1E611A15"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3638</w:t>
            </w:r>
          </w:p>
        </w:tc>
        <w:tc>
          <w:tcPr>
            <w:tcW w:w="699" w:type="dxa"/>
            <w:tcBorders>
              <w:top w:val="single" w:sz="2" w:space="0" w:color="000000"/>
              <w:left w:val="single" w:sz="2" w:space="0" w:color="000000"/>
              <w:bottom w:val="single" w:sz="2" w:space="0" w:color="000000"/>
              <w:right w:val="single" w:sz="2" w:space="0" w:color="000000"/>
            </w:tcBorders>
            <w:vAlign w:val="center"/>
          </w:tcPr>
          <w:p w14:paraId="0E32596B"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3731</w:t>
            </w:r>
          </w:p>
        </w:tc>
        <w:tc>
          <w:tcPr>
            <w:tcW w:w="699" w:type="dxa"/>
            <w:tcBorders>
              <w:top w:val="single" w:sz="2" w:space="0" w:color="000000"/>
              <w:left w:val="single" w:sz="2" w:space="0" w:color="000000"/>
              <w:bottom w:val="single" w:sz="2" w:space="0" w:color="000000"/>
              <w:right w:val="single" w:sz="2" w:space="0" w:color="000000"/>
            </w:tcBorders>
            <w:vAlign w:val="center"/>
          </w:tcPr>
          <w:p w14:paraId="3C9D23C8"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3537</w:t>
            </w:r>
          </w:p>
        </w:tc>
        <w:tc>
          <w:tcPr>
            <w:tcW w:w="699" w:type="dxa"/>
            <w:tcBorders>
              <w:top w:val="single" w:sz="2" w:space="0" w:color="000000"/>
              <w:left w:val="single" w:sz="2" w:space="0" w:color="000000"/>
              <w:bottom w:val="single" w:sz="2" w:space="0" w:color="000000"/>
              <w:right w:val="single" w:sz="2" w:space="0" w:color="000000"/>
            </w:tcBorders>
            <w:vAlign w:val="center"/>
          </w:tcPr>
          <w:p w14:paraId="73727530"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3072</w:t>
            </w:r>
          </w:p>
        </w:tc>
        <w:tc>
          <w:tcPr>
            <w:tcW w:w="699" w:type="dxa"/>
            <w:tcBorders>
              <w:top w:val="single" w:sz="2" w:space="0" w:color="000000"/>
              <w:left w:val="single" w:sz="2" w:space="0" w:color="000000"/>
              <w:bottom w:val="single" w:sz="2" w:space="0" w:color="000000"/>
              <w:right w:val="single" w:sz="2" w:space="0" w:color="000000"/>
            </w:tcBorders>
            <w:vAlign w:val="center"/>
          </w:tcPr>
          <w:p w14:paraId="0906A1DC"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2933</w:t>
            </w:r>
          </w:p>
        </w:tc>
        <w:tc>
          <w:tcPr>
            <w:tcW w:w="699" w:type="dxa"/>
            <w:tcBorders>
              <w:top w:val="single" w:sz="2" w:space="0" w:color="000000"/>
              <w:left w:val="single" w:sz="2" w:space="0" w:color="000000"/>
              <w:bottom w:val="single" w:sz="2" w:space="0" w:color="000000"/>
              <w:right w:val="single" w:sz="2" w:space="0" w:color="000000"/>
            </w:tcBorders>
            <w:vAlign w:val="center"/>
          </w:tcPr>
          <w:p w14:paraId="5E7C2C4B"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2611</w:t>
            </w:r>
          </w:p>
        </w:tc>
        <w:tc>
          <w:tcPr>
            <w:tcW w:w="699" w:type="dxa"/>
            <w:tcBorders>
              <w:top w:val="single" w:sz="2" w:space="0" w:color="000000"/>
              <w:left w:val="single" w:sz="2" w:space="0" w:color="000000"/>
              <w:bottom w:val="single" w:sz="2" w:space="0" w:color="000000"/>
              <w:right w:val="single" w:sz="2" w:space="0" w:color="000000"/>
            </w:tcBorders>
            <w:vAlign w:val="center"/>
          </w:tcPr>
          <w:p w14:paraId="5CBC1C00"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2495</w:t>
            </w:r>
          </w:p>
        </w:tc>
        <w:tc>
          <w:tcPr>
            <w:tcW w:w="699" w:type="dxa"/>
            <w:tcBorders>
              <w:top w:val="single" w:sz="2" w:space="0" w:color="000000"/>
              <w:left w:val="single" w:sz="2" w:space="0" w:color="000000"/>
              <w:bottom w:val="single" w:sz="2" w:space="0" w:color="000000"/>
              <w:right w:val="single" w:sz="2" w:space="0" w:color="000000"/>
            </w:tcBorders>
            <w:vAlign w:val="center"/>
          </w:tcPr>
          <w:p w14:paraId="378B1546"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2281</w:t>
            </w:r>
          </w:p>
        </w:tc>
      </w:tr>
      <w:tr w:rsidR="00920B68" w:rsidRPr="00364545" w14:paraId="6E365D73" w14:textId="77777777" w:rsidTr="00920B68">
        <w:trPr>
          <w:trHeight w:val="419"/>
        </w:trPr>
        <w:tc>
          <w:tcPr>
            <w:tcW w:w="1547" w:type="dxa"/>
            <w:tcBorders>
              <w:top w:val="single" w:sz="2" w:space="0" w:color="000000"/>
              <w:left w:val="single" w:sz="2" w:space="0" w:color="000000"/>
              <w:bottom w:val="single" w:sz="2" w:space="0" w:color="000000"/>
              <w:right w:val="single" w:sz="2" w:space="0" w:color="000000"/>
            </w:tcBorders>
            <w:shd w:val="clear" w:color="auto" w:fill="ECE6E2"/>
          </w:tcPr>
          <w:p w14:paraId="605E1328" w14:textId="77777777" w:rsidR="00920B68" w:rsidRPr="00364545" w:rsidRDefault="00920B68" w:rsidP="00920B68">
            <w:pPr>
              <w:spacing w:line="259" w:lineRule="auto"/>
            </w:pPr>
            <w:r w:rsidRPr="00364545">
              <w:rPr>
                <w:sz w:val="18"/>
              </w:rPr>
              <w:t xml:space="preserve">Industrial processes, solvents and other products </w:t>
            </w:r>
          </w:p>
        </w:tc>
        <w:tc>
          <w:tcPr>
            <w:tcW w:w="69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411DAA6"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23831</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FDC21D"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sz w:val="18"/>
              </w:rPr>
              <w:t>25932</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10C81AB"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sz w:val="18"/>
              </w:rPr>
              <w:t>11924</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7D73A42"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sz w:val="18"/>
              </w:rPr>
              <w:t>6760</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6E2FE93"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sz w:val="18"/>
              </w:rPr>
              <w:t>2287</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4D05FA"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sz w:val="18"/>
              </w:rPr>
              <w:t>1291</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EEB009E"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918</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837B1A"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983</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71655C9"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903</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EE5C27A"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821</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F62C6F1"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822</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76F8E0"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825</w:t>
            </w:r>
          </w:p>
        </w:tc>
      </w:tr>
      <w:tr w:rsidR="00920B68" w:rsidRPr="00364545" w14:paraId="279A377B" w14:textId="77777777" w:rsidTr="00920B68">
        <w:trPr>
          <w:trHeight w:val="347"/>
        </w:trPr>
        <w:tc>
          <w:tcPr>
            <w:tcW w:w="1547" w:type="dxa"/>
            <w:tcBorders>
              <w:top w:val="single" w:sz="2" w:space="0" w:color="000000"/>
              <w:left w:val="single" w:sz="2" w:space="0" w:color="000000"/>
              <w:bottom w:val="single" w:sz="2" w:space="0" w:color="000000"/>
              <w:right w:val="single" w:sz="2" w:space="0" w:color="000000"/>
            </w:tcBorders>
          </w:tcPr>
          <w:p w14:paraId="36ABE7D5" w14:textId="77777777" w:rsidR="00920B68" w:rsidRPr="00364545" w:rsidRDefault="00920B68" w:rsidP="00920B68">
            <w:pPr>
              <w:spacing w:line="259" w:lineRule="auto"/>
            </w:pPr>
            <w:r w:rsidRPr="00364545">
              <w:rPr>
                <w:sz w:val="18"/>
              </w:rPr>
              <w:t xml:space="preserve">Agriculture (excluding energy) </w:t>
            </w:r>
          </w:p>
        </w:tc>
        <w:tc>
          <w:tcPr>
            <w:tcW w:w="698" w:type="dxa"/>
            <w:tcBorders>
              <w:top w:val="single" w:sz="2" w:space="0" w:color="000000"/>
              <w:left w:val="single" w:sz="2" w:space="0" w:color="000000"/>
              <w:bottom w:val="single" w:sz="2" w:space="0" w:color="000000"/>
              <w:right w:val="single" w:sz="2" w:space="0" w:color="000000"/>
            </w:tcBorders>
            <w:vAlign w:val="center"/>
          </w:tcPr>
          <w:p w14:paraId="7BE9B54F"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36691</w:t>
            </w:r>
          </w:p>
        </w:tc>
        <w:tc>
          <w:tcPr>
            <w:tcW w:w="699" w:type="dxa"/>
            <w:tcBorders>
              <w:top w:val="single" w:sz="2" w:space="0" w:color="000000"/>
              <w:left w:val="single" w:sz="2" w:space="0" w:color="000000"/>
              <w:bottom w:val="single" w:sz="2" w:space="0" w:color="000000"/>
              <w:right w:val="single" w:sz="2" w:space="0" w:color="000000"/>
            </w:tcBorders>
            <w:vAlign w:val="center"/>
          </w:tcPr>
          <w:p w14:paraId="4FDD9D39"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35162</w:t>
            </w:r>
          </w:p>
        </w:tc>
        <w:tc>
          <w:tcPr>
            <w:tcW w:w="699" w:type="dxa"/>
            <w:tcBorders>
              <w:top w:val="single" w:sz="2" w:space="0" w:color="000000"/>
              <w:left w:val="single" w:sz="2" w:space="0" w:color="000000"/>
              <w:bottom w:val="single" w:sz="2" w:space="0" w:color="000000"/>
              <w:right w:val="single" w:sz="2" w:space="0" w:color="000000"/>
            </w:tcBorders>
            <w:vAlign w:val="center"/>
          </w:tcPr>
          <w:p w14:paraId="03E56190"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37106</w:t>
            </w:r>
          </w:p>
        </w:tc>
        <w:tc>
          <w:tcPr>
            <w:tcW w:w="699" w:type="dxa"/>
            <w:tcBorders>
              <w:top w:val="single" w:sz="2" w:space="0" w:color="000000"/>
              <w:left w:val="single" w:sz="2" w:space="0" w:color="000000"/>
              <w:bottom w:val="single" w:sz="2" w:space="0" w:color="000000"/>
              <w:right w:val="single" w:sz="2" w:space="0" w:color="000000"/>
            </w:tcBorders>
            <w:vAlign w:val="center"/>
          </w:tcPr>
          <w:p w14:paraId="11DC7A3A"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34680</w:t>
            </w:r>
          </w:p>
        </w:tc>
        <w:tc>
          <w:tcPr>
            <w:tcW w:w="699" w:type="dxa"/>
            <w:tcBorders>
              <w:top w:val="single" w:sz="2" w:space="0" w:color="000000"/>
              <w:left w:val="single" w:sz="2" w:space="0" w:color="000000"/>
              <w:bottom w:val="single" w:sz="2" w:space="0" w:color="000000"/>
              <w:right w:val="single" w:sz="2" w:space="0" w:color="000000"/>
            </w:tcBorders>
            <w:vAlign w:val="center"/>
          </w:tcPr>
          <w:p w14:paraId="5249BD4A"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33892</w:t>
            </w:r>
          </w:p>
        </w:tc>
        <w:tc>
          <w:tcPr>
            <w:tcW w:w="699" w:type="dxa"/>
            <w:tcBorders>
              <w:top w:val="single" w:sz="2" w:space="0" w:color="000000"/>
              <w:left w:val="single" w:sz="2" w:space="0" w:color="000000"/>
              <w:bottom w:val="single" w:sz="2" w:space="0" w:color="000000"/>
              <w:right w:val="single" w:sz="2" w:space="0" w:color="000000"/>
            </w:tcBorders>
            <w:vAlign w:val="center"/>
          </w:tcPr>
          <w:p w14:paraId="71EF9EE4"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34263</w:t>
            </w:r>
          </w:p>
        </w:tc>
        <w:tc>
          <w:tcPr>
            <w:tcW w:w="699" w:type="dxa"/>
            <w:tcBorders>
              <w:top w:val="single" w:sz="2" w:space="0" w:color="000000"/>
              <w:left w:val="single" w:sz="2" w:space="0" w:color="000000"/>
              <w:bottom w:val="single" w:sz="2" w:space="0" w:color="000000"/>
              <w:right w:val="single" w:sz="2" w:space="0" w:color="000000"/>
            </w:tcBorders>
            <w:vAlign w:val="center"/>
          </w:tcPr>
          <w:p w14:paraId="10AF76F5"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33020</w:t>
            </w:r>
          </w:p>
        </w:tc>
        <w:tc>
          <w:tcPr>
            <w:tcW w:w="699" w:type="dxa"/>
            <w:tcBorders>
              <w:top w:val="single" w:sz="2" w:space="0" w:color="000000"/>
              <w:left w:val="single" w:sz="2" w:space="0" w:color="000000"/>
              <w:bottom w:val="single" w:sz="2" w:space="0" w:color="000000"/>
              <w:right w:val="single" w:sz="2" w:space="0" w:color="000000"/>
            </w:tcBorders>
            <w:vAlign w:val="center"/>
          </w:tcPr>
          <w:p w14:paraId="36735EA9"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33731</w:t>
            </w:r>
          </w:p>
        </w:tc>
        <w:tc>
          <w:tcPr>
            <w:tcW w:w="699" w:type="dxa"/>
            <w:tcBorders>
              <w:top w:val="single" w:sz="2" w:space="0" w:color="000000"/>
              <w:left w:val="single" w:sz="2" w:space="0" w:color="000000"/>
              <w:bottom w:val="single" w:sz="2" w:space="0" w:color="000000"/>
              <w:right w:val="single" w:sz="2" w:space="0" w:color="000000"/>
            </w:tcBorders>
            <w:vAlign w:val="center"/>
          </w:tcPr>
          <w:p w14:paraId="03034214"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33337</w:t>
            </w:r>
          </w:p>
        </w:tc>
        <w:tc>
          <w:tcPr>
            <w:tcW w:w="699" w:type="dxa"/>
            <w:tcBorders>
              <w:top w:val="single" w:sz="2" w:space="0" w:color="000000"/>
              <w:left w:val="single" w:sz="2" w:space="0" w:color="000000"/>
              <w:bottom w:val="single" w:sz="2" w:space="0" w:color="000000"/>
              <w:right w:val="single" w:sz="2" w:space="0" w:color="000000"/>
            </w:tcBorders>
            <w:vAlign w:val="center"/>
          </w:tcPr>
          <w:p w14:paraId="2F0AB416"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32820</w:t>
            </w:r>
          </w:p>
        </w:tc>
        <w:tc>
          <w:tcPr>
            <w:tcW w:w="699" w:type="dxa"/>
            <w:tcBorders>
              <w:top w:val="single" w:sz="2" w:space="0" w:color="000000"/>
              <w:left w:val="single" w:sz="2" w:space="0" w:color="000000"/>
              <w:bottom w:val="single" w:sz="2" w:space="0" w:color="000000"/>
              <w:right w:val="single" w:sz="2" w:space="0" w:color="000000"/>
            </w:tcBorders>
            <w:vAlign w:val="center"/>
          </w:tcPr>
          <w:p w14:paraId="48AB7A06"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32410</w:t>
            </w:r>
          </w:p>
        </w:tc>
        <w:tc>
          <w:tcPr>
            <w:tcW w:w="699" w:type="dxa"/>
            <w:tcBorders>
              <w:top w:val="single" w:sz="2" w:space="0" w:color="000000"/>
              <w:left w:val="single" w:sz="2" w:space="0" w:color="000000"/>
              <w:bottom w:val="single" w:sz="2" w:space="0" w:color="000000"/>
              <w:right w:val="single" w:sz="2" w:space="0" w:color="000000"/>
            </w:tcBorders>
            <w:vAlign w:val="center"/>
          </w:tcPr>
          <w:p w14:paraId="75751457"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31217</w:t>
            </w:r>
          </w:p>
        </w:tc>
      </w:tr>
      <w:tr w:rsidR="00920B68" w:rsidRPr="00364545" w14:paraId="396A1610" w14:textId="77777777" w:rsidTr="00920B68">
        <w:trPr>
          <w:trHeight w:val="342"/>
        </w:trPr>
        <w:tc>
          <w:tcPr>
            <w:tcW w:w="1547" w:type="dxa"/>
            <w:tcBorders>
              <w:top w:val="single" w:sz="2" w:space="0" w:color="000000"/>
              <w:left w:val="single" w:sz="2" w:space="0" w:color="000000"/>
              <w:bottom w:val="single" w:sz="2" w:space="0" w:color="000000"/>
              <w:right w:val="single" w:sz="2" w:space="0" w:color="000000"/>
            </w:tcBorders>
            <w:shd w:val="clear" w:color="auto" w:fill="ECE6E2"/>
          </w:tcPr>
          <w:p w14:paraId="624F367C" w14:textId="77777777" w:rsidR="00920B68" w:rsidRPr="00364545" w:rsidRDefault="00920B68" w:rsidP="00920B68">
            <w:pPr>
              <w:spacing w:line="259" w:lineRule="auto"/>
            </w:pPr>
            <w:r w:rsidRPr="00364545">
              <w:rPr>
                <w:sz w:val="18"/>
              </w:rPr>
              <w:t xml:space="preserve">LULUCF </w:t>
            </w:r>
          </w:p>
        </w:tc>
        <w:tc>
          <w:tcPr>
            <w:tcW w:w="69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3EA13DB"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3226</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608861D"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3246</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00DB9EF"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3193</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A2F6E5"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2971</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BE66657"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3216</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0F0E574"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2944</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49F88C8"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2867</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74F1AE0"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3119</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0C6E262"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3119</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8E7AFBB"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3119</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B4D6283"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3119</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2C923AA"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3119</w:t>
            </w:r>
          </w:p>
        </w:tc>
      </w:tr>
      <w:tr w:rsidR="00920B68" w:rsidRPr="00364545" w14:paraId="2849A07D" w14:textId="77777777" w:rsidTr="00920B68">
        <w:trPr>
          <w:trHeight w:val="347"/>
        </w:trPr>
        <w:tc>
          <w:tcPr>
            <w:tcW w:w="1547" w:type="dxa"/>
            <w:tcBorders>
              <w:top w:val="single" w:sz="2" w:space="0" w:color="000000"/>
              <w:left w:val="single" w:sz="2" w:space="0" w:color="000000"/>
              <w:bottom w:val="single" w:sz="2" w:space="0" w:color="000000"/>
              <w:right w:val="single" w:sz="2" w:space="0" w:color="000000"/>
            </w:tcBorders>
          </w:tcPr>
          <w:p w14:paraId="35DD2D78" w14:textId="77777777" w:rsidR="00920B68" w:rsidRPr="00364545" w:rsidRDefault="00920B68" w:rsidP="00920B68">
            <w:pPr>
              <w:spacing w:line="259" w:lineRule="auto"/>
            </w:pPr>
            <w:r w:rsidRPr="00364545">
              <w:rPr>
                <w:sz w:val="18"/>
              </w:rPr>
              <w:t xml:space="preserve">Waste </w:t>
            </w:r>
          </w:p>
        </w:tc>
        <w:tc>
          <w:tcPr>
            <w:tcW w:w="698" w:type="dxa"/>
            <w:tcBorders>
              <w:top w:val="single" w:sz="2" w:space="0" w:color="000000"/>
              <w:left w:val="single" w:sz="2" w:space="0" w:color="000000"/>
              <w:bottom w:val="single" w:sz="2" w:space="0" w:color="000000"/>
              <w:right w:val="single" w:sz="2" w:space="0" w:color="000000"/>
            </w:tcBorders>
            <w:vAlign w:val="center"/>
          </w:tcPr>
          <w:p w14:paraId="01261D47"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771</w:t>
            </w:r>
          </w:p>
        </w:tc>
        <w:tc>
          <w:tcPr>
            <w:tcW w:w="699" w:type="dxa"/>
            <w:tcBorders>
              <w:top w:val="single" w:sz="2" w:space="0" w:color="000000"/>
              <w:left w:val="single" w:sz="2" w:space="0" w:color="000000"/>
              <w:bottom w:val="single" w:sz="2" w:space="0" w:color="000000"/>
              <w:right w:val="single" w:sz="2" w:space="0" w:color="000000"/>
            </w:tcBorders>
            <w:vAlign w:val="center"/>
          </w:tcPr>
          <w:p w14:paraId="2E3DE79D"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796</w:t>
            </w:r>
          </w:p>
        </w:tc>
        <w:tc>
          <w:tcPr>
            <w:tcW w:w="699" w:type="dxa"/>
            <w:tcBorders>
              <w:top w:val="single" w:sz="2" w:space="0" w:color="000000"/>
              <w:left w:val="single" w:sz="2" w:space="0" w:color="000000"/>
              <w:bottom w:val="single" w:sz="2" w:space="0" w:color="000000"/>
              <w:right w:val="single" w:sz="2" w:space="0" w:color="000000"/>
            </w:tcBorders>
            <w:vAlign w:val="center"/>
          </w:tcPr>
          <w:p w14:paraId="17EB3C11"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750</w:t>
            </w:r>
          </w:p>
        </w:tc>
        <w:tc>
          <w:tcPr>
            <w:tcW w:w="699" w:type="dxa"/>
            <w:tcBorders>
              <w:top w:val="single" w:sz="2" w:space="0" w:color="000000"/>
              <w:left w:val="single" w:sz="2" w:space="0" w:color="000000"/>
              <w:bottom w:val="single" w:sz="2" w:space="0" w:color="000000"/>
              <w:right w:val="single" w:sz="2" w:space="0" w:color="000000"/>
            </w:tcBorders>
            <w:vAlign w:val="center"/>
          </w:tcPr>
          <w:p w14:paraId="366C28D6"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684</w:t>
            </w:r>
          </w:p>
        </w:tc>
        <w:tc>
          <w:tcPr>
            <w:tcW w:w="699" w:type="dxa"/>
            <w:tcBorders>
              <w:top w:val="single" w:sz="2" w:space="0" w:color="000000"/>
              <w:left w:val="single" w:sz="2" w:space="0" w:color="000000"/>
              <w:bottom w:val="single" w:sz="2" w:space="0" w:color="000000"/>
              <w:right w:val="single" w:sz="2" w:space="0" w:color="000000"/>
            </w:tcBorders>
            <w:vAlign w:val="center"/>
          </w:tcPr>
          <w:p w14:paraId="6E6774F7"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661</w:t>
            </w:r>
          </w:p>
        </w:tc>
        <w:tc>
          <w:tcPr>
            <w:tcW w:w="699" w:type="dxa"/>
            <w:tcBorders>
              <w:top w:val="single" w:sz="2" w:space="0" w:color="000000"/>
              <w:left w:val="single" w:sz="2" w:space="0" w:color="000000"/>
              <w:bottom w:val="single" w:sz="2" w:space="0" w:color="000000"/>
              <w:right w:val="single" w:sz="2" w:space="0" w:color="000000"/>
            </w:tcBorders>
            <w:vAlign w:val="center"/>
          </w:tcPr>
          <w:p w14:paraId="11FF1A60"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610</w:t>
            </w:r>
          </w:p>
        </w:tc>
        <w:tc>
          <w:tcPr>
            <w:tcW w:w="699" w:type="dxa"/>
            <w:tcBorders>
              <w:top w:val="single" w:sz="2" w:space="0" w:color="000000"/>
              <w:left w:val="single" w:sz="2" w:space="0" w:color="000000"/>
              <w:bottom w:val="single" w:sz="2" w:space="0" w:color="000000"/>
              <w:right w:val="single" w:sz="2" w:space="0" w:color="000000"/>
            </w:tcBorders>
            <w:vAlign w:val="center"/>
          </w:tcPr>
          <w:p w14:paraId="02A3850F"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597</w:t>
            </w:r>
          </w:p>
        </w:tc>
        <w:tc>
          <w:tcPr>
            <w:tcW w:w="699" w:type="dxa"/>
            <w:tcBorders>
              <w:top w:val="single" w:sz="2" w:space="0" w:color="000000"/>
              <w:left w:val="single" w:sz="2" w:space="0" w:color="000000"/>
              <w:bottom w:val="single" w:sz="2" w:space="0" w:color="000000"/>
              <w:right w:val="single" w:sz="2" w:space="0" w:color="000000"/>
            </w:tcBorders>
            <w:vAlign w:val="center"/>
          </w:tcPr>
          <w:p w14:paraId="56343C0E"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662</w:t>
            </w:r>
          </w:p>
        </w:tc>
        <w:tc>
          <w:tcPr>
            <w:tcW w:w="699" w:type="dxa"/>
            <w:tcBorders>
              <w:top w:val="single" w:sz="2" w:space="0" w:color="000000"/>
              <w:left w:val="single" w:sz="2" w:space="0" w:color="000000"/>
              <w:bottom w:val="single" w:sz="2" w:space="0" w:color="000000"/>
              <w:right w:val="single" w:sz="2" w:space="0" w:color="000000"/>
            </w:tcBorders>
            <w:vAlign w:val="center"/>
          </w:tcPr>
          <w:p w14:paraId="2CF0DA5A"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666</w:t>
            </w:r>
          </w:p>
        </w:tc>
        <w:tc>
          <w:tcPr>
            <w:tcW w:w="699" w:type="dxa"/>
            <w:tcBorders>
              <w:top w:val="single" w:sz="2" w:space="0" w:color="000000"/>
              <w:left w:val="single" w:sz="2" w:space="0" w:color="000000"/>
              <w:bottom w:val="single" w:sz="2" w:space="0" w:color="000000"/>
              <w:right w:val="single" w:sz="2" w:space="0" w:color="000000"/>
            </w:tcBorders>
            <w:vAlign w:val="center"/>
          </w:tcPr>
          <w:p w14:paraId="2EF58371"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670</w:t>
            </w:r>
          </w:p>
        </w:tc>
        <w:tc>
          <w:tcPr>
            <w:tcW w:w="699" w:type="dxa"/>
            <w:tcBorders>
              <w:top w:val="single" w:sz="2" w:space="0" w:color="000000"/>
              <w:left w:val="single" w:sz="2" w:space="0" w:color="000000"/>
              <w:bottom w:val="single" w:sz="2" w:space="0" w:color="000000"/>
              <w:right w:val="single" w:sz="2" w:space="0" w:color="000000"/>
            </w:tcBorders>
            <w:vAlign w:val="center"/>
          </w:tcPr>
          <w:p w14:paraId="1BC04A3D"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690</w:t>
            </w:r>
          </w:p>
        </w:tc>
        <w:tc>
          <w:tcPr>
            <w:tcW w:w="699" w:type="dxa"/>
            <w:tcBorders>
              <w:top w:val="single" w:sz="2" w:space="0" w:color="000000"/>
              <w:left w:val="single" w:sz="2" w:space="0" w:color="000000"/>
              <w:bottom w:val="single" w:sz="2" w:space="0" w:color="000000"/>
              <w:right w:val="single" w:sz="2" w:space="0" w:color="000000"/>
            </w:tcBorders>
            <w:vAlign w:val="center"/>
          </w:tcPr>
          <w:p w14:paraId="3AECC4E0"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681</w:t>
            </w:r>
          </w:p>
        </w:tc>
      </w:tr>
      <w:tr w:rsidR="00920B68" w:rsidRPr="00364545" w14:paraId="02E86B6C" w14:textId="77777777" w:rsidTr="00920B68">
        <w:trPr>
          <w:trHeight w:val="344"/>
        </w:trPr>
        <w:tc>
          <w:tcPr>
            <w:tcW w:w="1547" w:type="dxa"/>
            <w:tcBorders>
              <w:top w:val="single" w:sz="2" w:space="0" w:color="000000"/>
              <w:left w:val="single" w:sz="2" w:space="0" w:color="000000"/>
              <w:bottom w:val="single" w:sz="2" w:space="0" w:color="000000"/>
              <w:right w:val="single" w:sz="2" w:space="0" w:color="000000"/>
            </w:tcBorders>
            <w:shd w:val="clear" w:color="auto" w:fill="ECE6E2"/>
          </w:tcPr>
          <w:p w14:paraId="2B9EB075" w14:textId="77777777" w:rsidR="00920B68" w:rsidRPr="00364545" w:rsidRDefault="00920B68" w:rsidP="00920B68">
            <w:pPr>
              <w:spacing w:line="259" w:lineRule="auto"/>
            </w:pPr>
            <w:r w:rsidRPr="00364545">
              <w:rPr>
                <w:b/>
                <w:sz w:val="18"/>
              </w:rPr>
              <w:t xml:space="preserve">Ensemble (hors UTCF) </w:t>
            </w:r>
          </w:p>
        </w:tc>
        <w:tc>
          <w:tcPr>
            <w:tcW w:w="69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1E43234"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64725</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A66A31F"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65937</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8CB8E0"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53681</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79D4756"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46307</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7C67F8B"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40478</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517AE0C"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39895</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87CBED3"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38071</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4B194E5"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38447</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A9F2EE"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37839</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1D950DB"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36921</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8FFA478"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36418</w:t>
            </w:r>
          </w:p>
        </w:tc>
        <w:tc>
          <w:tcPr>
            <w:tcW w:w="69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255714C"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35004</w:t>
            </w:r>
          </w:p>
        </w:tc>
      </w:tr>
      <w:tr w:rsidR="00920B68" w:rsidRPr="00364545" w14:paraId="59EFAA80" w14:textId="77777777" w:rsidTr="00920B68">
        <w:trPr>
          <w:trHeight w:val="346"/>
        </w:trPr>
        <w:tc>
          <w:tcPr>
            <w:tcW w:w="1547" w:type="dxa"/>
            <w:tcBorders>
              <w:top w:val="single" w:sz="2" w:space="0" w:color="000000"/>
              <w:left w:val="single" w:sz="2" w:space="0" w:color="000000"/>
              <w:bottom w:val="single" w:sz="2" w:space="0" w:color="000000"/>
              <w:right w:val="single" w:sz="2" w:space="0" w:color="000000"/>
            </w:tcBorders>
          </w:tcPr>
          <w:p w14:paraId="296DB68C" w14:textId="77777777" w:rsidR="00920B68" w:rsidRPr="00364545" w:rsidRDefault="00920B68" w:rsidP="00920B68">
            <w:pPr>
              <w:spacing w:line="259" w:lineRule="auto"/>
            </w:pPr>
            <w:r w:rsidRPr="00364545">
              <w:rPr>
                <w:b/>
                <w:sz w:val="18"/>
              </w:rPr>
              <w:t xml:space="preserve">Ensemble (avec UTCF) </w:t>
            </w:r>
          </w:p>
        </w:tc>
        <w:tc>
          <w:tcPr>
            <w:tcW w:w="698" w:type="dxa"/>
            <w:tcBorders>
              <w:top w:val="single" w:sz="2" w:space="0" w:color="000000"/>
              <w:left w:val="single" w:sz="2" w:space="0" w:color="000000"/>
              <w:bottom w:val="single" w:sz="2" w:space="0" w:color="000000"/>
              <w:right w:val="single" w:sz="2" w:space="0" w:color="000000"/>
            </w:tcBorders>
            <w:vAlign w:val="center"/>
          </w:tcPr>
          <w:p w14:paraId="7100E80F"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67951</w:t>
            </w:r>
          </w:p>
        </w:tc>
        <w:tc>
          <w:tcPr>
            <w:tcW w:w="699" w:type="dxa"/>
            <w:tcBorders>
              <w:top w:val="single" w:sz="2" w:space="0" w:color="000000"/>
              <w:left w:val="single" w:sz="2" w:space="0" w:color="000000"/>
              <w:bottom w:val="single" w:sz="2" w:space="0" w:color="000000"/>
              <w:right w:val="single" w:sz="2" w:space="0" w:color="000000"/>
            </w:tcBorders>
            <w:vAlign w:val="center"/>
          </w:tcPr>
          <w:p w14:paraId="4AD37811"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69183</w:t>
            </w:r>
          </w:p>
        </w:tc>
        <w:tc>
          <w:tcPr>
            <w:tcW w:w="699" w:type="dxa"/>
            <w:tcBorders>
              <w:top w:val="single" w:sz="2" w:space="0" w:color="000000"/>
              <w:left w:val="single" w:sz="2" w:space="0" w:color="000000"/>
              <w:bottom w:val="single" w:sz="2" w:space="0" w:color="000000"/>
              <w:right w:val="single" w:sz="2" w:space="0" w:color="000000"/>
            </w:tcBorders>
            <w:vAlign w:val="center"/>
          </w:tcPr>
          <w:p w14:paraId="2DB1FE51"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56873</w:t>
            </w:r>
          </w:p>
        </w:tc>
        <w:tc>
          <w:tcPr>
            <w:tcW w:w="699" w:type="dxa"/>
            <w:tcBorders>
              <w:top w:val="single" w:sz="2" w:space="0" w:color="000000"/>
              <w:left w:val="single" w:sz="2" w:space="0" w:color="000000"/>
              <w:bottom w:val="single" w:sz="2" w:space="0" w:color="000000"/>
              <w:right w:val="single" w:sz="2" w:space="0" w:color="000000"/>
            </w:tcBorders>
            <w:vAlign w:val="center"/>
          </w:tcPr>
          <w:p w14:paraId="2076309C"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49279</w:t>
            </w:r>
          </w:p>
        </w:tc>
        <w:tc>
          <w:tcPr>
            <w:tcW w:w="699" w:type="dxa"/>
            <w:tcBorders>
              <w:top w:val="single" w:sz="2" w:space="0" w:color="000000"/>
              <w:left w:val="single" w:sz="2" w:space="0" w:color="000000"/>
              <w:bottom w:val="single" w:sz="2" w:space="0" w:color="000000"/>
              <w:right w:val="single" w:sz="2" w:space="0" w:color="000000"/>
            </w:tcBorders>
            <w:vAlign w:val="center"/>
          </w:tcPr>
          <w:p w14:paraId="71339993"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43694</w:t>
            </w:r>
          </w:p>
        </w:tc>
        <w:tc>
          <w:tcPr>
            <w:tcW w:w="699" w:type="dxa"/>
            <w:tcBorders>
              <w:top w:val="single" w:sz="2" w:space="0" w:color="000000"/>
              <w:left w:val="single" w:sz="2" w:space="0" w:color="000000"/>
              <w:bottom w:val="single" w:sz="2" w:space="0" w:color="000000"/>
              <w:right w:val="single" w:sz="2" w:space="0" w:color="000000"/>
            </w:tcBorders>
            <w:vAlign w:val="center"/>
          </w:tcPr>
          <w:p w14:paraId="6397927D"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42840</w:t>
            </w:r>
          </w:p>
        </w:tc>
        <w:tc>
          <w:tcPr>
            <w:tcW w:w="699" w:type="dxa"/>
            <w:tcBorders>
              <w:top w:val="single" w:sz="2" w:space="0" w:color="000000"/>
              <w:left w:val="single" w:sz="2" w:space="0" w:color="000000"/>
              <w:bottom w:val="single" w:sz="2" w:space="0" w:color="000000"/>
              <w:right w:val="single" w:sz="2" w:space="0" w:color="000000"/>
            </w:tcBorders>
            <w:vAlign w:val="center"/>
          </w:tcPr>
          <w:p w14:paraId="48DBA970" w14:textId="77777777" w:rsidR="00920B68" w:rsidRPr="00634E4C" w:rsidRDefault="00920B68" w:rsidP="00920B68">
            <w:pPr>
              <w:spacing w:line="259" w:lineRule="auto"/>
              <w:ind w:right="28"/>
              <w:jc w:val="center"/>
              <w:rPr>
                <w:rFonts w:asciiTheme="majorHAnsi" w:hAnsiTheme="majorHAnsi"/>
                <w:b/>
                <w:color w:val="000000"/>
                <w:sz w:val="18"/>
              </w:rPr>
            </w:pPr>
            <w:r w:rsidRPr="005D0955">
              <w:rPr>
                <w:rFonts w:asciiTheme="majorHAnsi" w:hAnsiTheme="majorHAnsi"/>
                <w:sz w:val="18"/>
                <w:szCs w:val="18"/>
              </w:rPr>
              <w:t>40939</w:t>
            </w:r>
          </w:p>
        </w:tc>
        <w:tc>
          <w:tcPr>
            <w:tcW w:w="699" w:type="dxa"/>
            <w:tcBorders>
              <w:top w:val="single" w:sz="2" w:space="0" w:color="000000"/>
              <w:left w:val="single" w:sz="2" w:space="0" w:color="000000"/>
              <w:bottom w:val="single" w:sz="2" w:space="0" w:color="000000"/>
              <w:right w:val="single" w:sz="2" w:space="0" w:color="000000"/>
            </w:tcBorders>
            <w:vAlign w:val="center"/>
          </w:tcPr>
          <w:p w14:paraId="2E001A56"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41566</w:t>
            </w:r>
          </w:p>
        </w:tc>
        <w:tc>
          <w:tcPr>
            <w:tcW w:w="699" w:type="dxa"/>
            <w:tcBorders>
              <w:top w:val="single" w:sz="2" w:space="0" w:color="000000"/>
              <w:left w:val="single" w:sz="2" w:space="0" w:color="000000"/>
              <w:bottom w:val="single" w:sz="2" w:space="0" w:color="000000"/>
              <w:right w:val="single" w:sz="2" w:space="0" w:color="000000"/>
            </w:tcBorders>
            <w:vAlign w:val="center"/>
          </w:tcPr>
          <w:p w14:paraId="54FF1741"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40959</w:t>
            </w:r>
          </w:p>
        </w:tc>
        <w:tc>
          <w:tcPr>
            <w:tcW w:w="699" w:type="dxa"/>
            <w:tcBorders>
              <w:top w:val="single" w:sz="2" w:space="0" w:color="000000"/>
              <w:left w:val="single" w:sz="2" w:space="0" w:color="000000"/>
              <w:bottom w:val="single" w:sz="2" w:space="0" w:color="000000"/>
              <w:right w:val="single" w:sz="2" w:space="0" w:color="000000"/>
            </w:tcBorders>
            <w:vAlign w:val="center"/>
          </w:tcPr>
          <w:p w14:paraId="592BF36D"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40041</w:t>
            </w:r>
          </w:p>
        </w:tc>
        <w:tc>
          <w:tcPr>
            <w:tcW w:w="699" w:type="dxa"/>
            <w:tcBorders>
              <w:top w:val="single" w:sz="2" w:space="0" w:color="000000"/>
              <w:left w:val="single" w:sz="2" w:space="0" w:color="000000"/>
              <w:bottom w:val="single" w:sz="2" w:space="0" w:color="000000"/>
              <w:right w:val="single" w:sz="2" w:space="0" w:color="000000"/>
            </w:tcBorders>
            <w:vAlign w:val="center"/>
          </w:tcPr>
          <w:p w14:paraId="06267C23"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39537</w:t>
            </w:r>
          </w:p>
        </w:tc>
        <w:tc>
          <w:tcPr>
            <w:tcW w:w="699" w:type="dxa"/>
            <w:tcBorders>
              <w:top w:val="single" w:sz="2" w:space="0" w:color="000000"/>
              <w:left w:val="single" w:sz="2" w:space="0" w:color="000000"/>
              <w:bottom w:val="single" w:sz="2" w:space="0" w:color="000000"/>
              <w:right w:val="single" w:sz="2" w:space="0" w:color="000000"/>
            </w:tcBorders>
            <w:vAlign w:val="center"/>
          </w:tcPr>
          <w:p w14:paraId="0D74EE89" w14:textId="77777777" w:rsidR="00920B68" w:rsidRPr="00634E4C" w:rsidRDefault="00920B68" w:rsidP="00920B68">
            <w:pPr>
              <w:spacing w:line="259" w:lineRule="auto"/>
              <w:ind w:right="28"/>
              <w:jc w:val="center"/>
              <w:rPr>
                <w:rFonts w:asciiTheme="majorHAnsi" w:hAnsiTheme="majorHAnsi"/>
                <w:b/>
                <w:color w:val="000000"/>
                <w:sz w:val="18"/>
              </w:rPr>
            </w:pPr>
            <w:r w:rsidRPr="00634E4C">
              <w:rPr>
                <w:rFonts w:asciiTheme="majorHAnsi" w:hAnsiTheme="majorHAnsi"/>
                <w:b/>
                <w:color w:val="000000"/>
                <w:sz w:val="18"/>
              </w:rPr>
              <w:t>38123</w:t>
            </w:r>
          </w:p>
        </w:tc>
      </w:tr>
    </w:tbl>
    <w:p w14:paraId="5A6CDB32" w14:textId="77777777" w:rsidR="00920B68" w:rsidRPr="00364545" w:rsidRDefault="00920B68" w:rsidP="00920B68">
      <w:pPr>
        <w:pStyle w:val="Caption"/>
      </w:pPr>
      <w:r w:rsidRPr="00364545">
        <w:t xml:space="preserve">Table </w:t>
      </w:r>
      <w:fldSimple w:instr=" SEQ Tableau \* ARABIC ">
        <w:r w:rsidRPr="00364545">
          <w:rPr>
            <w:noProof/>
          </w:rPr>
          <w:t>21</w:t>
        </w:r>
      </w:fldSimple>
      <w:r w:rsidRPr="00364545">
        <w:t>: N</w:t>
      </w:r>
      <w:r w:rsidRPr="00364545">
        <w:rPr>
          <w:vertAlign w:val="subscript"/>
        </w:rPr>
        <w:t>2</w:t>
      </w:r>
      <w:r w:rsidRPr="00364545">
        <w:t>O emissions projections (in ktCO</w:t>
      </w:r>
      <w:r w:rsidRPr="00364545">
        <w:rPr>
          <w:vertAlign w:val="subscript"/>
        </w:rPr>
        <w:t>2e</w:t>
      </w:r>
      <w:r w:rsidRPr="00364545">
        <w:t>) in the Kyoto scope in the AME scenario (with existing measures)</w:t>
      </w:r>
    </w:p>
    <w:p w14:paraId="1D22002E" w14:textId="77777777" w:rsidR="00920B68" w:rsidRPr="00364545" w:rsidRDefault="00920B68" w:rsidP="00920B68">
      <w:pPr>
        <w:pStyle w:val="Caption"/>
      </w:pPr>
      <w:r w:rsidRPr="00364545">
        <w:t>Source: UNFCCC inventory, Citepa/MTE, 202</w:t>
      </w:r>
      <w:r>
        <w:t>2</w:t>
      </w:r>
      <w:r w:rsidRPr="00364545">
        <w:t xml:space="preserve"> submission and MTE emission projections, 2021</w:t>
      </w:r>
    </w:p>
    <w:p w14:paraId="3C6DB795" w14:textId="77777777" w:rsidR="00920B68" w:rsidRPr="00364545" w:rsidRDefault="00920B68" w:rsidP="00920B68"/>
    <w:tbl>
      <w:tblPr>
        <w:tblStyle w:val="TableGrid0"/>
        <w:tblW w:w="9934" w:type="dxa"/>
        <w:tblInd w:w="10" w:type="dxa"/>
        <w:tblCellMar>
          <w:top w:w="39" w:type="dxa"/>
          <w:left w:w="28" w:type="dxa"/>
          <w:bottom w:w="2" w:type="dxa"/>
        </w:tblCellMar>
        <w:tblLook w:val="04A0" w:firstRow="1" w:lastRow="0" w:firstColumn="1" w:lastColumn="0" w:noHBand="0" w:noVBand="1"/>
      </w:tblPr>
      <w:tblGrid>
        <w:gridCol w:w="1405"/>
        <w:gridCol w:w="710"/>
        <w:gridCol w:w="711"/>
        <w:gridCol w:w="711"/>
        <w:gridCol w:w="711"/>
        <w:gridCol w:w="710"/>
        <w:gridCol w:w="711"/>
        <w:gridCol w:w="711"/>
        <w:gridCol w:w="711"/>
        <w:gridCol w:w="710"/>
        <w:gridCol w:w="711"/>
        <w:gridCol w:w="711"/>
        <w:gridCol w:w="711"/>
      </w:tblGrid>
      <w:tr w:rsidR="00920B68" w:rsidRPr="00364545" w14:paraId="4EDC0415" w14:textId="77777777" w:rsidTr="00920B68">
        <w:trPr>
          <w:trHeight w:val="402"/>
        </w:trPr>
        <w:tc>
          <w:tcPr>
            <w:tcW w:w="1405" w:type="dxa"/>
            <w:tcBorders>
              <w:top w:val="single" w:sz="2" w:space="0" w:color="000000"/>
              <w:left w:val="single" w:sz="2" w:space="0" w:color="000000"/>
              <w:bottom w:val="single" w:sz="2" w:space="0" w:color="000000"/>
              <w:right w:val="single" w:sz="2" w:space="0" w:color="000000"/>
            </w:tcBorders>
            <w:shd w:val="clear" w:color="auto" w:fill="6D2A78"/>
          </w:tcPr>
          <w:p w14:paraId="5828A4EC" w14:textId="77777777" w:rsidR="00920B68" w:rsidRPr="00364545" w:rsidRDefault="00920B68" w:rsidP="00920B68">
            <w:pPr>
              <w:spacing w:line="259" w:lineRule="auto"/>
            </w:pPr>
            <w:r w:rsidRPr="00364545">
              <w:t>AME 21 - HFC</w:t>
            </w:r>
          </w:p>
        </w:tc>
        <w:tc>
          <w:tcPr>
            <w:tcW w:w="710"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A4BCAC0" w14:textId="77777777" w:rsidR="00920B68" w:rsidRPr="00364545" w:rsidRDefault="00920B68" w:rsidP="00920B68">
            <w:pPr>
              <w:spacing w:line="259" w:lineRule="auto"/>
              <w:ind w:right="30"/>
              <w:jc w:val="center"/>
            </w:pPr>
            <w:r w:rsidRPr="00364545">
              <w:rPr>
                <w:b/>
                <w:color w:val="FFFFFF"/>
                <w:sz w:val="18"/>
              </w:rPr>
              <w:t>1990</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38ADF97F" w14:textId="77777777" w:rsidR="00920B68" w:rsidRPr="00364545" w:rsidRDefault="00920B68" w:rsidP="00920B68">
            <w:pPr>
              <w:spacing w:line="259" w:lineRule="auto"/>
              <w:ind w:right="27"/>
              <w:jc w:val="center"/>
              <w:rPr>
                <w:b/>
                <w:color w:val="FFFFFF"/>
                <w:sz w:val="18"/>
              </w:rPr>
            </w:pPr>
            <w:r w:rsidRPr="00364545">
              <w:rPr>
                <w:b/>
                <w:color w:val="FFFFFF"/>
                <w:sz w:val="18"/>
              </w:rPr>
              <w:t>1995</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5495D80" w14:textId="77777777" w:rsidR="00920B68" w:rsidRPr="00364545" w:rsidRDefault="00920B68" w:rsidP="00920B68">
            <w:pPr>
              <w:spacing w:line="259" w:lineRule="auto"/>
              <w:ind w:right="27"/>
              <w:jc w:val="center"/>
            </w:pPr>
            <w:r w:rsidRPr="00364545">
              <w:rPr>
                <w:b/>
                <w:color w:val="FFFFFF"/>
                <w:sz w:val="18"/>
              </w:rPr>
              <w:t>2000</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A949B3D" w14:textId="77777777" w:rsidR="00920B68" w:rsidRPr="00364545" w:rsidRDefault="00920B68" w:rsidP="00920B68">
            <w:pPr>
              <w:spacing w:line="259" w:lineRule="auto"/>
              <w:ind w:right="30"/>
              <w:jc w:val="center"/>
            </w:pPr>
            <w:r w:rsidRPr="00364545">
              <w:rPr>
                <w:b/>
                <w:color w:val="FFFFFF"/>
                <w:sz w:val="18"/>
              </w:rPr>
              <w:t>2005</w:t>
            </w:r>
          </w:p>
        </w:tc>
        <w:tc>
          <w:tcPr>
            <w:tcW w:w="710"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21465A6" w14:textId="77777777" w:rsidR="00920B68" w:rsidRPr="00364545" w:rsidRDefault="00920B68" w:rsidP="00920B68">
            <w:pPr>
              <w:spacing w:line="259" w:lineRule="auto"/>
              <w:ind w:right="27"/>
              <w:jc w:val="center"/>
            </w:pPr>
            <w:r w:rsidRPr="00364545">
              <w:rPr>
                <w:b/>
                <w:color w:val="FFFFFF"/>
                <w:sz w:val="18"/>
              </w:rPr>
              <w:t>2010</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438C8020" w14:textId="77777777" w:rsidR="00920B68" w:rsidRPr="00364545" w:rsidRDefault="00920B68" w:rsidP="00920B68">
            <w:pPr>
              <w:spacing w:line="259" w:lineRule="auto"/>
              <w:ind w:right="30"/>
              <w:jc w:val="center"/>
            </w:pPr>
            <w:r w:rsidRPr="00364545">
              <w:rPr>
                <w:b/>
                <w:color w:val="FFFFFF"/>
                <w:sz w:val="18"/>
              </w:rPr>
              <w:t>2015</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01C17E8" w14:textId="77777777" w:rsidR="00920B68" w:rsidRPr="00364545" w:rsidRDefault="00920B68" w:rsidP="00920B68">
            <w:pPr>
              <w:spacing w:line="259" w:lineRule="auto"/>
              <w:ind w:right="27"/>
              <w:jc w:val="center"/>
              <w:rPr>
                <w:b/>
                <w:color w:val="FFFFFF"/>
                <w:sz w:val="18"/>
              </w:rPr>
            </w:pPr>
            <w:r w:rsidRPr="00364545">
              <w:rPr>
                <w:b/>
                <w:color w:val="FFFFFF"/>
                <w:sz w:val="18"/>
              </w:rPr>
              <w:t>2019</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0CDCF4F" w14:textId="77777777" w:rsidR="00920B68" w:rsidRPr="00364545" w:rsidRDefault="00920B68" w:rsidP="00920B68">
            <w:pPr>
              <w:spacing w:line="259" w:lineRule="auto"/>
              <w:ind w:right="27"/>
              <w:jc w:val="center"/>
            </w:pPr>
            <w:r w:rsidRPr="00364545">
              <w:rPr>
                <w:b/>
                <w:color w:val="FFFFFF"/>
                <w:sz w:val="18"/>
              </w:rPr>
              <w:t>2020</w:t>
            </w:r>
          </w:p>
        </w:tc>
        <w:tc>
          <w:tcPr>
            <w:tcW w:w="710"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296F41A" w14:textId="77777777" w:rsidR="00920B68" w:rsidRPr="00364545" w:rsidRDefault="00920B68" w:rsidP="00920B68">
            <w:pPr>
              <w:spacing w:line="259" w:lineRule="auto"/>
              <w:ind w:right="30"/>
              <w:jc w:val="center"/>
            </w:pPr>
            <w:r w:rsidRPr="00364545">
              <w:rPr>
                <w:b/>
                <w:color w:val="FFFFFF"/>
                <w:sz w:val="18"/>
              </w:rPr>
              <w:t>2025</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41F489B" w14:textId="77777777" w:rsidR="00920B68" w:rsidRPr="00364545" w:rsidRDefault="00920B68" w:rsidP="00920B68">
            <w:pPr>
              <w:spacing w:line="259" w:lineRule="auto"/>
              <w:ind w:right="27"/>
              <w:jc w:val="center"/>
            </w:pPr>
            <w:r w:rsidRPr="00364545">
              <w:rPr>
                <w:b/>
                <w:color w:val="FFFFFF"/>
                <w:sz w:val="18"/>
              </w:rPr>
              <w:t>2030</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F31673B" w14:textId="77777777" w:rsidR="00920B68" w:rsidRPr="00364545" w:rsidRDefault="00920B68" w:rsidP="00920B68">
            <w:pPr>
              <w:spacing w:line="259" w:lineRule="auto"/>
              <w:ind w:right="28"/>
              <w:jc w:val="center"/>
            </w:pPr>
            <w:r w:rsidRPr="00364545">
              <w:rPr>
                <w:b/>
                <w:color w:val="FFFFFF"/>
                <w:sz w:val="18"/>
              </w:rPr>
              <w:t>2035</w:t>
            </w:r>
          </w:p>
        </w:tc>
        <w:tc>
          <w:tcPr>
            <w:tcW w:w="71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5523C31" w14:textId="77777777" w:rsidR="00920B68" w:rsidRPr="00364545" w:rsidRDefault="00920B68" w:rsidP="00920B68">
            <w:pPr>
              <w:spacing w:line="259" w:lineRule="auto"/>
              <w:ind w:right="28"/>
              <w:jc w:val="center"/>
              <w:rPr>
                <w:b/>
                <w:color w:val="FFFFFF"/>
                <w:sz w:val="18"/>
              </w:rPr>
            </w:pPr>
            <w:r w:rsidRPr="00364545">
              <w:rPr>
                <w:b/>
                <w:color w:val="FFFFFF"/>
                <w:sz w:val="18"/>
              </w:rPr>
              <w:t>2050</w:t>
            </w:r>
          </w:p>
        </w:tc>
      </w:tr>
      <w:tr w:rsidR="00920B68" w:rsidRPr="00364545" w14:paraId="7E9C10BF"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tcPr>
          <w:p w14:paraId="69958320" w14:textId="77777777" w:rsidR="00920B68" w:rsidRPr="00364545" w:rsidRDefault="00920B68" w:rsidP="00920B68">
            <w:pPr>
              <w:spacing w:line="259" w:lineRule="auto"/>
            </w:pPr>
            <w:r w:rsidRPr="00364545">
              <w:rPr>
                <w:sz w:val="18"/>
              </w:rPr>
              <w:t xml:space="preserve">Energy </w:t>
            </w:r>
          </w:p>
        </w:tc>
        <w:tc>
          <w:tcPr>
            <w:tcW w:w="710" w:type="dxa"/>
            <w:tcBorders>
              <w:top w:val="single" w:sz="2" w:space="0" w:color="000000"/>
              <w:left w:val="single" w:sz="2" w:space="0" w:color="000000"/>
              <w:bottom w:val="single" w:sz="2" w:space="0" w:color="000000"/>
              <w:right w:val="single" w:sz="2" w:space="0" w:color="000000"/>
            </w:tcBorders>
            <w:vAlign w:val="center"/>
          </w:tcPr>
          <w:p w14:paraId="27D4593D"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1870413E"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2583B753"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491CAFC9"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6C909A8B"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0285AF40"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5DA0DB54"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7F0AFE61"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63CDD06A"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69C1520A"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38753A2D"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0445A372"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r>
      <w:tr w:rsidR="00920B68" w:rsidRPr="00364545" w14:paraId="47EB16D9" w14:textId="77777777" w:rsidTr="00920B68">
        <w:trPr>
          <w:trHeight w:val="419"/>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443B6267" w14:textId="77777777" w:rsidR="00920B68" w:rsidRPr="00364545" w:rsidRDefault="00920B68" w:rsidP="00920B68">
            <w:pPr>
              <w:spacing w:line="259" w:lineRule="auto"/>
            </w:pPr>
            <w:r w:rsidRPr="00364545">
              <w:rPr>
                <w:sz w:val="18"/>
              </w:rPr>
              <w:t xml:space="preserve">Industrial processes, solvents and other products </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53ADC5D" w14:textId="77777777" w:rsidR="00920B68" w:rsidRPr="00634E4C" w:rsidRDefault="00920B68" w:rsidP="00920B68">
            <w:pPr>
              <w:spacing w:line="259" w:lineRule="auto"/>
              <w:ind w:right="28"/>
              <w:jc w:val="center"/>
              <w:rPr>
                <w:rFonts w:asciiTheme="majorHAnsi" w:hAnsiTheme="majorHAnsi"/>
                <w:sz w:val="18"/>
              </w:rPr>
            </w:pPr>
            <w:r w:rsidRPr="005D0955">
              <w:rPr>
                <w:rFonts w:asciiTheme="majorHAnsi" w:hAnsiTheme="majorHAnsi"/>
                <w:sz w:val="18"/>
                <w:szCs w:val="18"/>
              </w:rPr>
              <w:t>4402</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E24B88C" w14:textId="77777777" w:rsidR="00920B68" w:rsidRPr="00634E4C" w:rsidRDefault="00920B68" w:rsidP="00920B68">
            <w:pPr>
              <w:spacing w:line="259" w:lineRule="auto"/>
              <w:ind w:right="28"/>
              <w:jc w:val="center"/>
              <w:rPr>
                <w:rFonts w:asciiTheme="majorHAnsi" w:hAnsiTheme="majorHAnsi"/>
                <w:color w:val="000000"/>
                <w:sz w:val="18"/>
              </w:rPr>
            </w:pPr>
            <w:r w:rsidRPr="005D0955">
              <w:rPr>
                <w:rFonts w:asciiTheme="majorHAnsi" w:hAnsiTheme="majorHAnsi"/>
                <w:sz w:val="18"/>
                <w:szCs w:val="18"/>
              </w:rPr>
              <w:t>1702</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C8A7C1" w14:textId="77777777" w:rsidR="00920B68" w:rsidRPr="00634E4C" w:rsidRDefault="00920B68" w:rsidP="00920B68">
            <w:pPr>
              <w:spacing w:line="259" w:lineRule="auto"/>
              <w:ind w:right="28"/>
              <w:jc w:val="center"/>
              <w:rPr>
                <w:rFonts w:asciiTheme="majorHAnsi" w:hAnsiTheme="majorHAnsi"/>
                <w:color w:val="000000"/>
                <w:sz w:val="18"/>
              </w:rPr>
            </w:pPr>
            <w:r w:rsidRPr="005D0955">
              <w:rPr>
                <w:rFonts w:asciiTheme="majorHAnsi" w:hAnsiTheme="majorHAnsi"/>
                <w:sz w:val="18"/>
                <w:szCs w:val="18"/>
              </w:rPr>
              <w:t>6736</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D8693D" w14:textId="77777777" w:rsidR="00920B68" w:rsidRPr="00634E4C" w:rsidRDefault="00920B68" w:rsidP="00920B68">
            <w:pPr>
              <w:spacing w:line="259" w:lineRule="auto"/>
              <w:ind w:right="28"/>
              <w:jc w:val="center"/>
              <w:rPr>
                <w:rFonts w:asciiTheme="majorHAnsi" w:hAnsiTheme="majorHAnsi"/>
                <w:color w:val="000000"/>
                <w:sz w:val="18"/>
              </w:rPr>
            </w:pPr>
            <w:r w:rsidRPr="005D0955">
              <w:rPr>
                <w:rFonts w:asciiTheme="majorHAnsi" w:hAnsiTheme="majorHAnsi"/>
                <w:sz w:val="18"/>
                <w:szCs w:val="18"/>
              </w:rPr>
              <w:t>12862</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E49FFA3" w14:textId="77777777" w:rsidR="00920B68" w:rsidRPr="00634E4C" w:rsidRDefault="00920B68" w:rsidP="00920B68">
            <w:pPr>
              <w:spacing w:line="259" w:lineRule="auto"/>
              <w:ind w:right="28"/>
              <w:jc w:val="center"/>
              <w:rPr>
                <w:rFonts w:asciiTheme="majorHAnsi" w:hAnsiTheme="majorHAnsi"/>
                <w:color w:val="000000"/>
                <w:sz w:val="18"/>
              </w:rPr>
            </w:pPr>
            <w:r w:rsidRPr="005D0955">
              <w:rPr>
                <w:rFonts w:asciiTheme="majorHAnsi" w:hAnsiTheme="majorHAnsi"/>
                <w:sz w:val="18"/>
                <w:szCs w:val="18"/>
              </w:rPr>
              <w:t>16930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7E0C5B7" w14:textId="77777777" w:rsidR="00920B68" w:rsidRPr="00634E4C" w:rsidRDefault="00920B68" w:rsidP="00920B68">
            <w:pPr>
              <w:spacing w:line="259" w:lineRule="auto"/>
              <w:ind w:right="28"/>
              <w:jc w:val="center"/>
              <w:rPr>
                <w:rFonts w:asciiTheme="majorHAnsi" w:hAnsiTheme="majorHAnsi"/>
                <w:color w:val="000000"/>
                <w:sz w:val="18"/>
              </w:rPr>
            </w:pPr>
            <w:r w:rsidRPr="005D0955">
              <w:rPr>
                <w:rFonts w:asciiTheme="majorHAnsi" w:hAnsiTheme="majorHAnsi"/>
                <w:sz w:val="18"/>
                <w:szCs w:val="18"/>
              </w:rPr>
              <w:t>17494</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50DCB7C" w14:textId="77777777" w:rsidR="00920B68" w:rsidRPr="00634E4C" w:rsidRDefault="00920B68" w:rsidP="00920B68">
            <w:pPr>
              <w:spacing w:line="259" w:lineRule="auto"/>
              <w:ind w:right="28"/>
              <w:jc w:val="center"/>
              <w:rPr>
                <w:rFonts w:asciiTheme="majorHAnsi" w:hAnsiTheme="majorHAnsi"/>
                <w:color w:val="000000"/>
                <w:sz w:val="18"/>
              </w:rPr>
            </w:pPr>
            <w:r w:rsidRPr="005D0955">
              <w:rPr>
                <w:rFonts w:asciiTheme="majorHAnsi" w:hAnsiTheme="majorHAnsi"/>
                <w:sz w:val="18"/>
                <w:szCs w:val="18"/>
              </w:rPr>
              <w:t>12992</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440AE6" w14:textId="77777777" w:rsidR="00920B68" w:rsidRPr="00634E4C" w:rsidRDefault="00920B68" w:rsidP="00920B68">
            <w:pPr>
              <w:spacing w:line="259" w:lineRule="auto"/>
              <w:ind w:right="28"/>
              <w:jc w:val="center"/>
              <w:rPr>
                <w:rFonts w:asciiTheme="majorHAnsi" w:hAnsiTheme="majorHAnsi"/>
                <w:color w:val="000000"/>
                <w:sz w:val="18"/>
              </w:rPr>
            </w:pPr>
            <w:r w:rsidRPr="00634E4C">
              <w:rPr>
                <w:rFonts w:asciiTheme="majorHAnsi" w:hAnsiTheme="majorHAnsi"/>
                <w:color w:val="000000"/>
                <w:sz w:val="18"/>
              </w:rPr>
              <w:t>12721</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662CB88" w14:textId="77777777" w:rsidR="00920B68" w:rsidRPr="00634E4C" w:rsidRDefault="00920B68" w:rsidP="00920B68">
            <w:pPr>
              <w:spacing w:line="259" w:lineRule="auto"/>
              <w:ind w:right="28"/>
              <w:jc w:val="center"/>
              <w:rPr>
                <w:rFonts w:asciiTheme="majorHAnsi" w:hAnsiTheme="majorHAnsi"/>
                <w:color w:val="000000"/>
                <w:sz w:val="18"/>
              </w:rPr>
            </w:pPr>
            <w:r w:rsidRPr="00634E4C">
              <w:rPr>
                <w:rFonts w:asciiTheme="majorHAnsi" w:hAnsiTheme="majorHAnsi"/>
                <w:color w:val="000000"/>
                <w:sz w:val="18"/>
              </w:rPr>
              <w:t>7817</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727002B" w14:textId="77777777" w:rsidR="00920B68" w:rsidRPr="00634E4C" w:rsidRDefault="00920B68" w:rsidP="00920B68">
            <w:pPr>
              <w:spacing w:line="259" w:lineRule="auto"/>
              <w:ind w:right="28"/>
              <w:jc w:val="center"/>
              <w:rPr>
                <w:rFonts w:asciiTheme="majorHAnsi" w:hAnsiTheme="majorHAnsi"/>
                <w:color w:val="000000"/>
                <w:sz w:val="18"/>
              </w:rPr>
            </w:pPr>
            <w:r w:rsidRPr="00634E4C">
              <w:rPr>
                <w:rFonts w:asciiTheme="majorHAnsi" w:hAnsiTheme="majorHAnsi"/>
                <w:color w:val="000000"/>
                <w:sz w:val="18"/>
              </w:rPr>
              <w:t>5053</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E3E2A58" w14:textId="77777777" w:rsidR="00920B68" w:rsidRPr="00634E4C" w:rsidRDefault="00920B68" w:rsidP="00920B68">
            <w:pPr>
              <w:spacing w:line="259" w:lineRule="auto"/>
              <w:ind w:right="28"/>
              <w:jc w:val="center"/>
              <w:rPr>
                <w:rFonts w:asciiTheme="majorHAnsi" w:hAnsiTheme="majorHAnsi"/>
                <w:color w:val="000000"/>
                <w:sz w:val="18"/>
              </w:rPr>
            </w:pPr>
            <w:r w:rsidRPr="00634E4C">
              <w:rPr>
                <w:rFonts w:asciiTheme="majorHAnsi" w:hAnsiTheme="majorHAnsi"/>
                <w:color w:val="000000"/>
                <w:sz w:val="18"/>
              </w:rPr>
              <w:t>3427</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EB38B3" w14:textId="77777777" w:rsidR="00920B68" w:rsidRPr="00634E4C" w:rsidRDefault="00920B68" w:rsidP="00920B68">
            <w:pPr>
              <w:spacing w:line="259" w:lineRule="auto"/>
              <w:ind w:right="28"/>
              <w:jc w:val="center"/>
              <w:rPr>
                <w:rFonts w:asciiTheme="majorHAnsi" w:hAnsiTheme="majorHAnsi"/>
                <w:color w:val="000000"/>
                <w:sz w:val="18"/>
              </w:rPr>
            </w:pPr>
            <w:r w:rsidRPr="00634E4C">
              <w:rPr>
                <w:rFonts w:asciiTheme="majorHAnsi" w:hAnsiTheme="majorHAnsi"/>
                <w:color w:val="000000"/>
                <w:sz w:val="18"/>
              </w:rPr>
              <w:t>1831</w:t>
            </w:r>
          </w:p>
        </w:tc>
      </w:tr>
      <w:tr w:rsidR="00920B68" w:rsidRPr="00364545" w14:paraId="1D934015" w14:textId="77777777" w:rsidTr="00920B68">
        <w:trPr>
          <w:trHeight w:val="347"/>
        </w:trPr>
        <w:tc>
          <w:tcPr>
            <w:tcW w:w="1405" w:type="dxa"/>
            <w:tcBorders>
              <w:top w:val="single" w:sz="2" w:space="0" w:color="000000"/>
              <w:left w:val="single" w:sz="2" w:space="0" w:color="000000"/>
              <w:bottom w:val="single" w:sz="2" w:space="0" w:color="000000"/>
              <w:right w:val="single" w:sz="2" w:space="0" w:color="000000"/>
            </w:tcBorders>
          </w:tcPr>
          <w:p w14:paraId="20D86B49" w14:textId="77777777" w:rsidR="00920B68" w:rsidRPr="00364545" w:rsidRDefault="00920B68" w:rsidP="00920B68">
            <w:pPr>
              <w:spacing w:line="259" w:lineRule="auto"/>
            </w:pPr>
            <w:r w:rsidRPr="00364545">
              <w:rPr>
                <w:sz w:val="18"/>
              </w:rPr>
              <w:t xml:space="preserve">Agriculture (excluding energy) </w:t>
            </w:r>
          </w:p>
        </w:tc>
        <w:tc>
          <w:tcPr>
            <w:tcW w:w="710" w:type="dxa"/>
            <w:tcBorders>
              <w:top w:val="single" w:sz="2" w:space="0" w:color="000000"/>
              <w:left w:val="single" w:sz="2" w:space="0" w:color="000000"/>
              <w:bottom w:val="single" w:sz="2" w:space="0" w:color="000000"/>
              <w:right w:val="single" w:sz="2" w:space="0" w:color="000000"/>
            </w:tcBorders>
            <w:vAlign w:val="center"/>
          </w:tcPr>
          <w:p w14:paraId="29988AF0"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5C16F499"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77B2827F"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16453814"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78850724"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226FF2E8"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3BC66774"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457B9752"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3168F7E3"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22FA83CD"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7F9F1C1F"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1606CA80"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r>
      <w:tr w:rsidR="00920B68" w:rsidRPr="00364545" w14:paraId="5F331884" w14:textId="77777777" w:rsidTr="00920B68">
        <w:trPr>
          <w:trHeight w:val="342"/>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350E2638" w14:textId="77777777" w:rsidR="00920B68" w:rsidRPr="00364545" w:rsidRDefault="00920B68" w:rsidP="00920B68">
            <w:pPr>
              <w:spacing w:line="259" w:lineRule="auto"/>
            </w:pPr>
            <w:r w:rsidRPr="00364545">
              <w:rPr>
                <w:sz w:val="18"/>
              </w:rPr>
              <w:t xml:space="preserve">LULUCF </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DCFBD8"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AB694F1"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7CA49D"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DC3E450"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F1AC3A1"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0CFC6EB"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0EC72A"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7FB6D06"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927185"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419DC34"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21650B"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2E5300"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r>
      <w:tr w:rsidR="00920B68" w:rsidRPr="00364545" w14:paraId="64C6D1C4" w14:textId="77777777" w:rsidTr="00920B68">
        <w:trPr>
          <w:trHeight w:val="347"/>
        </w:trPr>
        <w:tc>
          <w:tcPr>
            <w:tcW w:w="1405" w:type="dxa"/>
            <w:tcBorders>
              <w:top w:val="single" w:sz="2" w:space="0" w:color="000000"/>
              <w:left w:val="single" w:sz="2" w:space="0" w:color="000000"/>
              <w:bottom w:val="single" w:sz="2" w:space="0" w:color="000000"/>
              <w:right w:val="single" w:sz="2" w:space="0" w:color="000000"/>
            </w:tcBorders>
          </w:tcPr>
          <w:p w14:paraId="464060FC" w14:textId="77777777" w:rsidR="00920B68" w:rsidRPr="00364545" w:rsidRDefault="00920B68" w:rsidP="00920B68">
            <w:pPr>
              <w:spacing w:line="259" w:lineRule="auto"/>
            </w:pPr>
            <w:r w:rsidRPr="00364545">
              <w:rPr>
                <w:sz w:val="18"/>
              </w:rPr>
              <w:t xml:space="preserve">Waste </w:t>
            </w:r>
          </w:p>
        </w:tc>
        <w:tc>
          <w:tcPr>
            <w:tcW w:w="710" w:type="dxa"/>
            <w:tcBorders>
              <w:top w:val="single" w:sz="2" w:space="0" w:color="000000"/>
              <w:left w:val="single" w:sz="2" w:space="0" w:color="000000"/>
              <w:bottom w:val="single" w:sz="2" w:space="0" w:color="000000"/>
              <w:right w:val="single" w:sz="2" w:space="0" w:color="000000"/>
            </w:tcBorders>
            <w:vAlign w:val="center"/>
          </w:tcPr>
          <w:p w14:paraId="2ED58601"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5082A1C3"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3E84A808"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022F0DDB"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623340F4"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634FCBE6"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074E1FAF"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5B2229FB"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48B15EDF"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57915EF0" w14:textId="77777777" w:rsidR="00920B68" w:rsidRPr="00634E4C" w:rsidRDefault="00920B68" w:rsidP="00920B68">
            <w:pPr>
              <w:spacing w:line="259" w:lineRule="auto"/>
              <w:ind w:right="30"/>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7EF3F36D"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1" w:type="dxa"/>
            <w:tcBorders>
              <w:top w:val="single" w:sz="2" w:space="0" w:color="000000"/>
              <w:left w:val="single" w:sz="2" w:space="0" w:color="000000"/>
              <w:bottom w:val="single" w:sz="2" w:space="0" w:color="000000"/>
              <w:right w:val="single" w:sz="2" w:space="0" w:color="000000"/>
            </w:tcBorders>
            <w:vAlign w:val="center"/>
          </w:tcPr>
          <w:p w14:paraId="6FCE9F6B"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r>
      <w:tr w:rsidR="00920B68" w:rsidRPr="00364545" w14:paraId="5EED17FA"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3A6A3CD2" w14:textId="77777777" w:rsidR="00920B68" w:rsidRPr="00364545" w:rsidRDefault="00920B68" w:rsidP="00920B68">
            <w:pPr>
              <w:spacing w:line="259" w:lineRule="auto"/>
            </w:pPr>
            <w:r w:rsidRPr="00364545">
              <w:rPr>
                <w:b/>
                <w:sz w:val="18"/>
              </w:rPr>
              <w:t xml:space="preserve">Ensemble (hors UTCF) </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AC1E5B" w14:textId="77777777" w:rsidR="00920B68" w:rsidRPr="00634E4C" w:rsidRDefault="00920B68" w:rsidP="00920B68">
            <w:pPr>
              <w:spacing w:line="259" w:lineRule="auto"/>
              <w:ind w:right="28"/>
              <w:jc w:val="center"/>
              <w:rPr>
                <w:rFonts w:asciiTheme="majorHAnsi" w:hAnsiTheme="majorHAnsi"/>
                <w:b/>
                <w:sz w:val="18"/>
              </w:rPr>
            </w:pPr>
            <w:r w:rsidRPr="005D0955">
              <w:rPr>
                <w:rFonts w:asciiTheme="majorHAnsi" w:hAnsiTheme="majorHAnsi"/>
                <w:sz w:val="18"/>
                <w:szCs w:val="18"/>
              </w:rPr>
              <w:t>4402</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E154946"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1702</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A8CF75"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6736</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42B8ADB" w14:textId="77777777" w:rsidR="00920B68" w:rsidRPr="00634E4C" w:rsidRDefault="00920B68" w:rsidP="00920B68">
            <w:pPr>
              <w:spacing w:line="259" w:lineRule="auto"/>
              <w:ind w:right="28"/>
              <w:jc w:val="center"/>
              <w:rPr>
                <w:rFonts w:asciiTheme="majorHAnsi" w:hAnsiTheme="majorHAnsi"/>
                <w:b/>
                <w:sz w:val="18"/>
              </w:rPr>
            </w:pPr>
            <w:r w:rsidRPr="005D0955">
              <w:rPr>
                <w:rFonts w:asciiTheme="majorHAnsi" w:hAnsiTheme="majorHAnsi"/>
                <w:sz w:val="18"/>
                <w:szCs w:val="18"/>
              </w:rPr>
              <w:t>12862</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57AB4C0"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16930</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F74DE46" w14:textId="77777777" w:rsidR="00920B68" w:rsidRPr="00634E4C" w:rsidRDefault="00920B68" w:rsidP="00920B68">
            <w:pPr>
              <w:spacing w:line="259" w:lineRule="auto"/>
              <w:ind w:right="28"/>
              <w:jc w:val="center"/>
              <w:rPr>
                <w:rFonts w:asciiTheme="majorHAnsi" w:hAnsiTheme="majorHAnsi"/>
                <w:b/>
                <w:sz w:val="18"/>
              </w:rPr>
            </w:pPr>
            <w:r w:rsidRPr="005D0955">
              <w:rPr>
                <w:rFonts w:asciiTheme="majorHAnsi" w:hAnsiTheme="majorHAnsi"/>
                <w:sz w:val="18"/>
                <w:szCs w:val="18"/>
              </w:rPr>
              <w:t>17494</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8009EE"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12992</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809DBE2"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12721</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D454092" w14:textId="77777777" w:rsidR="00920B68" w:rsidRPr="00634E4C" w:rsidRDefault="00920B68" w:rsidP="00920B68">
            <w:pPr>
              <w:spacing w:line="259" w:lineRule="auto"/>
              <w:ind w:right="28"/>
              <w:jc w:val="center"/>
              <w:rPr>
                <w:rFonts w:asciiTheme="majorHAnsi" w:hAnsiTheme="majorHAnsi"/>
                <w:b/>
                <w:sz w:val="18"/>
              </w:rPr>
            </w:pPr>
            <w:r w:rsidRPr="00634E4C">
              <w:rPr>
                <w:rFonts w:asciiTheme="majorHAnsi" w:hAnsiTheme="majorHAnsi"/>
                <w:b/>
                <w:color w:val="000000"/>
                <w:sz w:val="18"/>
              </w:rPr>
              <w:t>7817</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4CB0838"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5053</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C070477"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3427</w:t>
            </w:r>
          </w:p>
        </w:tc>
        <w:tc>
          <w:tcPr>
            <w:tcW w:w="71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44324F1"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1831</w:t>
            </w:r>
          </w:p>
        </w:tc>
      </w:tr>
      <w:tr w:rsidR="00920B68" w:rsidRPr="00364545" w14:paraId="1056719A" w14:textId="77777777" w:rsidTr="00920B68">
        <w:trPr>
          <w:trHeight w:val="346"/>
        </w:trPr>
        <w:tc>
          <w:tcPr>
            <w:tcW w:w="1405" w:type="dxa"/>
            <w:tcBorders>
              <w:top w:val="single" w:sz="2" w:space="0" w:color="000000"/>
              <w:left w:val="single" w:sz="2" w:space="0" w:color="000000"/>
              <w:bottom w:val="single" w:sz="2" w:space="0" w:color="000000"/>
              <w:right w:val="single" w:sz="2" w:space="0" w:color="000000"/>
            </w:tcBorders>
          </w:tcPr>
          <w:p w14:paraId="48BDB746" w14:textId="77777777" w:rsidR="00920B68" w:rsidRPr="00364545" w:rsidRDefault="00920B68" w:rsidP="00920B68">
            <w:pPr>
              <w:spacing w:line="259" w:lineRule="auto"/>
            </w:pPr>
            <w:r w:rsidRPr="00364545">
              <w:rPr>
                <w:b/>
                <w:sz w:val="18"/>
              </w:rPr>
              <w:t xml:space="preserve">Ensemble (avec UTCF) </w:t>
            </w:r>
          </w:p>
        </w:tc>
        <w:tc>
          <w:tcPr>
            <w:tcW w:w="710" w:type="dxa"/>
            <w:tcBorders>
              <w:top w:val="single" w:sz="2" w:space="0" w:color="000000"/>
              <w:left w:val="single" w:sz="2" w:space="0" w:color="000000"/>
              <w:bottom w:val="single" w:sz="2" w:space="0" w:color="000000"/>
              <w:right w:val="single" w:sz="2" w:space="0" w:color="000000"/>
            </w:tcBorders>
            <w:vAlign w:val="center"/>
          </w:tcPr>
          <w:p w14:paraId="312CD006" w14:textId="77777777" w:rsidR="00920B68" w:rsidRPr="00634E4C" w:rsidRDefault="00920B68" w:rsidP="00920B68">
            <w:pPr>
              <w:spacing w:line="259" w:lineRule="auto"/>
              <w:ind w:right="28"/>
              <w:jc w:val="center"/>
              <w:rPr>
                <w:rFonts w:asciiTheme="majorHAnsi" w:hAnsiTheme="majorHAnsi"/>
                <w:b/>
                <w:sz w:val="18"/>
              </w:rPr>
            </w:pPr>
            <w:r w:rsidRPr="005D0955">
              <w:rPr>
                <w:rFonts w:asciiTheme="majorHAnsi" w:hAnsiTheme="majorHAnsi"/>
                <w:sz w:val="18"/>
                <w:szCs w:val="18"/>
              </w:rPr>
              <w:t>4402</w:t>
            </w:r>
          </w:p>
        </w:tc>
        <w:tc>
          <w:tcPr>
            <w:tcW w:w="711" w:type="dxa"/>
            <w:tcBorders>
              <w:top w:val="single" w:sz="2" w:space="0" w:color="000000"/>
              <w:left w:val="single" w:sz="2" w:space="0" w:color="000000"/>
              <w:bottom w:val="single" w:sz="2" w:space="0" w:color="000000"/>
              <w:right w:val="single" w:sz="2" w:space="0" w:color="000000"/>
            </w:tcBorders>
            <w:vAlign w:val="center"/>
          </w:tcPr>
          <w:p w14:paraId="1F35369F"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1702</w:t>
            </w:r>
          </w:p>
        </w:tc>
        <w:tc>
          <w:tcPr>
            <w:tcW w:w="711" w:type="dxa"/>
            <w:tcBorders>
              <w:top w:val="single" w:sz="2" w:space="0" w:color="000000"/>
              <w:left w:val="single" w:sz="2" w:space="0" w:color="000000"/>
              <w:bottom w:val="single" w:sz="2" w:space="0" w:color="000000"/>
              <w:right w:val="single" w:sz="2" w:space="0" w:color="000000"/>
            </w:tcBorders>
            <w:vAlign w:val="center"/>
          </w:tcPr>
          <w:p w14:paraId="577D2D54"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6736</w:t>
            </w:r>
          </w:p>
        </w:tc>
        <w:tc>
          <w:tcPr>
            <w:tcW w:w="711" w:type="dxa"/>
            <w:tcBorders>
              <w:top w:val="single" w:sz="2" w:space="0" w:color="000000"/>
              <w:left w:val="single" w:sz="2" w:space="0" w:color="000000"/>
              <w:bottom w:val="single" w:sz="2" w:space="0" w:color="000000"/>
              <w:right w:val="single" w:sz="2" w:space="0" w:color="000000"/>
            </w:tcBorders>
            <w:vAlign w:val="center"/>
          </w:tcPr>
          <w:p w14:paraId="7840D8DD" w14:textId="77777777" w:rsidR="00920B68" w:rsidRPr="00634E4C" w:rsidRDefault="00920B68" w:rsidP="00920B68">
            <w:pPr>
              <w:spacing w:line="259" w:lineRule="auto"/>
              <w:ind w:right="28"/>
              <w:jc w:val="center"/>
              <w:rPr>
                <w:rFonts w:asciiTheme="majorHAnsi" w:hAnsiTheme="majorHAnsi"/>
                <w:b/>
                <w:sz w:val="18"/>
              </w:rPr>
            </w:pPr>
            <w:r w:rsidRPr="005D0955">
              <w:rPr>
                <w:rFonts w:asciiTheme="majorHAnsi" w:hAnsiTheme="majorHAnsi"/>
                <w:sz w:val="18"/>
                <w:szCs w:val="18"/>
              </w:rPr>
              <w:t>12862</w:t>
            </w:r>
          </w:p>
        </w:tc>
        <w:tc>
          <w:tcPr>
            <w:tcW w:w="710" w:type="dxa"/>
            <w:tcBorders>
              <w:top w:val="single" w:sz="2" w:space="0" w:color="000000"/>
              <w:left w:val="single" w:sz="2" w:space="0" w:color="000000"/>
              <w:bottom w:val="single" w:sz="2" w:space="0" w:color="000000"/>
              <w:right w:val="single" w:sz="2" w:space="0" w:color="000000"/>
            </w:tcBorders>
            <w:vAlign w:val="center"/>
          </w:tcPr>
          <w:p w14:paraId="6ACC7EF5"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16930</w:t>
            </w:r>
          </w:p>
        </w:tc>
        <w:tc>
          <w:tcPr>
            <w:tcW w:w="711" w:type="dxa"/>
            <w:tcBorders>
              <w:top w:val="single" w:sz="2" w:space="0" w:color="000000"/>
              <w:left w:val="single" w:sz="2" w:space="0" w:color="000000"/>
              <w:bottom w:val="single" w:sz="2" w:space="0" w:color="000000"/>
              <w:right w:val="single" w:sz="2" w:space="0" w:color="000000"/>
            </w:tcBorders>
            <w:vAlign w:val="center"/>
          </w:tcPr>
          <w:p w14:paraId="422F73C4" w14:textId="77777777" w:rsidR="00920B68" w:rsidRPr="00634E4C" w:rsidRDefault="00920B68" w:rsidP="00920B68">
            <w:pPr>
              <w:spacing w:line="259" w:lineRule="auto"/>
              <w:ind w:right="28"/>
              <w:jc w:val="center"/>
              <w:rPr>
                <w:rFonts w:asciiTheme="majorHAnsi" w:hAnsiTheme="majorHAnsi"/>
                <w:b/>
                <w:sz w:val="18"/>
              </w:rPr>
            </w:pPr>
            <w:r w:rsidRPr="005D0955">
              <w:rPr>
                <w:rFonts w:asciiTheme="majorHAnsi" w:hAnsiTheme="majorHAnsi"/>
                <w:sz w:val="18"/>
                <w:szCs w:val="18"/>
              </w:rPr>
              <w:t>17494</w:t>
            </w:r>
          </w:p>
        </w:tc>
        <w:tc>
          <w:tcPr>
            <w:tcW w:w="711" w:type="dxa"/>
            <w:tcBorders>
              <w:top w:val="single" w:sz="2" w:space="0" w:color="000000"/>
              <w:left w:val="single" w:sz="2" w:space="0" w:color="000000"/>
              <w:bottom w:val="single" w:sz="2" w:space="0" w:color="000000"/>
              <w:right w:val="single" w:sz="2" w:space="0" w:color="000000"/>
            </w:tcBorders>
            <w:vAlign w:val="center"/>
          </w:tcPr>
          <w:p w14:paraId="3178FC4C" w14:textId="77777777" w:rsidR="00920B68" w:rsidRPr="00634E4C" w:rsidRDefault="00920B68" w:rsidP="00920B68">
            <w:pPr>
              <w:spacing w:line="259" w:lineRule="auto"/>
              <w:ind w:right="27"/>
              <w:jc w:val="center"/>
              <w:rPr>
                <w:rFonts w:asciiTheme="majorHAnsi" w:hAnsiTheme="majorHAnsi"/>
                <w:b/>
                <w:sz w:val="18"/>
              </w:rPr>
            </w:pPr>
            <w:r w:rsidRPr="005D0955">
              <w:rPr>
                <w:rFonts w:asciiTheme="majorHAnsi" w:hAnsiTheme="majorHAnsi"/>
                <w:sz w:val="18"/>
                <w:szCs w:val="18"/>
              </w:rPr>
              <w:t>12992</w:t>
            </w:r>
          </w:p>
        </w:tc>
        <w:tc>
          <w:tcPr>
            <w:tcW w:w="711" w:type="dxa"/>
            <w:tcBorders>
              <w:top w:val="single" w:sz="2" w:space="0" w:color="000000"/>
              <w:left w:val="single" w:sz="2" w:space="0" w:color="000000"/>
              <w:bottom w:val="single" w:sz="2" w:space="0" w:color="000000"/>
              <w:right w:val="single" w:sz="2" w:space="0" w:color="000000"/>
            </w:tcBorders>
            <w:vAlign w:val="center"/>
          </w:tcPr>
          <w:p w14:paraId="0973BE23"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12721</w:t>
            </w:r>
          </w:p>
        </w:tc>
        <w:tc>
          <w:tcPr>
            <w:tcW w:w="710" w:type="dxa"/>
            <w:tcBorders>
              <w:top w:val="single" w:sz="2" w:space="0" w:color="000000"/>
              <w:left w:val="single" w:sz="2" w:space="0" w:color="000000"/>
              <w:bottom w:val="single" w:sz="2" w:space="0" w:color="000000"/>
              <w:right w:val="single" w:sz="2" w:space="0" w:color="000000"/>
            </w:tcBorders>
            <w:vAlign w:val="center"/>
          </w:tcPr>
          <w:p w14:paraId="385205FA" w14:textId="77777777" w:rsidR="00920B68" w:rsidRPr="00634E4C" w:rsidRDefault="00920B68" w:rsidP="00920B68">
            <w:pPr>
              <w:spacing w:line="259" w:lineRule="auto"/>
              <w:ind w:right="28"/>
              <w:jc w:val="center"/>
              <w:rPr>
                <w:rFonts w:asciiTheme="majorHAnsi" w:hAnsiTheme="majorHAnsi"/>
                <w:b/>
                <w:sz w:val="18"/>
              </w:rPr>
            </w:pPr>
            <w:r w:rsidRPr="00634E4C">
              <w:rPr>
                <w:rFonts w:asciiTheme="majorHAnsi" w:hAnsiTheme="majorHAnsi"/>
                <w:b/>
                <w:color w:val="000000"/>
                <w:sz w:val="18"/>
              </w:rPr>
              <w:t>7817</w:t>
            </w:r>
          </w:p>
        </w:tc>
        <w:tc>
          <w:tcPr>
            <w:tcW w:w="711" w:type="dxa"/>
            <w:tcBorders>
              <w:top w:val="single" w:sz="2" w:space="0" w:color="000000"/>
              <w:left w:val="single" w:sz="2" w:space="0" w:color="000000"/>
              <w:bottom w:val="single" w:sz="2" w:space="0" w:color="000000"/>
              <w:right w:val="single" w:sz="2" w:space="0" w:color="000000"/>
            </w:tcBorders>
            <w:vAlign w:val="center"/>
          </w:tcPr>
          <w:p w14:paraId="3DBC29AD"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5053</w:t>
            </w:r>
          </w:p>
        </w:tc>
        <w:tc>
          <w:tcPr>
            <w:tcW w:w="711" w:type="dxa"/>
            <w:tcBorders>
              <w:top w:val="single" w:sz="2" w:space="0" w:color="000000"/>
              <w:left w:val="single" w:sz="2" w:space="0" w:color="000000"/>
              <w:bottom w:val="single" w:sz="2" w:space="0" w:color="000000"/>
              <w:right w:val="single" w:sz="2" w:space="0" w:color="000000"/>
            </w:tcBorders>
            <w:vAlign w:val="center"/>
          </w:tcPr>
          <w:p w14:paraId="7697B43A"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3427</w:t>
            </w:r>
          </w:p>
        </w:tc>
        <w:tc>
          <w:tcPr>
            <w:tcW w:w="711" w:type="dxa"/>
            <w:tcBorders>
              <w:top w:val="single" w:sz="2" w:space="0" w:color="000000"/>
              <w:left w:val="single" w:sz="2" w:space="0" w:color="000000"/>
              <w:bottom w:val="single" w:sz="2" w:space="0" w:color="000000"/>
              <w:right w:val="single" w:sz="2" w:space="0" w:color="000000"/>
            </w:tcBorders>
            <w:vAlign w:val="center"/>
          </w:tcPr>
          <w:p w14:paraId="34EA01DE" w14:textId="77777777" w:rsidR="00920B68" w:rsidRPr="00634E4C" w:rsidRDefault="00920B68" w:rsidP="00920B68">
            <w:pPr>
              <w:spacing w:line="259" w:lineRule="auto"/>
              <w:ind w:right="27"/>
              <w:jc w:val="center"/>
              <w:rPr>
                <w:rFonts w:asciiTheme="majorHAnsi" w:hAnsiTheme="majorHAnsi"/>
                <w:b/>
                <w:sz w:val="18"/>
              </w:rPr>
            </w:pPr>
            <w:r w:rsidRPr="00634E4C">
              <w:rPr>
                <w:rFonts w:asciiTheme="majorHAnsi" w:hAnsiTheme="majorHAnsi"/>
                <w:b/>
                <w:color w:val="000000"/>
                <w:sz w:val="18"/>
              </w:rPr>
              <w:t>1831</w:t>
            </w:r>
          </w:p>
        </w:tc>
      </w:tr>
    </w:tbl>
    <w:p w14:paraId="5F50CD27" w14:textId="77777777" w:rsidR="00920B68" w:rsidRPr="00364545" w:rsidRDefault="00920B68" w:rsidP="00920B68">
      <w:pPr>
        <w:pStyle w:val="Caption"/>
      </w:pPr>
      <w:r w:rsidRPr="00364545">
        <w:t>Table</w:t>
      </w:r>
      <w:fldSimple w:instr=" SEQ Tableau \* ARABIC ">
        <w:r w:rsidRPr="00364545">
          <w:rPr>
            <w:noProof/>
          </w:rPr>
          <w:t>22</w:t>
        </w:r>
      </w:fldSimple>
      <w:r w:rsidRPr="00364545">
        <w:t>: HFC emissions projections (in ktCO</w:t>
      </w:r>
      <w:r w:rsidRPr="00364545">
        <w:rPr>
          <w:vertAlign w:val="subscript"/>
        </w:rPr>
        <w:t>2e</w:t>
      </w:r>
      <w:r w:rsidRPr="00364545">
        <w:t>) in the Kyoto scope in the AME scenario (with existing measures)</w:t>
      </w:r>
    </w:p>
    <w:p w14:paraId="39DB3174" w14:textId="77777777" w:rsidR="00920B68" w:rsidRPr="00364545" w:rsidRDefault="00920B68" w:rsidP="00920B68">
      <w:pPr>
        <w:pStyle w:val="Caption"/>
      </w:pPr>
      <w:r w:rsidRPr="00364545">
        <w:t>Source: UNFCCC inv</w:t>
      </w:r>
      <w:r>
        <w:t>entory, Citepa/MTE, 2022</w:t>
      </w:r>
      <w:r w:rsidRPr="00364545">
        <w:t xml:space="preserve"> submission and MTE emission projections, 2021</w:t>
      </w:r>
    </w:p>
    <w:p w14:paraId="2904F247" w14:textId="77777777" w:rsidR="00920B68" w:rsidRPr="00364545" w:rsidRDefault="00920B68" w:rsidP="00920B68"/>
    <w:tbl>
      <w:tblPr>
        <w:tblStyle w:val="TableGrid0"/>
        <w:tblW w:w="9934" w:type="dxa"/>
        <w:tblInd w:w="10" w:type="dxa"/>
        <w:tblCellMar>
          <w:top w:w="39" w:type="dxa"/>
          <w:left w:w="28" w:type="dxa"/>
          <w:bottom w:w="2" w:type="dxa"/>
          <w:right w:w="48" w:type="dxa"/>
        </w:tblCellMar>
        <w:tblLook w:val="04A0" w:firstRow="1" w:lastRow="0" w:firstColumn="1" w:lastColumn="0" w:noHBand="0" w:noVBand="1"/>
      </w:tblPr>
      <w:tblGrid>
        <w:gridCol w:w="1510"/>
        <w:gridCol w:w="765"/>
        <w:gridCol w:w="792"/>
        <w:gridCol w:w="792"/>
        <w:gridCol w:w="762"/>
        <w:gridCol w:w="685"/>
        <w:gridCol w:w="683"/>
        <w:gridCol w:w="675"/>
        <w:gridCol w:w="691"/>
        <w:gridCol w:w="658"/>
        <w:gridCol w:w="660"/>
        <w:gridCol w:w="659"/>
        <w:gridCol w:w="602"/>
      </w:tblGrid>
      <w:tr w:rsidR="00920B68" w:rsidRPr="00364545" w14:paraId="6CC9AE89" w14:textId="77777777" w:rsidTr="00920B68">
        <w:trPr>
          <w:trHeight w:val="402"/>
        </w:trPr>
        <w:tc>
          <w:tcPr>
            <w:tcW w:w="1510" w:type="dxa"/>
            <w:tcBorders>
              <w:top w:val="single" w:sz="2" w:space="0" w:color="000000"/>
              <w:left w:val="single" w:sz="2" w:space="0" w:color="000000"/>
              <w:bottom w:val="single" w:sz="2" w:space="0" w:color="000000"/>
              <w:right w:val="single" w:sz="2" w:space="0" w:color="000000"/>
            </w:tcBorders>
            <w:shd w:val="clear" w:color="auto" w:fill="6D2A78"/>
          </w:tcPr>
          <w:p w14:paraId="3DCF5E0B" w14:textId="77777777" w:rsidR="00920B68" w:rsidRPr="00364545" w:rsidRDefault="00920B68" w:rsidP="00920B68">
            <w:pPr>
              <w:spacing w:line="259" w:lineRule="auto"/>
            </w:pPr>
            <w:r w:rsidRPr="00364545">
              <w:t>AME 21 - PFC</w:t>
            </w:r>
          </w:p>
        </w:tc>
        <w:tc>
          <w:tcPr>
            <w:tcW w:w="765" w:type="dxa"/>
            <w:tcBorders>
              <w:top w:val="single" w:sz="2" w:space="0" w:color="000000"/>
              <w:left w:val="single" w:sz="2" w:space="0" w:color="000000"/>
              <w:bottom w:val="single" w:sz="2" w:space="0" w:color="000000"/>
              <w:right w:val="single" w:sz="2" w:space="0" w:color="000000"/>
            </w:tcBorders>
            <w:shd w:val="clear" w:color="auto" w:fill="6D2A78"/>
          </w:tcPr>
          <w:p w14:paraId="57579413" w14:textId="77777777" w:rsidR="00920B68" w:rsidRPr="00364545" w:rsidRDefault="00920B68" w:rsidP="00920B68">
            <w:pPr>
              <w:spacing w:line="259" w:lineRule="auto"/>
              <w:ind w:left="19"/>
              <w:jc w:val="center"/>
            </w:pPr>
            <w:r w:rsidRPr="00364545">
              <w:rPr>
                <w:b/>
                <w:color w:val="FFFFFF"/>
                <w:sz w:val="18"/>
              </w:rPr>
              <w:t xml:space="preserve">1990 </w:t>
            </w:r>
          </w:p>
        </w:tc>
        <w:tc>
          <w:tcPr>
            <w:tcW w:w="792" w:type="dxa"/>
            <w:tcBorders>
              <w:top w:val="single" w:sz="2" w:space="0" w:color="000000"/>
              <w:left w:val="single" w:sz="2" w:space="0" w:color="000000"/>
              <w:bottom w:val="single" w:sz="2" w:space="0" w:color="000000"/>
              <w:right w:val="single" w:sz="2" w:space="0" w:color="000000"/>
            </w:tcBorders>
            <w:shd w:val="clear" w:color="auto" w:fill="6D2A78"/>
          </w:tcPr>
          <w:p w14:paraId="55D89310"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92" w:type="dxa"/>
            <w:tcBorders>
              <w:top w:val="single" w:sz="2" w:space="0" w:color="000000"/>
              <w:left w:val="single" w:sz="2" w:space="0" w:color="000000"/>
              <w:bottom w:val="single" w:sz="2" w:space="0" w:color="000000"/>
              <w:right w:val="single" w:sz="2" w:space="0" w:color="000000"/>
            </w:tcBorders>
            <w:shd w:val="clear" w:color="auto" w:fill="6D2A78"/>
          </w:tcPr>
          <w:p w14:paraId="708EB7CF" w14:textId="77777777" w:rsidR="00920B68" w:rsidRPr="00364545" w:rsidRDefault="00920B68" w:rsidP="00920B68">
            <w:pPr>
              <w:spacing w:line="259" w:lineRule="auto"/>
              <w:ind w:left="21"/>
              <w:jc w:val="center"/>
            </w:pPr>
            <w:r w:rsidRPr="00364545">
              <w:rPr>
                <w:b/>
                <w:color w:val="FFFFFF"/>
                <w:sz w:val="18"/>
              </w:rPr>
              <w:t xml:space="preserve">2000 </w:t>
            </w:r>
          </w:p>
        </w:tc>
        <w:tc>
          <w:tcPr>
            <w:tcW w:w="762" w:type="dxa"/>
            <w:tcBorders>
              <w:top w:val="single" w:sz="2" w:space="0" w:color="000000"/>
              <w:left w:val="single" w:sz="2" w:space="0" w:color="000000"/>
              <w:bottom w:val="single" w:sz="2" w:space="0" w:color="000000"/>
              <w:right w:val="single" w:sz="2" w:space="0" w:color="000000"/>
            </w:tcBorders>
            <w:shd w:val="clear" w:color="auto" w:fill="6D2A78"/>
          </w:tcPr>
          <w:p w14:paraId="2E2E68BA" w14:textId="77777777" w:rsidR="00920B68" w:rsidRPr="00364545" w:rsidRDefault="00920B68" w:rsidP="00920B68">
            <w:pPr>
              <w:spacing w:line="259" w:lineRule="auto"/>
              <w:ind w:left="19"/>
              <w:jc w:val="center"/>
            </w:pPr>
            <w:r w:rsidRPr="00364545">
              <w:rPr>
                <w:b/>
                <w:color w:val="FFFFFF"/>
                <w:sz w:val="18"/>
              </w:rPr>
              <w:t xml:space="preserve">2005 </w:t>
            </w:r>
          </w:p>
        </w:tc>
        <w:tc>
          <w:tcPr>
            <w:tcW w:w="685" w:type="dxa"/>
            <w:tcBorders>
              <w:top w:val="single" w:sz="2" w:space="0" w:color="000000"/>
              <w:left w:val="single" w:sz="2" w:space="0" w:color="000000"/>
              <w:bottom w:val="single" w:sz="2" w:space="0" w:color="000000"/>
              <w:right w:val="single" w:sz="2" w:space="0" w:color="000000"/>
            </w:tcBorders>
            <w:shd w:val="clear" w:color="auto" w:fill="6D2A78"/>
          </w:tcPr>
          <w:p w14:paraId="45746A08" w14:textId="77777777" w:rsidR="00920B68" w:rsidRPr="00364545" w:rsidRDefault="00920B68" w:rsidP="00920B68">
            <w:pPr>
              <w:spacing w:line="259" w:lineRule="auto"/>
              <w:ind w:left="21"/>
              <w:jc w:val="center"/>
            </w:pPr>
            <w:r w:rsidRPr="00364545">
              <w:rPr>
                <w:b/>
                <w:color w:val="FFFFFF"/>
                <w:sz w:val="18"/>
              </w:rPr>
              <w:t xml:space="preserve">2010 </w:t>
            </w:r>
          </w:p>
        </w:tc>
        <w:tc>
          <w:tcPr>
            <w:tcW w:w="683" w:type="dxa"/>
            <w:tcBorders>
              <w:top w:val="single" w:sz="2" w:space="0" w:color="000000"/>
              <w:left w:val="single" w:sz="2" w:space="0" w:color="000000"/>
              <w:bottom w:val="single" w:sz="2" w:space="0" w:color="000000"/>
              <w:right w:val="single" w:sz="2" w:space="0" w:color="000000"/>
            </w:tcBorders>
            <w:shd w:val="clear" w:color="auto" w:fill="6D2A78"/>
          </w:tcPr>
          <w:p w14:paraId="1E14932B" w14:textId="77777777" w:rsidR="00920B68" w:rsidRPr="00364545" w:rsidRDefault="00920B68" w:rsidP="00920B68">
            <w:pPr>
              <w:spacing w:line="259" w:lineRule="auto"/>
              <w:ind w:left="19"/>
              <w:jc w:val="center"/>
            </w:pPr>
            <w:r w:rsidRPr="00364545">
              <w:rPr>
                <w:b/>
                <w:color w:val="FFFFFF"/>
                <w:sz w:val="18"/>
              </w:rPr>
              <w:t xml:space="preserve">2015 </w:t>
            </w:r>
          </w:p>
        </w:tc>
        <w:tc>
          <w:tcPr>
            <w:tcW w:w="675" w:type="dxa"/>
            <w:tcBorders>
              <w:top w:val="single" w:sz="2" w:space="0" w:color="000000"/>
              <w:left w:val="single" w:sz="2" w:space="0" w:color="000000"/>
              <w:bottom w:val="single" w:sz="2" w:space="0" w:color="000000"/>
              <w:right w:val="single" w:sz="2" w:space="0" w:color="000000"/>
            </w:tcBorders>
            <w:shd w:val="clear" w:color="auto" w:fill="6D2A78"/>
          </w:tcPr>
          <w:p w14:paraId="165E9F6E" w14:textId="77777777" w:rsidR="00920B68" w:rsidRPr="00364545" w:rsidRDefault="00920B68" w:rsidP="00920B68">
            <w:pPr>
              <w:spacing w:line="259" w:lineRule="auto"/>
              <w:ind w:left="21"/>
              <w:jc w:val="center"/>
              <w:rPr>
                <w:b/>
                <w:color w:val="FFFFFF"/>
                <w:sz w:val="18"/>
              </w:rPr>
            </w:pPr>
            <w:r w:rsidRPr="00364545">
              <w:rPr>
                <w:b/>
                <w:color w:val="FFFFFF"/>
                <w:sz w:val="18"/>
              </w:rPr>
              <w:t>2019</w:t>
            </w:r>
          </w:p>
        </w:tc>
        <w:tc>
          <w:tcPr>
            <w:tcW w:w="691" w:type="dxa"/>
            <w:tcBorders>
              <w:top w:val="single" w:sz="2" w:space="0" w:color="000000"/>
              <w:left w:val="single" w:sz="2" w:space="0" w:color="000000"/>
              <w:bottom w:val="single" w:sz="2" w:space="0" w:color="000000"/>
              <w:right w:val="single" w:sz="2" w:space="0" w:color="000000"/>
            </w:tcBorders>
            <w:shd w:val="clear" w:color="auto" w:fill="6D2A78"/>
          </w:tcPr>
          <w:p w14:paraId="47170B63" w14:textId="77777777" w:rsidR="00920B68" w:rsidRPr="00364545" w:rsidRDefault="00920B68" w:rsidP="00920B68">
            <w:pPr>
              <w:spacing w:line="259" w:lineRule="auto"/>
              <w:ind w:left="21"/>
              <w:jc w:val="center"/>
            </w:pPr>
            <w:r w:rsidRPr="00364545">
              <w:rPr>
                <w:b/>
                <w:color w:val="FFFFFF"/>
                <w:sz w:val="18"/>
              </w:rPr>
              <w:t xml:space="preserve">2020 </w:t>
            </w:r>
          </w:p>
        </w:tc>
        <w:tc>
          <w:tcPr>
            <w:tcW w:w="658" w:type="dxa"/>
            <w:tcBorders>
              <w:top w:val="single" w:sz="2" w:space="0" w:color="000000"/>
              <w:left w:val="single" w:sz="2" w:space="0" w:color="000000"/>
              <w:bottom w:val="single" w:sz="2" w:space="0" w:color="000000"/>
              <w:right w:val="single" w:sz="2" w:space="0" w:color="000000"/>
            </w:tcBorders>
            <w:shd w:val="clear" w:color="auto" w:fill="6D2A78"/>
          </w:tcPr>
          <w:p w14:paraId="5A1CB94B" w14:textId="77777777" w:rsidR="00920B68" w:rsidRPr="00364545" w:rsidRDefault="00920B68" w:rsidP="00920B68">
            <w:pPr>
              <w:spacing w:line="259" w:lineRule="auto"/>
              <w:ind w:left="19"/>
              <w:jc w:val="center"/>
            </w:pPr>
            <w:r w:rsidRPr="00364545">
              <w:rPr>
                <w:b/>
                <w:color w:val="FFFFFF"/>
                <w:sz w:val="18"/>
              </w:rPr>
              <w:t xml:space="preserve">2025 </w:t>
            </w:r>
          </w:p>
        </w:tc>
        <w:tc>
          <w:tcPr>
            <w:tcW w:w="660" w:type="dxa"/>
            <w:tcBorders>
              <w:top w:val="single" w:sz="2" w:space="0" w:color="000000"/>
              <w:left w:val="single" w:sz="2" w:space="0" w:color="000000"/>
              <w:bottom w:val="single" w:sz="2" w:space="0" w:color="000000"/>
              <w:right w:val="single" w:sz="2" w:space="0" w:color="000000"/>
            </w:tcBorders>
            <w:shd w:val="clear" w:color="auto" w:fill="6D2A78"/>
          </w:tcPr>
          <w:p w14:paraId="1AFD5468" w14:textId="77777777" w:rsidR="00920B68" w:rsidRPr="00364545" w:rsidRDefault="00920B68" w:rsidP="00920B68">
            <w:pPr>
              <w:spacing w:line="259" w:lineRule="auto"/>
              <w:ind w:left="21"/>
              <w:jc w:val="center"/>
            </w:pPr>
            <w:r w:rsidRPr="00364545">
              <w:rPr>
                <w:b/>
                <w:color w:val="FFFFFF"/>
                <w:sz w:val="18"/>
              </w:rPr>
              <w:t xml:space="preserve">2030 </w:t>
            </w:r>
          </w:p>
        </w:tc>
        <w:tc>
          <w:tcPr>
            <w:tcW w:w="659" w:type="dxa"/>
            <w:tcBorders>
              <w:top w:val="single" w:sz="2" w:space="0" w:color="000000"/>
              <w:left w:val="single" w:sz="2" w:space="0" w:color="000000"/>
              <w:bottom w:val="single" w:sz="2" w:space="0" w:color="000000"/>
              <w:right w:val="single" w:sz="2" w:space="0" w:color="000000"/>
            </w:tcBorders>
            <w:shd w:val="clear" w:color="auto" w:fill="6D2A78"/>
          </w:tcPr>
          <w:p w14:paraId="039BCB50" w14:textId="77777777" w:rsidR="00920B68" w:rsidRPr="00364545" w:rsidRDefault="00920B68" w:rsidP="00920B68">
            <w:pPr>
              <w:spacing w:line="259" w:lineRule="auto"/>
              <w:ind w:left="20"/>
              <w:jc w:val="center"/>
            </w:pPr>
            <w:r w:rsidRPr="00364545">
              <w:rPr>
                <w:b/>
                <w:color w:val="FFFFFF"/>
                <w:sz w:val="18"/>
              </w:rPr>
              <w:t xml:space="preserve">2035 </w:t>
            </w:r>
          </w:p>
        </w:tc>
        <w:tc>
          <w:tcPr>
            <w:tcW w:w="602" w:type="dxa"/>
            <w:tcBorders>
              <w:top w:val="single" w:sz="2" w:space="0" w:color="000000"/>
              <w:left w:val="single" w:sz="2" w:space="0" w:color="000000"/>
              <w:bottom w:val="single" w:sz="2" w:space="0" w:color="000000"/>
              <w:right w:val="single" w:sz="2" w:space="0" w:color="000000"/>
            </w:tcBorders>
            <w:shd w:val="clear" w:color="auto" w:fill="6D2A78"/>
          </w:tcPr>
          <w:p w14:paraId="0AD37204"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046CF37C" w14:textId="77777777" w:rsidTr="00920B68">
        <w:trPr>
          <w:trHeight w:val="344"/>
        </w:trPr>
        <w:tc>
          <w:tcPr>
            <w:tcW w:w="1510" w:type="dxa"/>
            <w:tcBorders>
              <w:top w:val="single" w:sz="2" w:space="0" w:color="000000"/>
              <w:left w:val="single" w:sz="2" w:space="0" w:color="000000"/>
              <w:bottom w:val="single" w:sz="2" w:space="0" w:color="000000"/>
              <w:right w:val="single" w:sz="2" w:space="0" w:color="000000"/>
            </w:tcBorders>
          </w:tcPr>
          <w:p w14:paraId="1039A89F" w14:textId="77777777" w:rsidR="00920B68" w:rsidRPr="00364545" w:rsidRDefault="00920B68" w:rsidP="00920B68">
            <w:pPr>
              <w:spacing w:line="259" w:lineRule="auto"/>
            </w:pPr>
            <w:r w:rsidRPr="00364545">
              <w:rPr>
                <w:sz w:val="18"/>
              </w:rPr>
              <w:t xml:space="preserve">Energy </w:t>
            </w:r>
          </w:p>
        </w:tc>
        <w:tc>
          <w:tcPr>
            <w:tcW w:w="765" w:type="dxa"/>
            <w:tcBorders>
              <w:top w:val="single" w:sz="2" w:space="0" w:color="000000"/>
              <w:left w:val="single" w:sz="2" w:space="0" w:color="000000"/>
              <w:bottom w:val="single" w:sz="2" w:space="0" w:color="000000"/>
              <w:right w:val="single" w:sz="2" w:space="0" w:color="000000"/>
            </w:tcBorders>
            <w:vAlign w:val="center"/>
          </w:tcPr>
          <w:p w14:paraId="0F069024"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09D46749"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348B0375"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54107239"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85" w:type="dxa"/>
            <w:tcBorders>
              <w:top w:val="single" w:sz="2" w:space="0" w:color="000000"/>
              <w:left w:val="single" w:sz="2" w:space="0" w:color="000000"/>
              <w:bottom w:val="single" w:sz="2" w:space="0" w:color="000000"/>
              <w:right w:val="single" w:sz="2" w:space="0" w:color="000000"/>
            </w:tcBorders>
            <w:vAlign w:val="center"/>
          </w:tcPr>
          <w:p w14:paraId="15FAE2EE"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83" w:type="dxa"/>
            <w:tcBorders>
              <w:top w:val="single" w:sz="2" w:space="0" w:color="000000"/>
              <w:left w:val="single" w:sz="2" w:space="0" w:color="000000"/>
              <w:bottom w:val="single" w:sz="2" w:space="0" w:color="000000"/>
              <w:right w:val="single" w:sz="2" w:space="0" w:color="000000"/>
            </w:tcBorders>
            <w:vAlign w:val="center"/>
          </w:tcPr>
          <w:p w14:paraId="54E07F5B"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4382970E"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91" w:type="dxa"/>
            <w:tcBorders>
              <w:top w:val="single" w:sz="2" w:space="0" w:color="000000"/>
              <w:left w:val="single" w:sz="2" w:space="0" w:color="000000"/>
              <w:bottom w:val="single" w:sz="2" w:space="0" w:color="000000"/>
              <w:right w:val="single" w:sz="2" w:space="0" w:color="000000"/>
            </w:tcBorders>
            <w:vAlign w:val="center"/>
          </w:tcPr>
          <w:p w14:paraId="03E9DB7E"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8" w:type="dxa"/>
            <w:tcBorders>
              <w:top w:val="single" w:sz="2" w:space="0" w:color="000000"/>
              <w:left w:val="single" w:sz="2" w:space="0" w:color="000000"/>
              <w:bottom w:val="single" w:sz="2" w:space="0" w:color="000000"/>
              <w:right w:val="single" w:sz="2" w:space="0" w:color="000000"/>
            </w:tcBorders>
            <w:vAlign w:val="center"/>
          </w:tcPr>
          <w:p w14:paraId="3D96175D"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60" w:type="dxa"/>
            <w:tcBorders>
              <w:top w:val="single" w:sz="2" w:space="0" w:color="000000"/>
              <w:left w:val="single" w:sz="2" w:space="0" w:color="000000"/>
              <w:bottom w:val="single" w:sz="2" w:space="0" w:color="000000"/>
              <w:right w:val="single" w:sz="2" w:space="0" w:color="000000"/>
            </w:tcBorders>
            <w:vAlign w:val="center"/>
          </w:tcPr>
          <w:p w14:paraId="420B132B"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9" w:type="dxa"/>
            <w:tcBorders>
              <w:top w:val="single" w:sz="2" w:space="0" w:color="000000"/>
              <w:left w:val="single" w:sz="2" w:space="0" w:color="000000"/>
              <w:bottom w:val="single" w:sz="2" w:space="0" w:color="000000"/>
              <w:right w:val="single" w:sz="2" w:space="0" w:color="000000"/>
            </w:tcBorders>
            <w:vAlign w:val="center"/>
          </w:tcPr>
          <w:p w14:paraId="3DEB1DEE"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c>
          <w:tcPr>
            <w:tcW w:w="602" w:type="dxa"/>
            <w:tcBorders>
              <w:top w:val="single" w:sz="2" w:space="0" w:color="000000"/>
              <w:left w:val="single" w:sz="2" w:space="0" w:color="000000"/>
              <w:bottom w:val="single" w:sz="2" w:space="0" w:color="000000"/>
              <w:right w:val="single" w:sz="2" w:space="0" w:color="000000"/>
            </w:tcBorders>
            <w:vAlign w:val="center"/>
          </w:tcPr>
          <w:p w14:paraId="7FE80DF9"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r>
      <w:tr w:rsidR="00920B68" w:rsidRPr="00364545" w14:paraId="4361F356" w14:textId="77777777" w:rsidTr="00920B68">
        <w:trPr>
          <w:trHeight w:val="419"/>
        </w:trPr>
        <w:tc>
          <w:tcPr>
            <w:tcW w:w="1510" w:type="dxa"/>
            <w:tcBorders>
              <w:top w:val="single" w:sz="2" w:space="0" w:color="000000"/>
              <w:left w:val="single" w:sz="2" w:space="0" w:color="000000"/>
              <w:bottom w:val="single" w:sz="2" w:space="0" w:color="000000"/>
              <w:right w:val="single" w:sz="2" w:space="0" w:color="000000"/>
            </w:tcBorders>
            <w:shd w:val="clear" w:color="auto" w:fill="ECE6E2"/>
          </w:tcPr>
          <w:p w14:paraId="62C5906C" w14:textId="77777777" w:rsidR="00920B68" w:rsidRPr="00364545" w:rsidRDefault="00920B68" w:rsidP="00920B68">
            <w:pPr>
              <w:spacing w:line="259" w:lineRule="auto"/>
            </w:pPr>
            <w:r w:rsidRPr="00364545">
              <w:rPr>
                <w:sz w:val="18"/>
              </w:rPr>
              <w:t xml:space="preserve">Industrial processes, solvents and other products </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04257CD" w14:textId="77777777" w:rsidR="00920B68" w:rsidRPr="00634E4C" w:rsidRDefault="00920B68" w:rsidP="00920B68">
            <w:pPr>
              <w:spacing w:line="259" w:lineRule="auto"/>
              <w:ind w:left="16"/>
              <w:jc w:val="center"/>
              <w:rPr>
                <w:rFonts w:asciiTheme="majorHAnsi" w:hAnsiTheme="majorHAnsi"/>
                <w:sz w:val="18"/>
              </w:rPr>
            </w:pPr>
            <w:r w:rsidRPr="005D0955">
              <w:rPr>
                <w:rFonts w:asciiTheme="majorHAnsi" w:hAnsiTheme="majorHAnsi"/>
                <w:sz w:val="18"/>
                <w:szCs w:val="18"/>
              </w:rPr>
              <w:t>5202</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C2F21C6" w14:textId="77777777" w:rsidR="00920B68" w:rsidRPr="00634E4C" w:rsidRDefault="00920B68" w:rsidP="00920B68">
            <w:pPr>
              <w:spacing w:line="259" w:lineRule="auto"/>
              <w:ind w:left="16"/>
              <w:jc w:val="center"/>
              <w:rPr>
                <w:rFonts w:asciiTheme="majorHAnsi" w:hAnsiTheme="majorHAnsi"/>
                <w:color w:val="000000"/>
                <w:sz w:val="18"/>
              </w:rPr>
            </w:pPr>
            <w:r w:rsidRPr="005D0955">
              <w:rPr>
                <w:rFonts w:asciiTheme="majorHAnsi" w:hAnsiTheme="majorHAnsi"/>
                <w:sz w:val="18"/>
                <w:szCs w:val="18"/>
              </w:rPr>
              <w:t>3065</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72F7BA6"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sz w:val="18"/>
              </w:rPr>
              <w:t>2997</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3A77D86"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sz w:val="18"/>
              </w:rPr>
              <w:t>1760</w:t>
            </w:r>
          </w:p>
        </w:tc>
        <w:tc>
          <w:tcPr>
            <w:tcW w:w="68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B875EEF"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sz w:val="18"/>
              </w:rPr>
              <w:t>617</w:t>
            </w:r>
          </w:p>
        </w:tc>
        <w:tc>
          <w:tcPr>
            <w:tcW w:w="683"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351EE2F" w14:textId="77777777" w:rsidR="00920B68" w:rsidRPr="00634E4C" w:rsidRDefault="00920B68" w:rsidP="00920B68">
            <w:pPr>
              <w:spacing w:line="259" w:lineRule="auto"/>
              <w:ind w:left="16"/>
              <w:jc w:val="center"/>
              <w:rPr>
                <w:rFonts w:asciiTheme="majorHAnsi" w:hAnsiTheme="majorHAnsi"/>
                <w:color w:val="000000"/>
                <w:sz w:val="18"/>
              </w:rPr>
            </w:pPr>
            <w:r w:rsidRPr="005D0955">
              <w:rPr>
                <w:rFonts w:asciiTheme="majorHAnsi" w:hAnsiTheme="majorHAnsi"/>
                <w:sz w:val="18"/>
                <w:szCs w:val="18"/>
              </w:rPr>
              <w:t>537</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92B687A" w14:textId="77777777" w:rsidR="00920B68" w:rsidRPr="00634E4C" w:rsidRDefault="00920B68" w:rsidP="00920B68">
            <w:pPr>
              <w:spacing w:line="259" w:lineRule="auto"/>
              <w:ind w:left="16"/>
              <w:jc w:val="center"/>
              <w:rPr>
                <w:rFonts w:asciiTheme="majorHAnsi" w:hAnsiTheme="majorHAnsi"/>
                <w:color w:val="000000"/>
                <w:sz w:val="18"/>
              </w:rPr>
            </w:pPr>
            <w:r w:rsidRPr="005D0955">
              <w:rPr>
                <w:rFonts w:asciiTheme="majorHAnsi" w:hAnsiTheme="majorHAnsi"/>
                <w:sz w:val="18"/>
                <w:szCs w:val="18"/>
              </w:rPr>
              <w:t>615</w:t>
            </w:r>
          </w:p>
        </w:tc>
        <w:tc>
          <w:tcPr>
            <w:tcW w:w="69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153DD47"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color w:val="000000"/>
                <w:sz w:val="18"/>
              </w:rPr>
              <w:t>462.9</w:t>
            </w:r>
          </w:p>
        </w:tc>
        <w:tc>
          <w:tcPr>
            <w:tcW w:w="658"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95C8ED0"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color w:val="000000"/>
                <w:sz w:val="18"/>
              </w:rPr>
              <w:t>290.7</w:t>
            </w:r>
          </w:p>
        </w:tc>
        <w:tc>
          <w:tcPr>
            <w:tcW w:w="66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EDF86DF"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color w:val="000000"/>
                <w:sz w:val="18"/>
              </w:rPr>
              <w:t>217.7</w:t>
            </w:r>
          </w:p>
        </w:tc>
        <w:tc>
          <w:tcPr>
            <w:tcW w:w="65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045FF07"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color w:val="000000"/>
                <w:sz w:val="18"/>
              </w:rPr>
              <w:t>156.5</w:t>
            </w:r>
          </w:p>
        </w:tc>
        <w:tc>
          <w:tcPr>
            <w:tcW w:w="6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85581D1" w14:textId="77777777" w:rsidR="00920B68" w:rsidRPr="00634E4C" w:rsidRDefault="00920B68" w:rsidP="00920B68">
            <w:pPr>
              <w:spacing w:line="259" w:lineRule="auto"/>
              <w:ind w:left="16"/>
              <w:jc w:val="center"/>
              <w:rPr>
                <w:rFonts w:asciiTheme="majorHAnsi" w:hAnsiTheme="majorHAnsi"/>
                <w:color w:val="000000"/>
                <w:sz w:val="18"/>
              </w:rPr>
            </w:pPr>
            <w:r w:rsidRPr="00634E4C">
              <w:rPr>
                <w:rFonts w:asciiTheme="majorHAnsi" w:hAnsiTheme="majorHAnsi"/>
                <w:color w:val="000000"/>
                <w:sz w:val="18"/>
              </w:rPr>
              <w:t>130.9</w:t>
            </w:r>
          </w:p>
        </w:tc>
      </w:tr>
      <w:tr w:rsidR="00920B68" w:rsidRPr="00364545" w14:paraId="4C8A8224" w14:textId="77777777" w:rsidTr="00920B68">
        <w:trPr>
          <w:trHeight w:val="347"/>
        </w:trPr>
        <w:tc>
          <w:tcPr>
            <w:tcW w:w="1510" w:type="dxa"/>
            <w:tcBorders>
              <w:top w:val="single" w:sz="2" w:space="0" w:color="000000"/>
              <w:left w:val="single" w:sz="2" w:space="0" w:color="000000"/>
              <w:bottom w:val="single" w:sz="2" w:space="0" w:color="000000"/>
              <w:right w:val="single" w:sz="2" w:space="0" w:color="000000"/>
            </w:tcBorders>
          </w:tcPr>
          <w:p w14:paraId="1FC0FDDD" w14:textId="77777777" w:rsidR="00920B68" w:rsidRPr="00364545" w:rsidRDefault="00920B68" w:rsidP="00920B68">
            <w:pPr>
              <w:spacing w:line="259" w:lineRule="auto"/>
            </w:pPr>
            <w:r w:rsidRPr="00364545">
              <w:rPr>
                <w:sz w:val="18"/>
              </w:rPr>
              <w:t xml:space="preserve">Agriculture (excluding energy) </w:t>
            </w:r>
          </w:p>
        </w:tc>
        <w:tc>
          <w:tcPr>
            <w:tcW w:w="765" w:type="dxa"/>
            <w:tcBorders>
              <w:top w:val="single" w:sz="2" w:space="0" w:color="000000"/>
              <w:left w:val="single" w:sz="2" w:space="0" w:color="000000"/>
              <w:bottom w:val="single" w:sz="2" w:space="0" w:color="000000"/>
              <w:right w:val="single" w:sz="2" w:space="0" w:color="000000"/>
            </w:tcBorders>
            <w:vAlign w:val="center"/>
          </w:tcPr>
          <w:p w14:paraId="49D7D609"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783AED6F"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07B3B72F"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1487434B"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85" w:type="dxa"/>
            <w:tcBorders>
              <w:top w:val="single" w:sz="2" w:space="0" w:color="000000"/>
              <w:left w:val="single" w:sz="2" w:space="0" w:color="000000"/>
              <w:bottom w:val="single" w:sz="2" w:space="0" w:color="000000"/>
              <w:right w:val="single" w:sz="2" w:space="0" w:color="000000"/>
            </w:tcBorders>
            <w:vAlign w:val="center"/>
          </w:tcPr>
          <w:p w14:paraId="242D5716"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83" w:type="dxa"/>
            <w:tcBorders>
              <w:top w:val="single" w:sz="2" w:space="0" w:color="000000"/>
              <w:left w:val="single" w:sz="2" w:space="0" w:color="000000"/>
              <w:bottom w:val="single" w:sz="2" w:space="0" w:color="000000"/>
              <w:right w:val="single" w:sz="2" w:space="0" w:color="000000"/>
            </w:tcBorders>
            <w:vAlign w:val="center"/>
          </w:tcPr>
          <w:p w14:paraId="7A729B5D"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19BF3DB7"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91" w:type="dxa"/>
            <w:tcBorders>
              <w:top w:val="single" w:sz="2" w:space="0" w:color="000000"/>
              <w:left w:val="single" w:sz="2" w:space="0" w:color="000000"/>
              <w:bottom w:val="single" w:sz="2" w:space="0" w:color="000000"/>
              <w:right w:val="single" w:sz="2" w:space="0" w:color="000000"/>
            </w:tcBorders>
            <w:vAlign w:val="center"/>
          </w:tcPr>
          <w:p w14:paraId="58AF63EE"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8" w:type="dxa"/>
            <w:tcBorders>
              <w:top w:val="single" w:sz="2" w:space="0" w:color="000000"/>
              <w:left w:val="single" w:sz="2" w:space="0" w:color="000000"/>
              <w:bottom w:val="single" w:sz="2" w:space="0" w:color="000000"/>
              <w:right w:val="single" w:sz="2" w:space="0" w:color="000000"/>
            </w:tcBorders>
            <w:vAlign w:val="center"/>
          </w:tcPr>
          <w:p w14:paraId="5B99821E"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60" w:type="dxa"/>
            <w:tcBorders>
              <w:top w:val="single" w:sz="2" w:space="0" w:color="000000"/>
              <w:left w:val="single" w:sz="2" w:space="0" w:color="000000"/>
              <w:bottom w:val="single" w:sz="2" w:space="0" w:color="000000"/>
              <w:right w:val="single" w:sz="2" w:space="0" w:color="000000"/>
            </w:tcBorders>
            <w:vAlign w:val="center"/>
          </w:tcPr>
          <w:p w14:paraId="2B219EE1"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9" w:type="dxa"/>
            <w:tcBorders>
              <w:top w:val="single" w:sz="2" w:space="0" w:color="000000"/>
              <w:left w:val="single" w:sz="2" w:space="0" w:color="000000"/>
              <w:bottom w:val="single" w:sz="2" w:space="0" w:color="000000"/>
              <w:right w:val="single" w:sz="2" w:space="0" w:color="000000"/>
            </w:tcBorders>
            <w:vAlign w:val="center"/>
          </w:tcPr>
          <w:p w14:paraId="43D8D962"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c>
          <w:tcPr>
            <w:tcW w:w="602" w:type="dxa"/>
            <w:tcBorders>
              <w:top w:val="single" w:sz="2" w:space="0" w:color="000000"/>
              <w:left w:val="single" w:sz="2" w:space="0" w:color="000000"/>
              <w:bottom w:val="single" w:sz="2" w:space="0" w:color="000000"/>
              <w:right w:val="single" w:sz="2" w:space="0" w:color="000000"/>
            </w:tcBorders>
            <w:vAlign w:val="center"/>
          </w:tcPr>
          <w:p w14:paraId="71184E8E"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r>
      <w:tr w:rsidR="00920B68" w:rsidRPr="00364545" w14:paraId="32CB70DD" w14:textId="77777777" w:rsidTr="00920B68">
        <w:trPr>
          <w:trHeight w:val="342"/>
        </w:trPr>
        <w:tc>
          <w:tcPr>
            <w:tcW w:w="1510" w:type="dxa"/>
            <w:tcBorders>
              <w:top w:val="single" w:sz="2" w:space="0" w:color="000000"/>
              <w:left w:val="single" w:sz="2" w:space="0" w:color="000000"/>
              <w:bottom w:val="single" w:sz="2" w:space="0" w:color="000000"/>
              <w:right w:val="single" w:sz="2" w:space="0" w:color="000000"/>
            </w:tcBorders>
            <w:shd w:val="clear" w:color="auto" w:fill="ECE6E2"/>
          </w:tcPr>
          <w:p w14:paraId="78AF6FEC" w14:textId="77777777" w:rsidR="00920B68" w:rsidRPr="00364545" w:rsidRDefault="00920B68" w:rsidP="00920B68">
            <w:pPr>
              <w:spacing w:line="259" w:lineRule="auto"/>
            </w:pPr>
            <w:r w:rsidRPr="00364545">
              <w:rPr>
                <w:sz w:val="18"/>
              </w:rPr>
              <w:t xml:space="preserve">LULUCF </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D65B08F"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3359A8"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0357AC"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4752EE"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8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4452816"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8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1FB399"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739EC17"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9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42323C5"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20083E"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6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E91DE5"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02CBF33"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c>
          <w:tcPr>
            <w:tcW w:w="60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AFB550"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r>
      <w:tr w:rsidR="00920B68" w:rsidRPr="00364545" w14:paraId="0FA0522C" w14:textId="77777777" w:rsidTr="00920B68">
        <w:trPr>
          <w:trHeight w:val="347"/>
        </w:trPr>
        <w:tc>
          <w:tcPr>
            <w:tcW w:w="1510" w:type="dxa"/>
            <w:tcBorders>
              <w:top w:val="single" w:sz="2" w:space="0" w:color="000000"/>
              <w:left w:val="single" w:sz="2" w:space="0" w:color="000000"/>
              <w:bottom w:val="single" w:sz="2" w:space="0" w:color="000000"/>
              <w:right w:val="single" w:sz="2" w:space="0" w:color="000000"/>
            </w:tcBorders>
          </w:tcPr>
          <w:p w14:paraId="41B5ADF8" w14:textId="77777777" w:rsidR="00920B68" w:rsidRPr="00364545" w:rsidRDefault="00920B68" w:rsidP="00920B68">
            <w:pPr>
              <w:spacing w:line="259" w:lineRule="auto"/>
            </w:pPr>
            <w:r w:rsidRPr="00364545">
              <w:rPr>
                <w:sz w:val="18"/>
              </w:rPr>
              <w:t xml:space="preserve">Waste </w:t>
            </w:r>
          </w:p>
        </w:tc>
        <w:tc>
          <w:tcPr>
            <w:tcW w:w="765" w:type="dxa"/>
            <w:tcBorders>
              <w:top w:val="single" w:sz="2" w:space="0" w:color="000000"/>
              <w:left w:val="single" w:sz="2" w:space="0" w:color="000000"/>
              <w:bottom w:val="single" w:sz="2" w:space="0" w:color="000000"/>
              <w:right w:val="single" w:sz="2" w:space="0" w:color="000000"/>
            </w:tcBorders>
            <w:vAlign w:val="center"/>
          </w:tcPr>
          <w:p w14:paraId="71DFDB35"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33E97179"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1DB2F41E"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754BEF79"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85" w:type="dxa"/>
            <w:tcBorders>
              <w:top w:val="single" w:sz="2" w:space="0" w:color="000000"/>
              <w:left w:val="single" w:sz="2" w:space="0" w:color="000000"/>
              <w:bottom w:val="single" w:sz="2" w:space="0" w:color="000000"/>
              <w:right w:val="single" w:sz="2" w:space="0" w:color="000000"/>
            </w:tcBorders>
            <w:vAlign w:val="center"/>
          </w:tcPr>
          <w:p w14:paraId="7D2EE738"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83" w:type="dxa"/>
            <w:tcBorders>
              <w:top w:val="single" w:sz="2" w:space="0" w:color="000000"/>
              <w:left w:val="single" w:sz="2" w:space="0" w:color="000000"/>
              <w:bottom w:val="single" w:sz="2" w:space="0" w:color="000000"/>
              <w:right w:val="single" w:sz="2" w:space="0" w:color="000000"/>
            </w:tcBorders>
            <w:vAlign w:val="center"/>
          </w:tcPr>
          <w:p w14:paraId="0B694FB3"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62233F59"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91" w:type="dxa"/>
            <w:tcBorders>
              <w:top w:val="single" w:sz="2" w:space="0" w:color="000000"/>
              <w:left w:val="single" w:sz="2" w:space="0" w:color="000000"/>
              <w:bottom w:val="single" w:sz="2" w:space="0" w:color="000000"/>
              <w:right w:val="single" w:sz="2" w:space="0" w:color="000000"/>
            </w:tcBorders>
            <w:vAlign w:val="center"/>
          </w:tcPr>
          <w:p w14:paraId="7D421172"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8" w:type="dxa"/>
            <w:tcBorders>
              <w:top w:val="single" w:sz="2" w:space="0" w:color="000000"/>
              <w:left w:val="single" w:sz="2" w:space="0" w:color="000000"/>
              <w:bottom w:val="single" w:sz="2" w:space="0" w:color="000000"/>
              <w:right w:val="single" w:sz="2" w:space="0" w:color="000000"/>
            </w:tcBorders>
            <w:vAlign w:val="center"/>
          </w:tcPr>
          <w:p w14:paraId="6AA433A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60" w:type="dxa"/>
            <w:tcBorders>
              <w:top w:val="single" w:sz="2" w:space="0" w:color="000000"/>
              <w:left w:val="single" w:sz="2" w:space="0" w:color="000000"/>
              <w:bottom w:val="single" w:sz="2" w:space="0" w:color="000000"/>
              <w:right w:val="single" w:sz="2" w:space="0" w:color="000000"/>
            </w:tcBorders>
            <w:vAlign w:val="center"/>
          </w:tcPr>
          <w:p w14:paraId="385D9303"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59" w:type="dxa"/>
            <w:tcBorders>
              <w:top w:val="single" w:sz="2" w:space="0" w:color="000000"/>
              <w:left w:val="single" w:sz="2" w:space="0" w:color="000000"/>
              <w:bottom w:val="single" w:sz="2" w:space="0" w:color="000000"/>
              <w:right w:val="single" w:sz="2" w:space="0" w:color="000000"/>
            </w:tcBorders>
            <w:vAlign w:val="center"/>
          </w:tcPr>
          <w:p w14:paraId="78DDA6AA"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c>
          <w:tcPr>
            <w:tcW w:w="602" w:type="dxa"/>
            <w:tcBorders>
              <w:top w:val="single" w:sz="2" w:space="0" w:color="000000"/>
              <w:left w:val="single" w:sz="2" w:space="0" w:color="000000"/>
              <w:bottom w:val="single" w:sz="2" w:space="0" w:color="000000"/>
              <w:right w:val="single" w:sz="2" w:space="0" w:color="000000"/>
            </w:tcBorders>
            <w:vAlign w:val="center"/>
          </w:tcPr>
          <w:p w14:paraId="6A4FBA05"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r>
      <w:tr w:rsidR="00920B68" w:rsidRPr="00364545" w14:paraId="60984FA5" w14:textId="77777777" w:rsidTr="00920B68">
        <w:trPr>
          <w:trHeight w:val="344"/>
        </w:trPr>
        <w:tc>
          <w:tcPr>
            <w:tcW w:w="1510" w:type="dxa"/>
            <w:tcBorders>
              <w:top w:val="single" w:sz="2" w:space="0" w:color="000000"/>
              <w:left w:val="single" w:sz="2" w:space="0" w:color="000000"/>
              <w:bottom w:val="single" w:sz="2" w:space="0" w:color="000000"/>
              <w:right w:val="single" w:sz="2" w:space="0" w:color="000000"/>
            </w:tcBorders>
            <w:shd w:val="clear" w:color="auto" w:fill="ECE6E2"/>
          </w:tcPr>
          <w:p w14:paraId="147D1B3C" w14:textId="77777777" w:rsidR="00920B68" w:rsidRPr="00364545" w:rsidRDefault="00920B68" w:rsidP="00920B68">
            <w:pPr>
              <w:spacing w:line="259" w:lineRule="auto"/>
            </w:pPr>
            <w:r w:rsidRPr="00364545">
              <w:rPr>
                <w:b/>
                <w:sz w:val="18"/>
              </w:rPr>
              <w:t xml:space="preserve">Ensemble (hors UTCF) </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E8A7795" w14:textId="77777777" w:rsidR="00920B68" w:rsidRPr="00634E4C" w:rsidRDefault="00920B68" w:rsidP="00920B68">
            <w:pPr>
              <w:spacing w:line="259" w:lineRule="auto"/>
              <w:ind w:left="16"/>
              <w:jc w:val="center"/>
              <w:rPr>
                <w:rFonts w:asciiTheme="majorHAnsi" w:hAnsiTheme="majorHAnsi"/>
                <w:sz w:val="18"/>
              </w:rPr>
            </w:pPr>
            <w:r w:rsidRPr="005D0955">
              <w:rPr>
                <w:rFonts w:asciiTheme="majorHAnsi" w:hAnsiTheme="majorHAnsi"/>
                <w:sz w:val="18"/>
                <w:szCs w:val="18"/>
              </w:rPr>
              <w:t>5202</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11A5E1B"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3065</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B98F685"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2997</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6361573"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sz w:val="18"/>
              </w:rPr>
              <w:t>1760</w:t>
            </w:r>
          </w:p>
        </w:tc>
        <w:tc>
          <w:tcPr>
            <w:tcW w:w="68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3E19B0C"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sz w:val="18"/>
              </w:rPr>
              <w:t>617</w:t>
            </w:r>
          </w:p>
        </w:tc>
        <w:tc>
          <w:tcPr>
            <w:tcW w:w="683"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105CCAB"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537</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6895D2A" w14:textId="77777777" w:rsidR="00920B68" w:rsidRPr="00634E4C" w:rsidRDefault="00920B68" w:rsidP="00920B68">
            <w:pPr>
              <w:spacing w:line="259" w:lineRule="auto"/>
              <w:ind w:left="21"/>
              <w:jc w:val="center"/>
              <w:rPr>
                <w:rFonts w:asciiTheme="majorHAnsi" w:hAnsiTheme="majorHAnsi"/>
                <w:b/>
                <w:color w:val="000000"/>
                <w:sz w:val="18"/>
              </w:rPr>
            </w:pPr>
            <w:r w:rsidRPr="005D0955">
              <w:rPr>
                <w:rFonts w:asciiTheme="majorHAnsi" w:hAnsiTheme="majorHAnsi"/>
                <w:sz w:val="18"/>
                <w:szCs w:val="18"/>
              </w:rPr>
              <w:t>615</w:t>
            </w:r>
          </w:p>
        </w:tc>
        <w:tc>
          <w:tcPr>
            <w:tcW w:w="69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EC7F211"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462.9</w:t>
            </w:r>
          </w:p>
        </w:tc>
        <w:tc>
          <w:tcPr>
            <w:tcW w:w="658"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79E6B5E"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290.7</w:t>
            </w:r>
          </w:p>
        </w:tc>
        <w:tc>
          <w:tcPr>
            <w:tcW w:w="66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389ABEB"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217.7</w:t>
            </w:r>
          </w:p>
        </w:tc>
        <w:tc>
          <w:tcPr>
            <w:tcW w:w="65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3954E1C"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156.5</w:t>
            </w:r>
          </w:p>
        </w:tc>
        <w:tc>
          <w:tcPr>
            <w:tcW w:w="60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1E245B1"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130.9</w:t>
            </w:r>
          </w:p>
        </w:tc>
      </w:tr>
      <w:tr w:rsidR="00920B68" w:rsidRPr="00364545" w14:paraId="219926F1" w14:textId="77777777" w:rsidTr="00920B68">
        <w:trPr>
          <w:trHeight w:val="346"/>
        </w:trPr>
        <w:tc>
          <w:tcPr>
            <w:tcW w:w="1510" w:type="dxa"/>
            <w:tcBorders>
              <w:top w:val="single" w:sz="2" w:space="0" w:color="000000"/>
              <w:left w:val="single" w:sz="2" w:space="0" w:color="000000"/>
              <w:bottom w:val="single" w:sz="2" w:space="0" w:color="000000"/>
              <w:right w:val="single" w:sz="2" w:space="0" w:color="000000"/>
            </w:tcBorders>
          </w:tcPr>
          <w:p w14:paraId="4E345D8F" w14:textId="77777777" w:rsidR="00920B68" w:rsidRPr="00364545" w:rsidRDefault="00920B68" w:rsidP="00920B68">
            <w:pPr>
              <w:spacing w:line="259" w:lineRule="auto"/>
            </w:pPr>
            <w:r w:rsidRPr="00364545">
              <w:rPr>
                <w:b/>
                <w:sz w:val="18"/>
              </w:rPr>
              <w:t xml:space="preserve">Ensemble (avec UTCF) </w:t>
            </w:r>
          </w:p>
        </w:tc>
        <w:tc>
          <w:tcPr>
            <w:tcW w:w="765" w:type="dxa"/>
            <w:tcBorders>
              <w:top w:val="single" w:sz="2" w:space="0" w:color="000000"/>
              <w:left w:val="single" w:sz="2" w:space="0" w:color="000000"/>
              <w:bottom w:val="single" w:sz="2" w:space="0" w:color="000000"/>
              <w:right w:val="single" w:sz="2" w:space="0" w:color="000000"/>
            </w:tcBorders>
            <w:vAlign w:val="bottom"/>
          </w:tcPr>
          <w:p w14:paraId="49F62804" w14:textId="77777777" w:rsidR="00920B68" w:rsidRPr="00634E4C" w:rsidRDefault="00920B68" w:rsidP="00920B68">
            <w:pPr>
              <w:spacing w:line="259" w:lineRule="auto"/>
              <w:ind w:left="16"/>
              <w:jc w:val="center"/>
              <w:rPr>
                <w:rFonts w:asciiTheme="majorHAnsi" w:hAnsiTheme="majorHAnsi"/>
                <w:sz w:val="18"/>
              </w:rPr>
            </w:pPr>
            <w:r w:rsidRPr="005D0955">
              <w:rPr>
                <w:rFonts w:asciiTheme="majorHAnsi" w:hAnsiTheme="majorHAnsi"/>
                <w:sz w:val="18"/>
                <w:szCs w:val="18"/>
              </w:rPr>
              <w:t>5202</w:t>
            </w:r>
          </w:p>
        </w:tc>
        <w:tc>
          <w:tcPr>
            <w:tcW w:w="792" w:type="dxa"/>
            <w:tcBorders>
              <w:top w:val="single" w:sz="2" w:space="0" w:color="000000"/>
              <w:left w:val="single" w:sz="2" w:space="0" w:color="000000"/>
              <w:bottom w:val="single" w:sz="2" w:space="0" w:color="000000"/>
              <w:right w:val="single" w:sz="2" w:space="0" w:color="000000"/>
            </w:tcBorders>
            <w:vAlign w:val="bottom"/>
          </w:tcPr>
          <w:p w14:paraId="0369FEF8"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3065</w:t>
            </w:r>
          </w:p>
        </w:tc>
        <w:tc>
          <w:tcPr>
            <w:tcW w:w="792" w:type="dxa"/>
            <w:tcBorders>
              <w:top w:val="single" w:sz="2" w:space="0" w:color="000000"/>
              <w:left w:val="single" w:sz="2" w:space="0" w:color="000000"/>
              <w:bottom w:val="single" w:sz="2" w:space="0" w:color="000000"/>
              <w:right w:val="single" w:sz="2" w:space="0" w:color="000000"/>
            </w:tcBorders>
            <w:vAlign w:val="bottom"/>
          </w:tcPr>
          <w:p w14:paraId="14671795"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2997</w:t>
            </w:r>
          </w:p>
        </w:tc>
        <w:tc>
          <w:tcPr>
            <w:tcW w:w="762" w:type="dxa"/>
            <w:tcBorders>
              <w:top w:val="single" w:sz="2" w:space="0" w:color="000000"/>
              <w:left w:val="single" w:sz="2" w:space="0" w:color="000000"/>
              <w:bottom w:val="single" w:sz="2" w:space="0" w:color="000000"/>
              <w:right w:val="single" w:sz="2" w:space="0" w:color="000000"/>
            </w:tcBorders>
            <w:vAlign w:val="bottom"/>
          </w:tcPr>
          <w:p w14:paraId="52007E67"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sz w:val="18"/>
              </w:rPr>
              <w:t>1760</w:t>
            </w:r>
          </w:p>
        </w:tc>
        <w:tc>
          <w:tcPr>
            <w:tcW w:w="685" w:type="dxa"/>
            <w:tcBorders>
              <w:top w:val="single" w:sz="2" w:space="0" w:color="000000"/>
              <w:left w:val="single" w:sz="2" w:space="0" w:color="000000"/>
              <w:bottom w:val="single" w:sz="2" w:space="0" w:color="000000"/>
              <w:right w:val="single" w:sz="2" w:space="0" w:color="000000"/>
            </w:tcBorders>
            <w:vAlign w:val="bottom"/>
          </w:tcPr>
          <w:p w14:paraId="77FE15FF"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sz w:val="18"/>
              </w:rPr>
              <w:t>617</w:t>
            </w:r>
          </w:p>
        </w:tc>
        <w:tc>
          <w:tcPr>
            <w:tcW w:w="683" w:type="dxa"/>
            <w:tcBorders>
              <w:top w:val="single" w:sz="2" w:space="0" w:color="000000"/>
              <w:left w:val="single" w:sz="2" w:space="0" w:color="000000"/>
              <w:bottom w:val="single" w:sz="2" w:space="0" w:color="000000"/>
              <w:right w:val="single" w:sz="2" w:space="0" w:color="000000"/>
            </w:tcBorders>
            <w:vAlign w:val="bottom"/>
          </w:tcPr>
          <w:p w14:paraId="699EDD02"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537</w:t>
            </w:r>
          </w:p>
        </w:tc>
        <w:tc>
          <w:tcPr>
            <w:tcW w:w="675" w:type="dxa"/>
            <w:tcBorders>
              <w:top w:val="single" w:sz="2" w:space="0" w:color="000000"/>
              <w:left w:val="single" w:sz="2" w:space="0" w:color="000000"/>
              <w:bottom w:val="single" w:sz="2" w:space="0" w:color="000000"/>
              <w:right w:val="single" w:sz="2" w:space="0" w:color="000000"/>
            </w:tcBorders>
            <w:vAlign w:val="bottom"/>
          </w:tcPr>
          <w:p w14:paraId="0E917BDB" w14:textId="77777777" w:rsidR="00920B68" w:rsidRPr="00634E4C" w:rsidRDefault="00920B68" w:rsidP="00920B68">
            <w:pPr>
              <w:spacing w:line="259" w:lineRule="auto"/>
              <w:ind w:left="21"/>
              <w:jc w:val="center"/>
              <w:rPr>
                <w:rFonts w:asciiTheme="majorHAnsi" w:hAnsiTheme="majorHAnsi"/>
                <w:b/>
                <w:color w:val="000000"/>
                <w:sz w:val="18"/>
              </w:rPr>
            </w:pPr>
            <w:r w:rsidRPr="005D0955">
              <w:rPr>
                <w:rFonts w:asciiTheme="majorHAnsi" w:hAnsiTheme="majorHAnsi"/>
                <w:sz w:val="18"/>
                <w:szCs w:val="18"/>
              </w:rPr>
              <w:t>615</w:t>
            </w:r>
          </w:p>
        </w:tc>
        <w:tc>
          <w:tcPr>
            <w:tcW w:w="691" w:type="dxa"/>
            <w:tcBorders>
              <w:top w:val="single" w:sz="2" w:space="0" w:color="000000"/>
              <w:left w:val="single" w:sz="2" w:space="0" w:color="000000"/>
              <w:bottom w:val="single" w:sz="2" w:space="0" w:color="000000"/>
              <w:right w:val="single" w:sz="2" w:space="0" w:color="000000"/>
            </w:tcBorders>
            <w:vAlign w:val="bottom"/>
          </w:tcPr>
          <w:p w14:paraId="7E494A22"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462.9</w:t>
            </w:r>
          </w:p>
        </w:tc>
        <w:tc>
          <w:tcPr>
            <w:tcW w:w="658" w:type="dxa"/>
            <w:tcBorders>
              <w:top w:val="single" w:sz="2" w:space="0" w:color="000000"/>
              <w:left w:val="single" w:sz="2" w:space="0" w:color="000000"/>
              <w:bottom w:val="single" w:sz="2" w:space="0" w:color="000000"/>
              <w:right w:val="single" w:sz="2" w:space="0" w:color="000000"/>
            </w:tcBorders>
            <w:vAlign w:val="bottom"/>
          </w:tcPr>
          <w:p w14:paraId="5CAE08CA"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290.7</w:t>
            </w:r>
          </w:p>
        </w:tc>
        <w:tc>
          <w:tcPr>
            <w:tcW w:w="660" w:type="dxa"/>
            <w:tcBorders>
              <w:top w:val="single" w:sz="2" w:space="0" w:color="000000"/>
              <w:left w:val="single" w:sz="2" w:space="0" w:color="000000"/>
              <w:bottom w:val="single" w:sz="2" w:space="0" w:color="000000"/>
              <w:right w:val="single" w:sz="2" w:space="0" w:color="000000"/>
            </w:tcBorders>
            <w:vAlign w:val="bottom"/>
          </w:tcPr>
          <w:p w14:paraId="1B9412C3"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217.7</w:t>
            </w:r>
          </w:p>
        </w:tc>
        <w:tc>
          <w:tcPr>
            <w:tcW w:w="659" w:type="dxa"/>
            <w:tcBorders>
              <w:top w:val="single" w:sz="2" w:space="0" w:color="000000"/>
              <w:left w:val="single" w:sz="2" w:space="0" w:color="000000"/>
              <w:bottom w:val="single" w:sz="2" w:space="0" w:color="000000"/>
              <w:right w:val="single" w:sz="2" w:space="0" w:color="000000"/>
            </w:tcBorders>
            <w:vAlign w:val="bottom"/>
          </w:tcPr>
          <w:p w14:paraId="1AA09377"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156.5</w:t>
            </w:r>
          </w:p>
        </w:tc>
        <w:tc>
          <w:tcPr>
            <w:tcW w:w="602" w:type="dxa"/>
            <w:tcBorders>
              <w:top w:val="single" w:sz="2" w:space="0" w:color="000000"/>
              <w:left w:val="single" w:sz="2" w:space="0" w:color="000000"/>
              <w:bottom w:val="single" w:sz="2" w:space="0" w:color="000000"/>
              <w:right w:val="single" w:sz="2" w:space="0" w:color="000000"/>
            </w:tcBorders>
            <w:vAlign w:val="bottom"/>
          </w:tcPr>
          <w:p w14:paraId="1D4600CB"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130.9</w:t>
            </w:r>
          </w:p>
        </w:tc>
      </w:tr>
    </w:tbl>
    <w:p w14:paraId="0B77B210" w14:textId="77777777" w:rsidR="00920B68" w:rsidRPr="00364545" w:rsidRDefault="00920B68" w:rsidP="00920B68">
      <w:pPr>
        <w:pStyle w:val="Caption"/>
      </w:pPr>
      <w:r w:rsidRPr="00364545">
        <w:t xml:space="preserve">Table </w:t>
      </w:r>
      <w:fldSimple w:instr=" SEQ Tableau \* ARABIC ">
        <w:r w:rsidRPr="00364545">
          <w:rPr>
            <w:noProof/>
          </w:rPr>
          <w:t>23</w:t>
        </w:r>
      </w:fldSimple>
      <w:r w:rsidRPr="00364545">
        <w:t>: PFC emissions projections (in ktCO2e) in the Kyoto scope in the AME 2021 scenario (with existing measures)</w:t>
      </w:r>
    </w:p>
    <w:p w14:paraId="09F6C05F" w14:textId="77777777" w:rsidR="00920B68" w:rsidRPr="00364545" w:rsidRDefault="00920B68" w:rsidP="00920B68">
      <w:pPr>
        <w:pStyle w:val="Caption"/>
      </w:pPr>
      <w:r w:rsidRPr="00364545">
        <w:t>Source: UN</w:t>
      </w:r>
      <w:r>
        <w:t>FCCC inventory, Citepa/MTE, 2022</w:t>
      </w:r>
      <w:r w:rsidRPr="00364545">
        <w:t xml:space="preserve"> submission and MTE emission projections, 2021</w:t>
      </w:r>
    </w:p>
    <w:p w14:paraId="5A3EA499" w14:textId="77777777" w:rsidR="00920B68" w:rsidRPr="00364545" w:rsidRDefault="00920B68" w:rsidP="00920B68">
      <w:pPr>
        <w:rPr>
          <w:sz w:val="18"/>
          <w:szCs w:val="18"/>
        </w:rPr>
      </w:pPr>
    </w:p>
    <w:tbl>
      <w:tblPr>
        <w:tblStyle w:val="TableGrid0"/>
        <w:tblW w:w="9934" w:type="dxa"/>
        <w:tblInd w:w="10" w:type="dxa"/>
        <w:tblCellMar>
          <w:top w:w="39" w:type="dxa"/>
          <w:left w:w="28" w:type="dxa"/>
          <w:bottom w:w="2" w:type="dxa"/>
          <w:right w:w="48" w:type="dxa"/>
        </w:tblCellMar>
        <w:tblLook w:val="04A0" w:firstRow="1" w:lastRow="0" w:firstColumn="1" w:lastColumn="0" w:noHBand="0" w:noVBand="1"/>
      </w:tblPr>
      <w:tblGrid>
        <w:gridCol w:w="1594"/>
        <w:gridCol w:w="765"/>
        <w:gridCol w:w="792"/>
        <w:gridCol w:w="765"/>
        <w:gridCol w:w="762"/>
        <w:gridCol w:w="667"/>
        <w:gridCol w:w="665"/>
        <w:gridCol w:w="621"/>
        <w:gridCol w:w="675"/>
        <w:gridCol w:w="673"/>
        <w:gridCol w:w="675"/>
        <w:gridCol w:w="674"/>
        <w:gridCol w:w="606"/>
      </w:tblGrid>
      <w:tr w:rsidR="00920B68" w:rsidRPr="00364545" w14:paraId="5C61CFF9" w14:textId="77777777" w:rsidTr="00920B68">
        <w:trPr>
          <w:trHeight w:val="402"/>
        </w:trPr>
        <w:tc>
          <w:tcPr>
            <w:tcW w:w="1594" w:type="dxa"/>
            <w:tcBorders>
              <w:top w:val="single" w:sz="2" w:space="0" w:color="000000"/>
              <w:left w:val="single" w:sz="2" w:space="0" w:color="000000"/>
              <w:bottom w:val="single" w:sz="2" w:space="0" w:color="000000"/>
              <w:right w:val="single" w:sz="2" w:space="0" w:color="000000"/>
            </w:tcBorders>
            <w:shd w:val="clear" w:color="auto" w:fill="6D2A78"/>
          </w:tcPr>
          <w:p w14:paraId="303D623E" w14:textId="77777777" w:rsidR="00920B68" w:rsidRPr="00364545" w:rsidRDefault="00920B68" w:rsidP="00920B68">
            <w:pPr>
              <w:spacing w:line="259" w:lineRule="auto"/>
            </w:pPr>
            <w:r w:rsidRPr="00364545">
              <w:t>AME 21 – SF</w:t>
            </w:r>
            <w:r w:rsidRPr="00364545">
              <w:rPr>
                <w:vertAlign w:val="subscript"/>
              </w:rPr>
              <w:t>6</w:t>
            </w:r>
          </w:p>
        </w:tc>
        <w:tc>
          <w:tcPr>
            <w:tcW w:w="765" w:type="dxa"/>
            <w:tcBorders>
              <w:top w:val="single" w:sz="2" w:space="0" w:color="000000"/>
              <w:left w:val="single" w:sz="2" w:space="0" w:color="000000"/>
              <w:bottom w:val="single" w:sz="2" w:space="0" w:color="000000"/>
              <w:right w:val="single" w:sz="2" w:space="0" w:color="000000"/>
            </w:tcBorders>
            <w:shd w:val="clear" w:color="auto" w:fill="6D2A78"/>
          </w:tcPr>
          <w:p w14:paraId="3DEEA423" w14:textId="77777777" w:rsidR="00920B68" w:rsidRPr="00364545" w:rsidRDefault="00920B68" w:rsidP="00920B68">
            <w:pPr>
              <w:spacing w:line="259" w:lineRule="auto"/>
              <w:ind w:left="19"/>
              <w:jc w:val="center"/>
            </w:pPr>
            <w:r w:rsidRPr="00364545">
              <w:rPr>
                <w:b/>
                <w:color w:val="FFFFFF"/>
                <w:sz w:val="18"/>
              </w:rPr>
              <w:t xml:space="preserve">1990 </w:t>
            </w:r>
          </w:p>
        </w:tc>
        <w:tc>
          <w:tcPr>
            <w:tcW w:w="792" w:type="dxa"/>
            <w:tcBorders>
              <w:top w:val="single" w:sz="2" w:space="0" w:color="000000"/>
              <w:left w:val="single" w:sz="2" w:space="0" w:color="000000"/>
              <w:bottom w:val="single" w:sz="2" w:space="0" w:color="000000"/>
              <w:right w:val="single" w:sz="2" w:space="0" w:color="000000"/>
            </w:tcBorders>
            <w:shd w:val="clear" w:color="auto" w:fill="6D2A78"/>
          </w:tcPr>
          <w:p w14:paraId="071BB4BA"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65" w:type="dxa"/>
            <w:tcBorders>
              <w:top w:val="single" w:sz="2" w:space="0" w:color="000000"/>
              <w:left w:val="single" w:sz="2" w:space="0" w:color="000000"/>
              <w:bottom w:val="single" w:sz="2" w:space="0" w:color="000000"/>
              <w:right w:val="single" w:sz="2" w:space="0" w:color="000000"/>
            </w:tcBorders>
            <w:shd w:val="clear" w:color="auto" w:fill="6D2A78"/>
          </w:tcPr>
          <w:p w14:paraId="4CF0E729" w14:textId="77777777" w:rsidR="00920B68" w:rsidRPr="00364545" w:rsidRDefault="00920B68" w:rsidP="00920B68">
            <w:pPr>
              <w:spacing w:line="259" w:lineRule="auto"/>
              <w:ind w:left="21"/>
              <w:jc w:val="center"/>
            </w:pPr>
            <w:r w:rsidRPr="00364545">
              <w:rPr>
                <w:b/>
                <w:color w:val="FFFFFF"/>
                <w:sz w:val="18"/>
              </w:rPr>
              <w:t xml:space="preserve">2000 </w:t>
            </w:r>
          </w:p>
        </w:tc>
        <w:tc>
          <w:tcPr>
            <w:tcW w:w="762" w:type="dxa"/>
            <w:tcBorders>
              <w:top w:val="single" w:sz="2" w:space="0" w:color="000000"/>
              <w:left w:val="single" w:sz="2" w:space="0" w:color="000000"/>
              <w:bottom w:val="single" w:sz="2" w:space="0" w:color="000000"/>
              <w:right w:val="single" w:sz="2" w:space="0" w:color="000000"/>
            </w:tcBorders>
            <w:shd w:val="clear" w:color="auto" w:fill="6D2A78"/>
          </w:tcPr>
          <w:p w14:paraId="50E0F473" w14:textId="77777777" w:rsidR="00920B68" w:rsidRPr="00364545" w:rsidRDefault="00920B68" w:rsidP="00920B68">
            <w:pPr>
              <w:spacing w:line="259" w:lineRule="auto"/>
              <w:ind w:left="19"/>
              <w:jc w:val="center"/>
            </w:pPr>
            <w:r w:rsidRPr="00364545">
              <w:rPr>
                <w:b/>
                <w:color w:val="FFFFFF"/>
                <w:sz w:val="18"/>
              </w:rPr>
              <w:t xml:space="preserve">2005 </w:t>
            </w:r>
          </w:p>
        </w:tc>
        <w:tc>
          <w:tcPr>
            <w:tcW w:w="667" w:type="dxa"/>
            <w:tcBorders>
              <w:top w:val="single" w:sz="2" w:space="0" w:color="000000"/>
              <w:left w:val="single" w:sz="2" w:space="0" w:color="000000"/>
              <w:bottom w:val="single" w:sz="2" w:space="0" w:color="000000"/>
              <w:right w:val="single" w:sz="2" w:space="0" w:color="000000"/>
            </w:tcBorders>
            <w:shd w:val="clear" w:color="auto" w:fill="6D2A78"/>
          </w:tcPr>
          <w:p w14:paraId="610EB079" w14:textId="77777777" w:rsidR="00920B68" w:rsidRPr="00364545" w:rsidRDefault="00920B68" w:rsidP="00920B68">
            <w:pPr>
              <w:spacing w:line="259" w:lineRule="auto"/>
              <w:ind w:left="21"/>
              <w:jc w:val="center"/>
            </w:pPr>
            <w:r w:rsidRPr="00364545">
              <w:rPr>
                <w:b/>
                <w:color w:val="FFFFFF"/>
                <w:sz w:val="18"/>
              </w:rPr>
              <w:t xml:space="preserve">2010 </w:t>
            </w:r>
          </w:p>
        </w:tc>
        <w:tc>
          <w:tcPr>
            <w:tcW w:w="665" w:type="dxa"/>
            <w:tcBorders>
              <w:top w:val="single" w:sz="2" w:space="0" w:color="000000"/>
              <w:left w:val="single" w:sz="2" w:space="0" w:color="000000"/>
              <w:bottom w:val="single" w:sz="2" w:space="0" w:color="000000"/>
              <w:right w:val="single" w:sz="2" w:space="0" w:color="000000"/>
            </w:tcBorders>
            <w:shd w:val="clear" w:color="auto" w:fill="6D2A78"/>
          </w:tcPr>
          <w:p w14:paraId="0B9503DA" w14:textId="77777777" w:rsidR="00920B68" w:rsidRPr="00364545" w:rsidRDefault="00920B68" w:rsidP="00920B68">
            <w:pPr>
              <w:spacing w:line="259" w:lineRule="auto"/>
              <w:ind w:left="19"/>
              <w:jc w:val="center"/>
            </w:pPr>
            <w:r w:rsidRPr="00364545">
              <w:rPr>
                <w:b/>
                <w:color w:val="FFFFFF"/>
                <w:sz w:val="18"/>
              </w:rPr>
              <w:t xml:space="preserve">2015 </w:t>
            </w:r>
          </w:p>
        </w:tc>
        <w:tc>
          <w:tcPr>
            <w:tcW w:w="621" w:type="dxa"/>
            <w:tcBorders>
              <w:top w:val="single" w:sz="2" w:space="0" w:color="000000"/>
              <w:left w:val="single" w:sz="2" w:space="0" w:color="000000"/>
              <w:bottom w:val="single" w:sz="2" w:space="0" w:color="000000"/>
              <w:right w:val="single" w:sz="2" w:space="0" w:color="000000"/>
            </w:tcBorders>
            <w:shd w:val="clear" w:color="auto" w:fill="6D2A78"/>
          </w:tcPr>
          <w:p w14:paraId="6EC17944" w14:textId="77777777" w:rsidR="00920B68" w:rsidRPr="00364545" w:rsidRDefault="00920B68" w:rsidP="00920B68">
            <w:pPr>
              <w:spacing w:line="259" w:lineRule="auto"/>
              <w:ind w:left="21"/>
              <w:jc w:val="center"/>
              <w:rPr>
                <w:b/>
                <w:color w:val="FFFFFF"/>
                <w:sz w:val="18"/>
              </w:rPr>
            </w:pPr>
            <w:r w:rsidRPr="00364545">
              <w:rPr>
                <w:b/>
                <w:color w:val="FFFFFF"/>
                <w:sz w:val="18"/>
              </w:rPr>
              <w:t>2019</w:t>
            </w:r>
          </w:p>
        </w:tc>
        <w:tc>
          <w:tcPr>
            <w:tcW w:w="675" w:type="dxa"/>
            <w:tcBorders>
              <w:top w:val="single" w:sz="2" w:space="0" w:color="000000"/>
              <w:left w:val="single" w:sz="2" w:space="0" w:color="000000"/>
              <w:bottom w:val="single" w:sz="2" w:space="0" w:color="000000"/>
              <w:right w:val="single" w:sz="2" w:space="0" w:color="000000"/>
            </w:tcBorders>
            <w:shd w:val="clear" w:color="auto" w:fill="6D2A78"/>
          </w:tcPr>
          <w:p w14:paraId="0F5612F4" w14:textId="77777777" w:rsidR="00920B68" w:rsidRPr="00364545" w:rsidRDefault="00920B68" w:rsidP="00920B68">
            <w:pPr>
              <w:spacing w:line="259" w:lineRule="auto"/>
              <w:ind w:left="21"/>
              <w:jc w:val="center"/>
            </w:pPr>
            <w:r w:rsidRPr="00364545">
              <w:rPr>
                <w:b/>
                <w:color w:val="FFFFFF"/>
                <w:sz w:val="18"/>
              </w:rPr>
              <w:t xml:space="preserve">2020 </w:t>
            </w:r>
          </w:p>
        </w:tc>
        <w:tc>
          <w:tcPr>
            <w:tcW w:w="673" w:type="dxa"/>
            <w:tcBorders>
              <w:top w:val="single" w:sz="2" w:space="0" w:color="000000"/>
              <w:left w:val="single" w:sz="2" w:space="0" w:color="000000"/>
              <w:bottom w:val="single" w:sz="2" w:space="0" w:color="000000"/>
              <w:right w:val="single" w:sz="2" w:space="0" w:color="000000"/>
            </w:tcBorders>
            <w:shd w:val="clear" w:color="auto" w:fill="6D2A78"/>
          </w:tcPr>
          <w:p w14:paraId="7421C7D2" w14:textId="77777777" w:rsidR="00920B68" w:rsidRPr="00364545" w:rsidRDefault="00920B68" w:rsidP="00920B68">
            <w:pPr>
              <w:spacing w:line="259" w:lineRule="auto"/>
              <w:ind w:left="19"/>
              <w:jc w:val="center"/>
            </w:pPr>
            <w:r w:rsidRPr="00364545">
              <w:rPr>
                <w:b/>
                <w:color w:val="FFFFFF"/>
                <w:sz w:val="18"/>
              </w:rPr>
              <w:t xml:space="preserve">2025 </w:t>
            </w:r>
          </w:p>
        </w:tc>
        <w:tc>
          <w:tcPr>
            <w:tcW w:w="675" w:type="dxa"/>
            <w:tcBorders>
              <w:top w:val="single" w:sz="2" w:space="0" w:color="000000"/>
              <w:left w:val="single" w:sz="2" w:space="0" w:color="000000"/>
              <w:bottom w:val="single" w:sz="2" w:space="0" w:color="000000"/>
              <w:right w:val="single" w:sz="2" w:space="0" w:color="000000"/>
            </w:tcBorders>
            <w:shd w:val="clear" w:color="auto" w:fill="6D2A78"/>
          </w:tcPr>
          <w:p w14:paraId="4EFBB16F" w14:textId="77777777" w:rsidR="00920B68" w:rsidRPr="00364545" w:rsidRDefault="00920B68" w:rsidP="00920B68">
            <w:pPr>
              <w:spacing w:line="259" w:lineRule="auto"/>
              <w:ind w:left="21"/>
              <w:jc w:val="center"/>
            </w:pPr>
            <w:r w:rsidRPr="00364545">
              <w:rPr>
                <w:b/>
                <w:color w:val="FFFFFF"/>
                <w:sz w:val="18"/>
              </w:rPr>
              <w:t xml:space="preserve">2030 </w:t>
            </w:r>
          </w:p>
        </w:tc>
        <w:tc>
          <w:tcPr>
            <w:tcW w:w="674" w:type="dxa"/>
            <w:tcBorders>
              <w:top w:val="single" w:sz="2" w:space="0" w:color="000000"/>
              <w:left w:val="single" w:sz="2" w:space="0" w:color="000000"/>
              <w:bottom w:val="single" w:sz="2" w:space="0" w:color="000000"/>
              <w:right w:val="single" w:sz="2" w:space="0" w:color="000000"/>
            </w:tcBorders>
            <w:shd w:val="clear" w:color="auto" w:fill="6D2A78"/>
          </w:tcPr>
          <w:p w14:paraId="28D2C9C4" w14:textId="77777777" w:rsidR="00920B68" w:rsidRPr="00364545" w:rsidRDefault="00920B68" w:rsidP="00920B68">
            <w:pPr>
              <w:spacing w:line="259" w:lineRule="auto"/>
              <w:ind w:left="20"/>
              <w:jc w:val="center"/>
            </w:pPr>
            <w:r w:rsidRPr="00364545">
              <w:rPr>
                <w:b/>
                <w:color w:val="FFFFFF"/>
                <w:sz w:val="18"/>
              </w:rPr>
              <w:t xml:space="preserve">2035 </w:t>
            </w:r>
          </w:p>
        </w:tc>
        <w:tc>
          <w:tcPr>
            <w:tcW w:w="606" w:type="dxa"/>
            <w:tcBorders>
              <w:top w:val="single" w:sz="2" w:space="0" w:color="000000"/>
              <w:left w:val="single" w:sz="2" w:space="0" w:color="000000"/>
              <w:bottom w:val="single" w:sz="2" w:space="0" w:color="000000"/>
              <w:right w:val="single" w:sz="2" w:space="0" w:color="000000"/>
            </w:tcBorders>
            <w:shd w:val="clear" w:color="auto" w:fill="6D2A78"/>
          </w:tcPr>
          <w:p w14:paraId="399320E5"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5294D2AA" w14:textId="77777777" w:rsidTr="00920B68">
        <w:trPr>
          <w:trHeight w:val="347"/>
        </w:trPr>
        <w:tc>
          <w:tcPr>
            <w:tcW w:w="1594" w:type="dxa"/>
            <w:tcBorders>
              <w:top w:val="single" w:sz="2" w:space="0" w:color="000000"/>
              <w:left w:val="single" w:sz="2" w:space="0" w:color="000000"/>
              <w:bottom w:val="single" w:sz="2" w:space="0" w:color="000000"/>
              <w:right w:val="single" w:sz="2" w:space="0" w:color="000000"/>
            </w:tcBorders>
          </w:tcPr>
          <w:p w14:paraId="2F747B0B" w14:textId="77777777" w:rsidR="00920B68" w:rsidRPr="00364545" w:rsidRDefault="00920B68" w:rsidP="00920B68">
            <w:pPr>
              <w:spacing w:line="259" w:lineRule="auto"/>
            </w:pPr>
            <w:r w:rsidRPr="00364545">
              <w:rPr>
                <w:sz w:val="18"/>
              </w:rPr>
              <w:t xml:space="preserve">Energy </w:t>
            </w:r>
          </w:p>
        </w:tc>
        <w:tc>
          <w:tcPr>
            <w:tcW w:w="765" w:type="dxa"/>
            <w:tcBorders>
              <w:top w:val="single" w:sz="2" w:space="0" w:color="000000"/>
              <w:left w:val="single" w:sz="2" w:space="0" w:color="000000"/>
              <w:bottom w:val="single" w:sz="2" w:space="0" w:color="000000"/>
              <w:right w:val="single" w:sz="2" w:space="0" w:color="000000"/>
            </w:tcBorders>
            <w:vAlign w:val="center"/>
          </w:tcPr>
          <w:p w14:paraId="22A12AF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1BF92024"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65" w:type="dxa"/>
            <w:tcBorders>
              <w:top w:val="single" w:sz="2" w:space="0" w:color="000000"/>
              <w:left w:val="single" w:sz="2" w:space="0" w:color="000000"/>
              <w:bottom w:val="single" w:sz="2" w:space="0" w:color="000000"/>
              <w:right w:val="single" w:sz="2" w:space="0" w:color="000000"/>
            </w:tcBorders>
            <w:vAlign w:val="center"/>
          </w:tcPr>
          <w:p w14:paraId="3F52CE95"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66CC0B3C"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67" w:type="dxa"/>
            <w:tcBorders>
              <w:top w:val="single" w:sz="2" w:space="0" w:color="000000"/>
              <w:left w:val="single" w:sz="2" w:space="0" w:color="000000"/>
              <w:bottom w:val="single" w:sz="2" w:space="0" w:color="000000"/>
              <w:right w:val="single" w:sz="2" w:space="0" w:color="000000"/>
            </w:tcBorders>
            <w:vAlign w:val="center"/>
          </w:tcPr>
          <w:p w14:paraId="3CD7E639"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41A7E1FD"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21" w:type="dxa"/>
            <w:tcBorders>
              <w:top w:val="single" w:sz="2" w:space="0" w:color="000000"/>
              <w:left w:val="single" w:sz="2" w:space="0" w:color="000000"/>
              <w:bottom w:val="single" w:sz="2" w:space="0" w:color="000000"/>
              <w:right w:val="single" w:sz="2" w:space="0" w:color="000000"/>
            </w:tcBorders>
            <w:vAlign w:val="center"/>
          </w:tcPr>
          <w:p w14:paraId="6095731C"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606DEEF5"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73" w:type="dxa"/>
            <w:tcBorders>
              <w:top w:val="single" w:sz="2" w:space="0" w:color="000000"/>
              <w:left w:val="single" w:sz="2" w:space="0" w:color="000000"/>
              <w:bottom w:val="single" w:sz="2" w:space="0" w:color="000000"/>
              <w:right w:val="single" w:sz="2" w:space="0" w:color="000000"/>
            </w:tcBorders>
            <w:vAlign w:val="center"/>
          </w:tcPr>
          <w:p w14:paraId="74751B85"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4BADBA72"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74" w:type="dxa"/>
            <w:tcBorders>
              <w:top w:val="single" w:sz="2" w:space="0" w:color="000000"/>
              <w:left w:val="single" w:sz="2" w:space="0" w:color="000000"/>
              <w:bottom w:val="single" w:sz="2" w:space="0" w:color="000000"/>
              <w:right w:val="single" w:sz="2" w:space="0" w:color="000000"/>
            </w:tcBorders>
            <w:vAlign w:val="center"/>
          </w:tcPr>
          <w:p w14:paraId="62D68E70"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c>
          <w:tcPr>
            <w:tcW w:w="606" w:type="dxa"/>
            <w:tcBorders>
              <w:top w:val="single" w:sz="2" w:space="0" w:color="000000"/>
              <w:left w:val="single" w:sz="2" w:space="0" w:color="000000"/>
              <w:bottom w:val="single" w:sz="2" w:space="0" w:color="000000"/>
              <w:right w:val="single" w:sz="2" w:space="0" w:color="000000"/>
            </w:tcBorders>
            <w:vAlign w:val="center"/>
          </w:tcPr>
          <w:p w14:paraId="5C235586"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r>
      <w:tr w:rsidR="00920B68" w:rsidRPr="00364545" w14:paraId="461575AD" w14:textId="77777777" w:rsidTr="00920B68">
        <w:trPr>
          <w:trHeight w:val="416"/>
        </w:trPr>
        <w:tc>
          <w:tcPr>
            <w:tcW w:w="1594" w:type="dxa"/>
            <w:tcBorders>
              <w:top w:val="single" w:sz="2" w:space="0" w:color="000000"/>
              <w:left w:val="single" w:sz="2" w:space="0" w:color="000000"/>
              <w:bottom w:val="single" w:sz="2" w:space="0" w:color="000000"/>
              <w:right w:val="single" w:sz="2" w:space="0" w:color="000000"/>
            </w:tcBorders>
            <w:shd w:val="clear" w:color="auto" w:fill="ECE6E2"/>
          </w:tcPr>
          <w:p w14:paraId="3262AD8F" w14:textId="77777777" w:rsidR="00920B68" w:rsidRPr="00364545" w:rsidRDefault="00920B68" w:rsidP="00920B68">
            <w:pPr>
              <w:spacing w:line="259" w:lineRule="auto"/>
            </w:pPr>
            <w:r w:rsidRPr="00364545">
              <w:rPr>
                <w:sz w:val="18"/>
              </w:rPr>
              <w:t xml:space="preserve">Industrial processes, solvents and other products </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EA90CB6" w14:textId="77777777" w:rsidR="00920B68" w:rsidRPr="00634E4C" w:rsidRDefault="00920B68" w:rsidP="00920B68">
            <w:pPr>
              <w:spacing w:line="259" w:lineRule="auto"/>
              <w:ind w:left="16"/>
              <w:jc w:val="center"/>
              <w:rPr>
                <w:rFonts w:asciiTheme="majorHAnsi" w:hAnsiTheme="majorHAnsi"/>
                <w:sz w:val="18"/>
              </w:rPr>
            </w:pPr>
            <w:r w:rsidRPr="005D0955">
              <w:rPr>
                <w:rFonts w:asciiTheme="majorHAnsi" w:hAnsiTheme="majorHAnsi"/>
                <w:sz w:val="18"/>
                <w:szCs w:val="18"/>
              </w:rPr>
              <w:t>2155</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65959B8" w14:textId="77777777" w:rsidR="00920B68" w:rsidRPr="00634E4C" w:rsidRDefault="00920B68" w:rsidP="00920B68">
            <w:pPr>
              <w:spacing w:line="259" w:lineRule="auto"/>
              <w:ind w:left="19"/>
              <w:jc w:val="center"/>
              <w:rPr>
                <w:rFonts w:asciiTheme="majorHAnsi" w:hAnsiTheme="majorHAnsi"/>
                <w:color w:val="000000"/>
                <w:sz w:val="18"/>
              </w:rPr>
            </w:pPr>
            <w:r w:rsidRPr="005D0955">
              <w:rPr>
                <w:rFonts w:asciiTheme="majorHAnsi" w:hAnsiTheme="majorHAnsi"/>
                <w:sz w:val="18"/>
                <w:szCs w:val="18"/>
              </w:rPr>
              <w:t>2467</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CD392C7"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sz w:val="18"/>
              </w:rPr>
              <w:t>2180</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BB2B934" w14:textId="77777777" w:rsidR="00920B68" w:rsidRPr="00634E4C" w:rsidRDefault="00920B68" w:rsidP="00920B68">
            <w:pPr>
              <w:spacing w:line="259" w:lineRule="auto"/>
              <w:ind w:left="16"/>
              <w:jc w:val="center"/>
              <w:rPr>
                <w:rFonts w:asciiTheme="majorHAnsi" w:hAnsiTheme="majorHAnsi"/>
                <w:color w:val="000000"/>
                <w:sz w:val="18"/>
              </w:rPr>
            </w:pPr>
            <w:r w:rsidRPr="005D0955">
              <w:rPr>
                <w:rFonts w:asciiTheme="majorHAnsi" w:hAnsiTheme="majorHAnsi"/>
                <w:sz w:val="18"/>
                <w:szCs w:val="18"/>
              </w:rPr>
              <w:t>1355</w:t>
            </w:r>
          </w:p>
        </w:tc>
        <w:tc>
          <w:tcPr>
            <w:tcW w:w="667"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277E2B9" w14:textId="77777777" w:rsidR="00920B68" w:rsidRPr="00634E4C" w:rsidRDefault="00920B68" w:rsidP="00920B68">
            <w:pPr>
              <w:spacing w:line="259" w:lineRule="auto"/>
              <w:ind w:left="21"/>
              <w:jc w:val="center"/>
              <w:rPr>
                <w:rFonts w:asciiTheme="majorHAnsi" w:hAnsiTheme="majorHAnsi"/>
                <w:color w:val="000000"/>
                <w:sz w:val="18"/>
              </w:rPr>
            </w:pPr>
            <w:r w:rsidRPr="00634E4C">
              <w:rPr>
                <w:rFonts w:asciiTheme="majorHAnsi" w:hAnsiTheme="majorHAnsi"/>
                <w:sz w:val="18"/>
              </w:rPr>
              <w:t>875</w:t>
            </w:r>
          </w:p>
        </w:tc>
        <w:tc>
          <w:tcPr>
            <w:tcW w:w="6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C419D15"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sz w:val="18"/>
              </w:rPr>
              <w:t>498</w:t>
            </w:r>
          </w:p>
        </w:tc>
        <w:tc>
          <w:tcPr>
            <w:tcW w:w="62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C343294" w14:textId="77777777" w:rsidR="00920B68" w:rsidRPr="00634E4C" w:rsidRDefault="00920B68" w:rsidP="00920B68">
            <w:pPr>
              <w:spacing w:line="259" w:lineRule="auto"/>
              <w:ind w:left="21"/>
              <w:jc w:val="center"/>
              <w:rPr>
                <w:rFonts w:asciiTheme="majorHAnsi" w:hAnsiTheme="majorHAnsi"/>
                <w:color w:val="000000"/>
                <w:sz w:val="18"/>
              </w:rPr>
            </w:pPr>
            <w:r w:rsidRPr="005D0955">
              <w:rPr>
                <w:rFonts w:asciiTheme="majorHAnsi" w:hAnsiTheme="majorHAnsi"/>
                <w:sz w:val="18"/>
                <w:szCs w:val="18"/>
              </w:rPr>
              <w:t>385</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9852CA8" w14:textId="77777777" w:rsidR="00920B68" w:rsidRPr="00634E4C" w:rsidRDefault="00920B68" w:rsidP="00920B68">
            <w:pPr>
              <w:spacing w:line="259" w:lineRule="auto"/>
              <w:ind w:left="21"/>
              <w:jc w:val="center"/>
              <w:rPr>
                <w:rFonts w:asciiTheme="majorHAnsi" w:hAnsiTheme="majorHAnsi"/>
                <w:color w:val="000000"/>
                <w:sz w:val="18"/>
              </w:rPr>
            </w:pPr>
            <w:r w:rsidRPr="00634E4C">
              <w:rPr>
                <w:rFonts w:asciiTheme="majorHAnsi" w:hAnsiTheme="majorHAnsi"/>
                <w:color w:val="000000"/>
                <w:sz w:val="18"/>
              </w:rPr>
              <w:t>387.4</w:t>
            </w:r>
          </w:p>
        </w:tc>
        <w:tc>
          <w:tcPr>
            <w:tcW w:w="673"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50F2184"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color w:val="000000"/>
                <w:sz w:val="18"/>
              </w:rPr>
              <w:t>358.1</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085A1CB" w14:textId="77777777" w:rsidR="00920B68" w:rsidRPr="00634E4C" w:rsidRDefault="00920B68" w:rsidP="00920B68">
            <w:pPr>
              <w:spacing w:line="259" w:lineRule="auto"/>
              <w:ind w:left="21"/>
              <w:jc w:val="center"/>
              <w:rPr>
                <w:rFonts w:asciiTheme="majorHAnsi" w:hAnsiTheme="majorHAnsi"/>
                <w:color w:val="000000"/>
                <w:sz w:val="18"/>
              </w:rPr>
            </w:pPr>
            <w:r w:rsidRPr="00634E4C">
              <w:rPr>
                <w:rFonts w:asciiTheme="majorHAnsi" w:hAnsiTheme="majorHAnsi"/>
                <w:color w:val="000000"/>
                <w:sz w:val="18"/>
              </w:rPr>
              <w:t>359.2</w:t>
            </w:r>
          </w:p>
        </w:tc>
        <w:tc>
          <w:tcPr>
            <w:tcW w:w="674"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19C9E3F" w14:textId="77777777" w:rsidR="00920B68" w:rsidRPr="00634E4C" w:rsidRDefault="00920B68" w:rsidP="00920B68">
            <w:pPr>
              <w:spacing w:line="259" w:lineRule="auto"/>
              <w:ind w:left="20"/>
              <w:jc w:val="center"/>
              <w:rPr>
                <w:rFonts w:asciiTheme="majorHAnsi" w:hAnsiTheme="majorHAnsi"/>
                <w:color w:val="000000"/>
                <w:sz w:val="18"/>
              </w:rPr>
            </w:pPr>
            <w:r w:rsidRPr="00634E4C">
              <w:rPr>
                <w:rFonts w:asciiTheme="majorHAnsi" w:hAnsiTheme="majorHAnsi"/>
                <w:color w:val="000000"/>
                <w:sz w:val="18"/>
              </w:rPr>
              <w:t>360.2</w:t>
            </w:r>
          </w:p>
        </w:tc>
        <w:tc>
          <w:tcPr>
            <w:tcW w:w="60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06FA4E3" w14:textId="77777777" w:rsidR="00920B68" w:rsidRPr="00634E4C" w:rsidRDefault="00920B68" w:rsidP="00920B68">
            <w:pPr>
              <w:spacing w:line="259" w:lineRule="auto"/>
              <w:ind w:left="20"/>
              <w:jc w:val="center"/>
              <w:rPr>
                <w:rFonts w:asciiTheme="majorHAnsi" w:hAnsiTheme="majorHAnsi"/>
                <w:color w:val="000000"/>
                <w:sz w:val="18"/>
              </w:rPr>
            </w:pPr>
            <w:r w:rsidRPr="00634E4C">
              <w:rPr>
                <w:rFonts w:asciiTheme="majorHAnsi" w:hAnsiTheme="majorHAnsi"/>
                <w:color w:val="000000"/>
                <w:sz w:val="18"/>
              </w:rPr>
              <w:t>363.0</w:t>
            </w:r>
          </w:p>
        </w:tc>
      </w:tr>
      <w:tr w:rsidR="00920B68" w:rsidRPr="00364545" w14:paraId="30416427" w14:textId="77777777" w:rsidTr="00920B68">
        <w:trPr>
          <w:trHeight w:val="347"/>
        </w:trPr>
        <w:tc>
          <w:tcPr>
            <w:tcW w:w="1594" w:type="dxa"/>
            <w:tcBorders>
              <w:top w:val="single" w:sz="2" w:space="0" w:color="000000"/>
              <w:left w:val="single" w:sz="2" w:space="0" w:color="000000"/>
              <w:bottom w:val="single" w:sz="2" w:space="0" w:color="000000"/>
              <w:right w:val="single" w:sz="2" w:space="0" w:color="000000"/>
            </w:tcBorders>
          </w:tcPr>
          <w:p w14:paraId="40504630" w14:textId="77777777" w:rsidR="00920B68" w:rsidRPr="00364545" w:rsidRDefault="00920B68" w:rsidP="00920B68">
            <w:pPr>
              <w:spacing w:line="259" w:lineRule="auto"/>
            </w:pPr>
            <w:r w:rsidRPr="00364545">
              <w:rPr>
                <w:sz w:val="18"/>
              </w:rPr>
              <w:t xml:space="preserve">Agriculture (excluding energy) </w:t>
            </w:r>
          </w:p>
        </w:tc>
        <w:tc>
          <w:tcPr>
            <w:tcW w:w="765" w:type="dxa"/>
            <w:tcBorders>
              <w:top w:val="single" w:sz="2" w:space="0" w:color="000000"/>
              <w:left w:val="single" w:sz="2" w:space="0" w:color="000000"/>
              <w:bottom w:val="single" w:sz="2" w:space="0" w:color="000000"/>
              <w:right w:val="single" w:sz="2" w:space="0" w:color="000000"/>
            </w:tcBorders>
            <w:vAlign w:val="center"/>
          </w:tcPr>
          <w:p w14:paraId="62A17F32"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6899803F"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765" w:type="dxa"/>
            <w:tcBorders>
              <w:top w:val="single" w:sz="2" w:space="0" w:color="000000"/>
              <w:left w:val="single" w:sz="2" w:space="0" w:color="000000"/>
              <w:bottom w:val="single" w:sz="2" w:space="0" w:color="000000"/>
              <w:right w:val="single" w:sz="2" w:space="0" w:color="000000"/>
            </w:tcBorders>
            <w:vAlign w:val="center"/>
          </w:tcPr>
          <w:p w14:paraId="63D9DDFB"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3825D202"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67" w:type="dxa"/>
            <w:tcBorders>
              <w:top w:val="single" w:sz="2" w:space="0" w:color="000000"/>
              <w:left w:val="single" w:sz="2" w:space="0" w:color="000000"/>
              <w:bottom w:val="single" w:sz="2" w:space="0" w:color="000000"/>
              <w:right w:val="single" w:sz="2" w:space="0" w:color="000000"/>
            </w:tcBorders>
            <w:vAlign w:val="center"/>
          </w:tcPr>
          <w:p w14:paraId="1DF658D1"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0EBA0559"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21" w:type="dxa"/>
            <w:tcBorders>
              <w:top w:val="single" w:sz="2" w:space="0" w:color="000000"/>
              <w:left w:val="single" w:sz="2" w:space="0" w:color="000000"/>
              <w:bottom w:val="single" w:sz="2" w:space="0" w:color="000000"/>
              <w:right w:val="single" w:sz="2" w:space="0" w:color="000000"/>
            </w:tcBorders>
            <w:vAlign w:val="center"/>
          </w:tcPr>
          <w:p w14:paraId="116BDC62"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71F26627"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3" w:type="dxa"/>
            <w:tcBorders>
              <w:top w:val="single" w:sz="2" w:space="0" w:color="000000"/>
              <w:left w:val="single" w:sz="2" w:space="0" w:color="000000"/>
              <w:bottom w:val="single" w:sz="2" w:space="0" w:color="000000"/>
              <w:right w:val="single" w:sz="2" w:space="0" w:color="000000"/>
            </w:tcBorders>
            <w:vAlign w:val="center"/>
          </w:tcPr>
          <w:p w14:paraId="7B45DC1A"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4219CE0D"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4" w:type="dxa"/>
            <w:tcBorders>
              <w:top w:val="single" w:sz="2" w:space="0" w:color="000000"/>
              <w:left w:val="single" w:sz="2" w:space="0" w:color="000000"/>
              <w:bottom w:val="single" w:sz="2" w:space="0" w:color="000000"/>
              <w:right w:val="single" w:sz="2" w:space="0" w:color="000000"/>
            </w:tcBorders>
            <w:vAlign w:val="center"/>
          </w:tcPr>
          <w:p w14:paraId="7302A542" w14:textId="77777777" w:rsidR="00920B68" w:rsidRPr="00634E4C" w:rsidRDefault="00920B68" w:rsidP="00920B68">
            <w:pPr>
              <w:spacing w:line="259" w:lineRule="auto"/>
              <w:ind w:left="15"/>
              <w:jc w:val="center"/>
              <w:rPr>
                <w:rFonts w:asciiTheme="majorHAnsi" w:hAnsiTheme="majorHAnsi"/>
                <w:b/>
                <w:color w:val="000000"/>
                <w:sz w:val="18"/>
              </w:rPr>
            </w:pPr>
            <w:r w:rsidRPr="00634E4C">
              <w:rPr>
                <w:rFonts w:asciiTheme="majorHAnsi" w:hAnsiTheme="majorHAnsi"/>
                <w:b/>
                <w:color w:val="000000"/>
                <w:sz w:val="18"/>
              </w:rPr>
              <w:t>0</w:t>
            </w:r>
          </w:p>
        </w:tc>
        <w:tc>
          <w:tcPr>
            <w:tcW w:w="606" w:type="dxa"/>
            <w:tcBorders>
              <w:top w:val="single" w:sz="2" w:space="0" w:color="000000"/>
              <w:left w:val="single" w:sz="2" w:space="0" w:color="000000"/>
              <w:bottom w:val="single" w:sz="2" w:space="0" w:color="000000"/>
              <w:right w:val="single" w:sz="2" w:space="0" w:color="000000"/>
            </w:tcBorders>
            <w:vAlign w:val="center"/>
          </w:tcPr>
          <w:p w14:paraId="478ABB54" w14:textId="77777777" w:rsidR="00920B68" w:rsidRPr="00634E4C" w:rsidRDefault="00920B68" w:rsidP="00920B68">
            <w:pPr>
              <w:spacing w:line="259" w:lineRule="auto"/>
              <w:ind w:left="15"/>
              <w:jc w:val="center"/>
              <w:rPr>
                <w:rFonts w:asciiTheme="majorHAnsi" w:hAnsiTheme="majorHAnsi"/>
                <w:b/>
                <w:color w:val="000000"/>
                <w:sz w:val="18"/>
              </w:rPr>
            </w:pPr>
            <w:r w:rsidRPr="00634E4C">
              <w:rPr>
                <w:rFonts w:asciiTheme="majorHAnsi" w:hAnsiTheme="majorHAnsi"/>
                <w:b/>
                <w:color w:val="000000"/>
                <w:sz w:val="18"/>
              </w:rPr>
              <w:t>0</w:t>
            </w:r>
          </w:p>
        </w:tc>
      </w:tr>
      <w:tr w:rsidR="00920B68" w:rsidRPr="00364545" w14:paraId="7E491241" w14:textId="77777777" w:rsidTr="00920B68">
        <w:trPr>
          <w:trHeight w:val="344"/>
        </w:trPr>
        <w:tc>
          <w:tcPr>
            <w:tcW w:w="1594" w:type="dxa"/>
            <w:tcBorders>
              <w:top w:val="single" w:sz="2" w:space="0" w:color="000000"/>
              <w:left w:val="single" w:sz="2" w:space="0" w:color="000000"/>
              <w:bottom w:val="single" w:sz="2" w:space="0" w:color="000000"/>
              <w:right w:val="single" w:sz="2" w:space="0" w:color="000000"/>
            </w:tcBorders>
            <w:shd w:val="clear" w:color="auto" w:fill="ECE6E2"/>
          </w:tcPr>
          <w:p w14:paraId="57ABEF74" w14:textId="77777777" w:rsidR="00920B68" w:rsidRPr="00364545" w:rsidRDefault="00920B68" w:rsidP="00920B68">
            <w:pPr>
              <w:spacing w:line="259" w:lineRule="auto"/>
            </w:pPr>
            <w:r w:rsidRPr="00364545">
              <w:rPr>
                <w:sz w:val="18"/>
              </w:rPr>
              <w:t xml:space="preserve">LULUCF </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0E1353"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083D5C"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269C9C"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052CA44"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3265204"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6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0254FF4"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2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278F7B8"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5C40A89"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D516F1"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5DDE7FB"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D194627" w14:textId="77777777" w:rsidR="00920B68" w:rsidRPr="00634E4C" w:rsidRDefault="00920B68" w:rsidP="00920B68">
            <w:pPr>
              <w:spacing w:line="259" w:lineRule="auto"/>
              <w:ind w:left="15"/>
              <w:jc w:val="center"/>
              <w:rPr>
                <w:rFonts w:asciiTheme="majorHAnsi" w:hAnsiTheme="majorHAnsi"/>
                <w:b/>
                <w:color w:val="000000"/>
                <w:sz w:val="18"/>
              </w:rPr>
            </w:pPr>
            <w:r w:rsidRPr="00634E4C">
              <w:rPr>
                <w:rFonts w:asciiTheme="majorHAnsi" w:hAnsiTheme="majorHAnsi"/>
                <w:b/>
                <w:color w:val="000000"/>
                <w:sz w:val="18"/>
              </w:rPr>
              <w:t>0</w:t>
            </w:r>
          </w:p>
        </w:tc>
        <w:tc>
          <w:tcPr>
            <w:tcW w:w="60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DA501F6" w14:textId="77777777" w:rsidR="00920B68" w:rsidRPr="00634E4C" w:rsidRDefault="00920B68" w:rsidP="00920B68">
            <w:pPr>
              <w:spacing w:line="259" w:lineRule="auto"/>
              <w:ind w:left="15"/>
              <w:jc w:val="center"/>
              <w:rPr>
                <w:rFonts w:asciiTheme="majorHAnsi" w:hAnsiTheme="majorHAnsi"/>
                <w:b/>
                <w:color w:val="000000"/>
                <w:sz w:val="18"/>
              </w:rPr>
            </w:pPr>
            <w:r w:rsidRPr="00634E4C">
              <w:rPr>
                <w:rFonts w:asciiTheme="majorHAnsi" w:hAnsiTheme="majorHAnsi"/>
                <w:b/>
                <w:color w:val="000000"/>
                <w:sz w:val="18"/>
              </w:rPr>
              <w:t>0</w:t>
            </w:r>
          </w:p>
        </w:tc>
      </w:tr>
      <w:tr w:rsidR="00920B68" w:rsidRPr="00364545" w14:paraId="1D34FA4F" w14:textId="77777777" w:rsidTr="00920B68">
        <w:trPr>
          <w:trHeight w:val="346"/>
        </w:trPr>
        <w:tc>
          <w:tcPr>
            <w:tcW w:w="1594" w:type="dxa"/>
            <w:tcBorders>
              <w:top w:val="single" w:sz="2" w:space="0" w:color="000000"/>
              <w:left w:val="single" w:sz="2" w:space="0" w:color="000000"/>
              <w:bottom w:val="single" w:sz="2" w:space="0" w:color="000000"/>
              <w:right w:val="single" w:sz="2" w:space="0" w:color="000000"/>
            </w:tcBorders>
          </w:tcPr>
          <w:p w14:paraId="544E4A4A" w14:textId="77777777" w:rsidR="00920B68" w:rsidRPr="00364545" w:rsidRDefault="00920B68" w:rsidP="00920B68">
            <w:pPr>
              <w:spacing w:line="259" w:lineRule="auto"/>
            </w:pPr>
            <w:r w:rsidRPr="00364545">
              <w:rPr>
                <w:sz w:val="18"/>
              </w:rPr>
              <w:t xml:space="preserve">Waste </w:t>
            </w:r>
          </w:p>
        </w:tc>
        <w:tc>
          <w:tcPr>
            <w:tcW w:w="765" w:type="dxa"/>
            <w:tcBorders>
              <w:top w:val="single" w:sz="2" w:space="0" w:color="000000"/>
              <w:left w:val="single" w:sz="2" w:space="0" w:color="000000"/>
              <w:bottom w:val="single" w:sz="2" w:space="0" w:color="000000"/>
              <w:right w:val="single" w:sz="2" w:space="0" w:color="000000"/>
            </w:tcBorders>
            <w:vAlign w:val="center"/>
          </w:tcPr>
          <w:p w14:paraId="5A84CA54"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92" w:type="dxa"/>
            <w:tcBorders>
              <w:top w:val="single" w:sz="2" w:space="0" w:color="000000"/>
              <w:left w:val="single" w:sz="2" w:space="0" w:color="000000"/>
              <w:bottom w:val="single" w:sz="2" w:space="0" w:color="000000"/>
              <w:right w:val="single" w:sz="2" w:space="0" w:color="000000"/>
            </w:tcBorders>
            <w:vAlign w:val="center"/>
          </w:tcPr>
          <w:p w14:paraId="3352E35D"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765" w:type="dxa"/>
            <w:tcBorders>
              <w:top w:val="single" w:sz="2" w:space="0" w:color="000000"/>
              <w:left w:val="single" w:sz="2" w:space="0" w:color="000000"/>
              <w:bottom w:val="single" w:sz="2" w:space="0" w:color="000000"/>
              <w:right w:val="single" w:sz="2" w:space="0" w:color="000000"/>
            </w:tcBorders>
            <w:vAlign w:val="center"/>
          </w:tcPr>
          <w:p w14:paraId="0DE94160"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487DCA81"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67" w:type="dxa"/>
            <w:tcBorders>
              <w:top w:val="single" w:sz="2" w:space="0" w:color="000000"/>
              <w:left w:val="single" w:sz="2" w:space="0" w:color="000000"/>
              <w:bottom w:val="single" w:sz="2" w:space="0" w:color="000000"/>
              <w:right w:val="single" w:sz="2" w:space="0" w:color="000000"/>
            </w:tcBorders>
            <w:vAlign w:val="center"/>
          </w:tcPr>
          <w:p w14:paraId="1CCE8D68"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3B13A0C1"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21" w:type="dxa"/>
            <w:tcBorders>
              <w:top w:val="single" w:sz="2" w:space="0" w:color="000000"/>
              <w:left w:val="single" w:sz="2" w:space="0" w:color="000000"/>
              <w:bottom w:val="single" w:sz="2" w:space="0" w:color="000000"/>
              <w:right w:val="single" w:sz="2" w:space="0" w:color="000000"/>
            </w:tcBorders>
            <w:vAlign w:val="center"/>
          </w:tcPr>
          <w:p w14:paraId="7B0ADB02"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6A80E631"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3" w:type="dxa"/>
            <w:tcBorders>
              <w:top w:val="single" w:sz="2" w:space="0" w:color="000000"/>
              <w:left w:val="single" w:sz="2" w:space="0" w:color="000000"/>
              <w:bottom w:val="single" w:sz="2" w:space="0" w:color="000000"/>
              <w:right w:val="single" w:sz="2" w:space="0" w:color="000000"/>
            </w:tcBorders>
            <w:vAlign w:val="center"/>
          </w:tcPr>
          <w:p w14:paraId="6E0BD96A" w14:textId="77777777" w:rsidR="00920B68" w:rsidRPr="00634E4C" w:rsidRDefault="00920B68" w:rsidP="00920B68">
            <w:pPr>
              <w:spacing w:line="259" w:lineRule="auto"/>
              <w:ind w:left="14"/>
              <w:jc w:val="center"/>
              <w:rPr>
                <w:rFonts w:asciiTheme="majorHAnsi" w:hAnsiTheme="majorHAnsi"/>
                <w:b/>
                <w:color w:val="000000"/>
                <w:sz w:val="18"/>
              </w:rP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57A09BC3" w14:textId="77777777" w:rsidR="00920B68" w:rsidRPr="00634E4C" w:rsidRDefault="00920B68" w:rsidP="00920B68">
            <w:pPr>
              <w:spacing w:line="259" w:lineRule="auto"/>
              <w:ind w:left="16"/>
              <w:jc w:val="center"/>
              <w:rPr>
                <w:rFonts w:asciiTheme="majorHAnsi" w:hAnsiTheme="majorHAnsi"/>
                <w:b/>
                <w:color w:val="000000"/>
                <w:sz w:val="18"/>
              </w:rPr>
            </w:pPr>
            <w:r w:rsidRPr="00634E4C">
              <w:rPr>
                <w:rFonts w:asciiTheme="majorHAnsi" w:hAnsiTheme="majorHAnsi"/>
                <w:b/>
                <w:color w:val="000000"/>
                <w:sz w:val="18"/>
              </w:rPr>
              <w:t>0</w:t>
            </w:r>
          </w:p>
        </w:tc>
        <w:tc>
          <w:tcPr>
            <w:tcW w:w="674" w:type="dxa"/>
            <w:tcBorders>
              <w:top w:val="single" w:sz="2" w:space="0" w:color="000000"/>
              <w:left w:val="single" w:sz="2" w:space="0" w:color="000000"/>
              <w:bottom w:val="single" w:sz="2" w:space="0" w:color="000000"/>
              <w:right w:val="single" w:sz="2" w:space="0" w:color="000000"/>
            </w:tcBorders>
            <w:vAlign w:val="center"/>
          </w:tcPr>
          <w:p w14:paraId="4784632D" w14:textId="77777777" w:rsidR="00920B68" w:rsidRPr="00634E4C" w:rsidRDefault="00920B68" w:rsidP="00920B68">
            <w:pPr>
              <w:spacing w:line="259" w:lineRule="auto"/>
              <w:ind w:left="15"/>
              <w:jc w:val="center"/>
              <w:rPr>
                <w:rFonts w:asciiTheme="majorHAnsi" w:hAnsiTheme="majorHAnsi"/>
                <w:b/>
                <w:color w:val="000000"/>
                <w:sz w:val="18"/>
              </w:rPr>
            </w:pPr>
            <w:r w:rsidRPr="00634E4C">
              <w:rPr>
                <w:rFonts w:asciiTheme="majorHAnsi" w:hAnsiTheme="majorHAnsi"/>
                <w:b/>
                <w:color w:val="000000"/>
                <w:sz w:val="18"/>
              </w:rPr>
              <w:t>0</w:t>
            </w:r>
          </w:p>
        </w:tc>
        <w:tc>
          <w:tcPr>
            <w:tcW w:w="606" w:type="dxa"/>
            <w:tcBorders>
              <w:top w:val="single" w:sz="2" w:space="0" w:color="000000"/>
              <w:left w:val="single" w:sz="2" w:space="0" w:color="000000"/>
              <w:bottom w:val="single" w:sz="2" w:space="0" w:color="000000"/>
              <w:right w:val="single" w:sz="2" w:space="0" w:color="000000"/>
            </w:tcBorders>
            <w:vAlign w:val="center"/>
          </w:tcPr>
          <w:p w14:paraId="3CDD9F4C" w14:textId="77777777" w:rsidR="00920B68" w:rsidRPr="00634E4C" w:rsidRDefault="00920B68" w:rsidP="00920B68">
            <w:pPr>
              <w:spacing w:line="259" w:lineRule="auto"/>
              <w:ind w:left="15"/>
              <w:jc w:val="center"/>
              <w:rPr>
                <w:rFonts w:asciiTheme="majorHAnsi" w:hAnsiTheme="majorHAnsi"/>
                <w:b/>
                <w:color w:val="000000"/>
                <w:sz w:val="18"/>
              </w:rPr>
            </w:pPr>
            <w:r w:rsidRPr="00634E4C">
              <w:rPr>
                <w:rFonts w:asciiTheme="majorHAnsi" w:hAnsiTheme="majorHAnsi"/>
                <w:b/>
                <w:color w:val="000000"/>
                <w:sz w:val="18"/>
              </w:rPr>
              <w:t>0</w:t>
            </w:r>
          </w:p>
        </w:tc>
      </w:tr>
      <w:tr w:rsidR="00920B68" w:rsidRPr="00364545" w14:paraId="5B5B849E" w14:textId="77777777" w:rsidTr="00920B68">
        <w:trPr>
          <w:trHeight w:val="343"/>
        </w:trPr>
        <w:tc>
          <w:tcPr>
            <w:tcW w:w="1594" w:type="dxa"/>
            <w:tcBorders>
              <w:top w:val="single" w:sz="2" w:space="0" w:color="000000"/>
              <w:left w:val="single" w:sz="2" w:space="0" w:color="000000"/>
              <w:bottom w:val="single" w:sz="2" w:space="0" w:color="000000"/>
              <w:right w:val="single" w:sz="2" w:space="0" w:color="000000"/>
            </w:tcBorders>
            <w:shd w:val="clear" w:color="auto" w:fill="ECE6E2"/>
          </w:tcPr>
          <w:p w14:paraId="1473580F" w14:textId="77777777" w:rsidR="00920B68" w:rsidRPr="00364545" w:rsidRDefault="00920B68" w:rsidP="00920B68">
            <w:pPr>
              <w:spacing w:line="259" w:lineRule="auto"/>
            </w:pPr>
            <w:r w:rsidRPr="00364545">
              <w:rPr>
                <w:b/>
                <w:sz w:val="18"/>
              </w:rPr>
              <w:t xml:space="preserve">Ensemble (hors UTCF) </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805E322" w14:textId="77777777" w:rsidR="00920B68" w:rsidRPr="00634E4C" w:rsidRDefault="00920B68" w:rsidP="00920B68">
            <w:pPr>
              <w:spacing w:line="259" w:lineRule="auto"/>
              <w:ind w:left="16"/>
              <w:jc w:val="center"/>
              <w:rPr>
                <w:rFonts w:asciiTheme="majorHAnsi" w:hAnsiTheme="majorHAnsi"/>
                <w:sz w:val="18"/>
              </w:rPr>
            </w:pPr>
            <w:r w:rsidRPr="005D0955">
              <w:rPr>
                <w:rFonts w:asciiTheme="majorHAnsi" w:hAnsiTheme="majorHAnsi"/>
                <w:sz w:val="18"/>
                <w:szCs w:val="18"/>
              </w:rPr>
              <w:t>2155</w:t>
            </w:r>
          </w:p>
        </w:tc>
        <w:tc>
          <w:tcPr>
            <w:tcW w:w="79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4E76539"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2467</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C22F554"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2180</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42A6525" w14:textId="77777777" w:rsidR="00920B68" w:rsidRPr="00634E4C" w:rsidRDefault="00920B68" w:rsidP="00920B68">
            <w:pPr>
              <w:spacing w:line="259" w:lineRule="auto"/>
              <w:ind w:left="16"/>
              <w:jc w:val="center"/>
              <w:rPr>
                <w:rFonts w:asciiTheme="majorHAnsi" w:hAnsiTheme="majorHAnsi"/>
                <w:b/>
                <w:color w:val="000000"/>
                <w:sz w:val="18"/>
              </w:rPr>
            </w:pPr>
            <w:r w:rsidRPr="005D0955">
              <w:rPr>
                <w:rFonts w:asciiTheme="majorHAnsi" w:hAnsiTheme="majorHAnsi"/>
                <w:sz w:val="18"/>
                <w:szCs w:val="18"/>
              </w:rPr>
              <w:t>1355</w:t>
            </w:r>
          </w:p>
        </w:tc>
        <w:tc>
          <w:tcPr>
            <w:tcW w:w="667"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976F6D0"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sz w:val="18"/>
              </w:rPr>
              <w:t>875</w:t>
            </w:r>
          </w:p>
        </w:tc>
        <w:tc>
          <w:tcPr>
            <w:tcW w:w="66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3E75025"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498</w:t>
            </w:r>
          </w:p>
        </w:tc>
        <w:tc>
          <w:tcPr>
            <w:tcW w:w="62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BFA7953" w14:textId="77777777" w:rsidR="00920B68" w:rsidRPr="00634E4C" w:rsidRDefault="00920B68" w:rsidP="00920B68">
            <w:pPr>
              <w:spacing w:line="259" w:lineRule="auto"/>
              <w:ind w:left="21"/>
              <w:jc w:val="center"/>
              <w:rPr>
                <w:rFonts w:asciiTheme="majorHAnsi" w:hAnsiTheme="majorHAnsi"/>
                <w:b/>
                <w:color w:val="000000"/>
                <w:sz w:val="18"/>
              </w:rPr>
            </w:pPr>
            <w:r w:rsidRPr="005D0955">
              <w:rPr>
                <w:rFonts w:asciiTheme="majorHAnsi" w:hAnsiTheme="majorHAnsi"/>
                <w:sz w:val="18"/>
                <w:szCs w:val="18"/>
              </w:rPr>
              <w:t>385</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30D55D8"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387.4</w:t>
            </w:r>
          </w:p>
        </w:tc>
        <w:tc>
          <w:tcPr>
            <w:tcW w:w="673"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1A32081"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358.1</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A22B0F5"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359.2</w:t>
            </w:r>
          </w:p>
        </w:tc>
        <w:tc>
          <w:tcPr>
            <w:tcW w:w="674"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FEB7467"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360.2</w:t>
            </w:r>
          </w:p>
        </w:tc>
        <w:tc>
          <w:tcPr>
            <w:tcW w:w="60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6DD859B"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363.0</w:t>
            </w:r>
          </w:p>
        </w:tc>
      </w:tr>
      <w:tr w:rsidR="00920B68" w:rsidRPr="00364545" w14:paraId="0435D8EA" w14:textId="77777777" w:rsidTr="00920B68">
        <w:trPr>
          <w:trHeight w:val="346"/>
        </w:trPr>
        <w:tc>
          <w:tcPr>
            <w:tcW w:w="1594" w:type="dxa"/>
            <w:tcBorders>
              <w:top w:val="single" w:sz="2" w:space="0" w:color="000000"/>
              <w:left w:val="single" w:sz="2" w:space="0" w:color="000000"/>
              <w:bottom w:val="single" w:sz="2" w:space="0" w:color="000000"/>
              <w:right w:val="single" w:sz="2" w:space="0" w:color="000000"/>
            </w:tcBorders>
          </w:tcPr>
          <w:p w14:paraId="60FB7E28" w14:textId="77777777" w:rsidR="00920B68" w:rsidRPr="00364545" w:rsidRDefault="00920B68" w:rsidP="00920B68">
            <w:pPr>
              <w:spacing w:line="259" w:lineRule="auto"/>
            </w:pPr>
            <w:r w:rsidRPr="00364545">
              <w:rPr>
                <w:b/>
                <w:sz w:val="18"/>
              </w:rPr>
              <w:t xml:space="preserve">Ensemble (avec UTCF) </w:t>
            </w:r>
          </w:p>
        </w:tc>
        <w:tc>
          <w:tcPr>
            <w:tcW w:w="765" w:type="dxa"/>
            <w:tcBorders>
              <w:top w:val="single" w:sz="2" w:space="0" w:color="000000"/>
              <w:left w:val="single" w:sz="2" w:space="0" w:color="000000"/>
              <w:bottom w:val="single" w:sz="2" w:space="0" w:color="000000"/>
              <w:right w:val="single" w:sz="2" w:space="0" w:color="000000"/>
            </w:tcBorders>
            <w:vAlign w:val="bottom"/>
          </w:tcPr>
          <w:p w14:paraId="2B23BFCA" w14:textId="77777777" w:rsidR="00920B68" w:rsidRPr="00634E4C" w:rsidRDefault="00920B68" w:rsidP="00920B68">
            <w:pPr>
              <w:spacing w:line="259" w:lineRule="auto"/>
              <w:ind w:left="16"/>
              <w:jc w:val="center"/>
              <w:rPr>
                <w:rFonts w:asciiTheme="majorHAnsi" w:hAnsiTheme="majorHAnsi"/>
                <w:sz w:val="18"/>
              </w:rPr>
            </w:pPr>
            <w:r w:rsidRPr="005D0955">
              <w:rPr>
                <w:rFonts w:asciiTheme="majorHAnsi" w:hAnsiTheme="majorHAnsi"/>
                <w:sz w:val="18"/>
                <w:szCs w:val="18"/>
              </w:rPr>
              <w:t>2155</w:t>
            </w:r>
          </w:p>
        </w:tc>
        <w:tc>
          <w:tcPr>
            <w:tcW w:w="792" w:type="dxa"/>
            <w:tcBorders>
              <w:top w:val="single" w:sz="2" w:space="0" w:color="000000"/>
              <w:left w:val="single" w:sz="2" w:space="0" w:color="000000"/>
              <w:bottom w:val="single" w:sz="2" w:space="0" w:color="000000"/>
              <w:right w:val="single" w:sz="2" w:space="0" w:color="000000"/>
            </w:tcBorders>
            <w:vAlign w:val="bottom"/>
          </w:tcPr>
          <w:p w14:paraId="15817A82"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2467</w:t>
            </w:r>
          </w:p>
        </w:tc>
        <w:tc>
          <w:tcPr>
            <w:tcW w:w="765" w:type="dxa"/>
            <w:tcBorders>
              <w:top w:val="single" w:sz="2" w:space="0" w:color="000000"/>
              <w:left w:val="single" w:sz="2" w:space="0" w:color="000000"/>
              <w:bottom w:val="single" w:sz="2" w:space="0" w:color="000000"/>
              <w:right w:val="single" w:sz="2" w:space="0" w:color="000000"/>
            </w:tcBorders>
            <w:vAlign w:val="bottom"/>
          </w:tcPr>
          <w:p w14:paraId="234583B4"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2180</w:t>
            </w:r>
          </w:p>
        </w:tc>
        <w:tc>
          <w:tcPr>
            <w:tcW w:w="762" w:type="dxa"/>
            <w:tcBorders>
              <w:top w:val="single" w:sz="2" w:space="0" w:color="000000"/>
              <w:left w:val="single" w:sz="2" w:space="0" w:color="000000"/>
              <w:bottom w:val="single" w:sz="2" w:space="0" w:color="000000"/>
              <w:right w:val="single" w:sz="2" w:space="0" w:color="000000"/>
            </w:tcBorders>
            <w:vAlign w:val="bottom"/>
          </w:tcPr>
          <w:p w14:paraId="3CDA45E4" w14:textId="77777777" w:rsidR="00920B68" w:rsidRPr="00634E4C" w:rsidRDefault="00920B68" w:rsidP="00920B68">
            <w:pPr>
              <w:spacing w:line="259" w:lineRule="auto"/>
              <w:ind w:left="16"/>
              <w:jc w:val="center"/>
              <w:rPr>
                <w:rFonts w:asciiTheme="majorHAnsi" w:hAnsiTheme="majorHAnsi"/>
                <w:b/>
                <w:color w:val="000000"/>
                <w:sz w:val="18"/>
              </w:rPr>
            </w:pPr>
            <w:r w:rsidRPr="005D0955">
              <w:rPr>
                <w:rFonts w:asciiTheme="majorHAnsi" w:hAnsiTheme="majorHAnsi"/>
                <w:sz w:val="18"/>
                <w:szCs w:val="18"/>
              </w:rPr>
              <w:t>1355</w:t>
            </w:r>
          </w:p>
        </w:tc>
        <w:tc>
          <w:tcPr>
            <w:tcW w:w="667" w:type="dxa"/>
            <w:tcBorders>
              <w:top w:val="single" w:sz="2" w:space="0" w:color="000000"/>
              <w:left w:val="single" w:sz="2" w:space="0" w:color="000000"/>
              <w:bottom w:val="single" w:sz="2" w:space="0" w:color="000000"/>
              <w:right w:val="single" w:sz="2" w:space="0" w:color="000000"/>
            </w:tcBorders>
            <w:vAlign w:val="bottom"/>
          </w:tcPr>
          <w:p w14:paraId="1CB809D5"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sz w:val="18"/>
              </w:rPr>
              <w:t>875</w:t>
            </w:r>
          </w:p>
        </w:tc>
        <w:tc>
          <w:tcPr>
            <w:tcW w:w="665" w:type="dxa"/>
            <w:tcBorders>
              <w:top w:val="single" w:sz="2" w:space="0" w:color="000000"/>
              <w:left w:val="single" w:sz="2" w:space="0" w:color="000000"/>
              <w:bottom w:val="single" w:sz="2" w:space="0" w:color="000000"/>
              <w:right w:val="single" w:sz="2" w:space="0" w:color="000000"/>
            </w:tcBorders>
            <w:vAlign w:val="bottom"/>
          </w:tcPr>
          <w:p w14:paraId="5B5DE73A"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498</w:t>
            </w:r>
          </w:p>
        </w:tc>
        <w:tc>
          <w:tcPr>
            <w:tcW w:w="621" w:type="dxa"/>
            <w:tcBorders>
              <w:top w:val="single" w:sz="2" w:space="0" w:color="000000"/>
              <w:left w:val="single" w:sz="2" w:space="0" w:color="000000"/>
              <w:bottom w:val="single" w:sz="2" w:space="0" w:color="000000"/>
              <w:right w:val="single" w:sz="2" w:space="0" w:color="000000"/>
            </w:tcBorders>
            <w:vAlign w:val="bottom"/>
          </w:tcPr>
          <w:p w14:paraId="3C7C7469" w14:textId="77777777" w:rsidR="00920B68" w:rsidRPr="00634E4C" w:rsidRDefault="00920B68" w:rsidP="00920B68">
            <w:pPr>
              <w:spacing w:line="259" w:lineRule="auto"/>
              <w:ind w:left="21"/>
              <w:jc w:val="center"/>
              <w:rPr>
                <w:rFonts w:asciiTheme="majorHAnsi" w:hAnsiTheme="majorHAnsi"/>
                <w:b/>
                <w:color w:val="000000"/>
                <w:sz w:val="18"/>
              </w:rPr>
            </w:pPr>
            <w:r w:rsidRPr="005D0955">
              <w:rPr>
                <w:rFonts w:asciiTheme="majorHAnsi" w:hAnsiTheme="majorHAnsi"/>
                <w:sz w:val="18"/>
                <w:szCs w:val="18"/>
              </w:rPr>
              <w:t>385</w:t>
            </w:r>
          </w:p>
        </w:tc>
        <w:tc>
          <w:tcPr>
            <w:tcW w:w="675" w:type="dxa"/>
            <w:tcBorders>
              <w:top w:val="single" w:sz="2" w:space="0" w:color="000000"/>
              <w:left w:val="single" w:sz="2" w:space="0" w:color="000000"/>
              <w:bottom w:val="single" w:sz="2" w:space="0" w:color="000000"/>
              <w:right w:val="single" w:sz="2" w:space="0" w:color="000000"/>
            </w:tcBorders>
            <w:vAlign w:val="bottom"/>
          </w:tcPr>
          <w:p w14:paraId="0D8ABFE8"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387.4</w:t>
            </w:r>
          </w:p>
        </w:tc>
        <w:tc>
          <w:tcPr>
            <w:tcW w:w="673" w:type="dxa"/>
            <w:tcBorders>
              <w:top w:val="single" w:sz="2" w:space="0" w:color="000000"/>
              <w:left w:val="single" w:sz="2" w:space="0" w:color="000000"/>
              <w:bottom w:val="single" w:sz="2" w:space="0" w:color="000000"/>
              <w:right w:val="single" w:sz="2" w:space="0" w:color="000000"/>
            </w:tcBorders>
            <w:vAlign w:val="bottom"/>
          </w:tcPr>
          <w:p w14:paraId="1EF0E001"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358.1</w:t>
            </w:r>
          </w:p>
        </w:tc>
        <w:tc>
          <w:tcPr>
            <w:tcW w:w="675" w:type="dxa"/>
            <w:tcBorders>
              <w:top w:val="single" w:sz="2" w:space="0" w:color="000000"/>
              <w:left w:val="single" w:sz="2" w:space="0" w:color="000000"/>
              <w:bottom w:val="single" w:sz="2" w:space="0" w:color="000000"/>
              <w:right w:val="single" w:sz="2" w:space="0" w:color="000000"/>
            </w:tcBorders>
            <w:vAlign w:val="bottom"/>
          </w:tcPr>
          <w:p w14:paraId="19CE4D19" w14:textId="77777777" w:rsidR="00920B68" w:rsidRPr="00634E4C" w:rsidRDefault="00920B68" w:rsidP="00920B68">
            <w:pPr>
              <w:spacing w:line="259" w:lineRule="auto"/>
              <w:ind w:left="21"/>
              <w:jc w:val="center"/>
              <w:rPr>
                <w:rFonts w:asciiTheme="majorHAnsi" w:hAnsiTheme="majorHAnsi"/>
                <w:b/>
                <w:color w:val="000000"/>
                <w:sz w:val="18"/>
              </w:rPr>
            </w:pPr>
            <w:r w:rsidRPr="00634E4C">
              <w:rPr>
                <w:rFonts w:asciiTheme="majorHAnsi" w:hAnsiTheme="majorHAnsi"/>
                <w:b/>
                <w:color w:val="000000"/>
                <w:sz w:val="18"/>
              </w:rPr>
              <w:t>359.2</w:t>
            </w:r>
          </w:p>
        </w:tc>
        <w:tc>
          <w:tcPr>
            <w:tcW w:w="674" w:type="dxa"/>
            <w:tcBorders>
              <w:top w:val="single" w:sz="2" w:space="0" w:color="000000"/>
              <w:left w:val="single" w:sz="2" w:space="0" w:color="000000"/>
              <w:bottom w:val="single" w:sz="2" w:space="0" w:color="000000"/>
              <w:right w:val="single" w:sz="2" w:space="0" w:color="000000"/>
            </w:tcBorders>
            <w:vAlign w:val="bottom"/>
          </w:tcPr>
          <w:p w14:paraId="1A707D8B"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360.2</w:t>
            </w:r>
          </w:p>
        </w:tc>
        <w:tc>
          <w:tcPr>
            <w:tcW w:w="606" w:type="dxa"/>
            <w:tcBorders>
              <w:top w:val="single" w:sz="2" w:space="0" w:color="000000"/>
              <w:left w:val="single" w:sz="2" w:space="0" w:color="000000"/>
              <w:bottom w:val="single" w:sz="2" w:space="0" w:color="000000"/>
              <w:right w:val="single" w:sz="2" w:space="0" w:color="000000"/>
            </w:tcBorders>
            <w:vAlign w:val="bottom"/>
          </w:tcPr>
          <w:p w14:paraId="688CFF95" w14:textId="77777777" w:rsidR="00920B68" w:rsidRPr="00634E4C" w:rsidRDefault="00920B68" w:rsidP="00920B68">
            <w:pPr>
              <w:spacing w:line="259" w:lineRule="auto"/>
              <w:ind w:left="20"/>
              <w:jc w:val="center"/>
              <w:rPr>
                <w:rFonts w:asciiTheme="majorHAnsi" w:hAnsiTheme="majorHAnsi"/>
                <w:b/>
                <w:color w:val="000000"/>
                <w:sz w:val="18"/>
              </w:rPr>
            </w:pPr>
            <w:r w:rsidRPr="00634E4C">
              <w:rPr>
                <w:rFonts w:asciiTheme="majorHAnsi" w:hAnsiTheme="majorHAnsi"/>
                <w:b/>
                <w:color w:val="000000"/>
                <w:sz w:val="18"/>
              </w:rPr>
              <w:t>363.0</w:t>
            </w:r>
          </w:p>
        </w:tc>
      </w:tr>
    </w:tbl>
    <w:p w14:paraId="20CF3E0F" w14:textId="77777777" w:rsidR="00920B68" w:rsidRPr="00364545" w:rsidRDefault="00920B68" w:rsidP="00920B68">
      <w:pPr>
        <w:pStyle w:val="Caption"/>
      </w:pPr>
      <w:r w:rsidRPr="00364545">
        <w:t xml:space="preserve">Table </w:t>
      </w:r>
      <w:fldSimple w:instr=" SEQ Tableau \* ARABIC ">
        <w:r w:rsidRPr="00364545">
          <w:rPr>
            <w:noProof/>
          </w:rPr>
          <w:t>24</w:t>
        </w:r>
      </w:fldSimple>
      <w:r w:rsidRPr="00364545">
        <w:t>: SF</w:t>
      </w:r>
      <w:r w:rsidRPr="00364545">
        <w:rPr>
          <w:vertAlign w:val="subscript"/>
        </w:rPr>
        <w:t>6</w:t>
      </w:r>
      <w:r w:rsidRPr="00364545">
        <w:t xml:space="preserve"> emissions projections (in ktCO</w:t>
      </w:r>
      <w:r w:rsidRPr="00364545">
        <w:rPr>
          <w:vertAlign w:val="subscript"/>
        </w:rPr>
        <w:t>2e</w:t>
      </w:r>
      <w:r w:rsidRPr="00364545">
        <w:t>) in the Kyoto scope in the AME 2021 scenario (with existing measures)</w:t>
      </w:r>
    </w:p>
    <w:p w14:paraId="498C9001" w14:textId="77777777" w:rsidR="00920B68" w:rsidRPr="00364545" w:rsidRDefault="00920B68" w:rsidP="00920B68">
      <w:pPr>
        <w:pStyle w:val="Caption"/>
      </w:pPr>
      <w:r w:rsidRPr="00364545">
        <w:t>Source: UN</w:t>
      </w:r>
      <w:r>
        <w:t>FCCC inventory, Citepa/MTE, 2022</w:t>
      </w:r>
      <w:r w:rsidRPr="00364545">
        <w:t xml:space="preserve"> submission and MTE emission projections, 2021</w:t>
      </w:r>
    </w:p>
    <w:p w14:paraId="307D45F0" w14:textId="77777777" w:rsidR="00920B68" w:rsidRPr="00364545" w:rsidRDefault="00920B68" w:rsidP="00920B68"/>
    <w:p w14:paraId="50F0DE48" w14:textId="77777777" w:rsidR="00920B68" w:rsidRPr="00364545" w:rsidRDefault="00920B68" w:rsidP="00920B68">
      <w:pPr>
        <w:rPr>
          <w:sz w:val="18"/>
          <w:szCs w:val="18"/>
        </w:rPr>
      </w:pPr>
    </w:p>
    <w:tbl>
      <w:tblPr>
        <w:tblStyle w:val="TableGrid0"/>
        <w:tblW w:w="9934" w:type="dxa"/>
        <w:tblInd w:w="10" w:type="dxa"/>
        <w:tblCellMar>
          <w:top w:w="39" w:type="dxa"/>
          <w:left w:w="28" w:type="dxa"/>
          <w:bottom w:w="2" w:type="dxa"/>
          <w:right w:w="48" w:type="dxa"/>
        </w:tblCellMar>
        <w:tblLook w:val="04A0" w:firstRow="1" w:lastRow="0" w:firstColumn="1" w:lastColumn="0" w:noHBand="0" w:noVBand="1"/>
      </w:tblPr>
      <w:tblGrid>
        <w:gridCol w:w="1672"/>
        <w:gridCol w:w="730"/>
        <w:gridCol w:w="731"/>
        <w:gridCol w:w="731"/>
        <w:gridCol w:w="729"/>
        <w:gridCol w:w="680"/>
        <w:gridCol w:w="677"/>
        <w:gridCol w:w="627"/>
        <w:gridCol w:w="688"/>
        <w:gridCol w:w="686"/>
        <w:gridCol w:w="688"/>
        <w:gridCol w:w="686"/>
        <w:gridCol w:w="609"/>
      </w:tblGrid>
      <w:tr w:rsidR="00920B68" w:rsidRPr="00364545" w14:paraId="0B111714" w14:textId="77777777" w:rsidTr="00920B68">
        <w:trPr>
          <w:trHeight w:val="401"/>
        </w:trPr>
        <w:tc>
          <w:tcPr>
            <w:tcW w:w="1672" w:type="dxa"/>
            <w:tcBorders>
              <w:top w:val="single" w:sz="2" w:space="0" w:color="000000"/>
              <w:left w:val="single" w:sz="2" w:space="0" w:color="000000"/>
              <w:bottom w:val="single" w:sz="2" w:space="0" w:color="000000"/>
              <w:right w:val="single" w:sz="2" w:space="0" w:color="000000"/>
            </w:tcBorders>
            <w:shd w:val="clear" w:color="auto" w:fill="6D2A78"/>
          </w:tcPr>
          <w:p w14:paraId="438C3EAE" w14:textId="77777777" w:rsidR="00920B68" w:rsidRPr="00364545" w:rsidRDefault="00920B68" w:rsidP="00920B68">
            <w:pPr>
              <w:spacing w:line="259" w:lineRule="auto"/>
            </w:pPr>
            <w:r>
              <w:t>AME</w:t>
            </w:r>
            <w:r w:rsidRPr="00364545">
              <w:t xml:space="preserve"> 21 </w:t>
            </w:r>
            <w:r w:rsidRPr="005D0955">
              <w:rPr>
                <w:szCs w:val="22"/>
              </w:rPr>
              <w:t xml:space="preserve">- </w:t>
            </w:r>
            <w:r w:rsidRPr="00634E4C">
              <w:t>NF3</w:t>
            </w:r>
          </w:p>
        </w:tc>
        <w:tc>
          <w:tcPr>
            <w:tcW w:w="730" w:type="dxa"/>
            <w:tcBorders>
              <w:top w:val="single" w:sz="2" w:space="0" w:color="000000"/>
              <w:left w:val="single" w:sz="2" w:space="0" w:color="000000"/>
              <w:bottom w:val="single" w:sz="2" w:space="0" w:color="000000"/>
              <w:right w:val="single" w:sz="2" w:space="0" w:color="000000"/>
            </w:tcBorders>
            <w:shd w:val="clear" w:color="auto" w:fill="6D2A78"/>
          </w:tcPr>
          <w:p w14:paraId="764D80D5" w14:textId="77777777" w:rsidR="00920B68" w:rsidRPr="00364545" w:rsidRDefault="00920B68" w:rsidP="00920B68">
            <w:pPr>
              <w:spacing w:line="259" w:lineRule="auto"/>
              <w:ind w:left="19"/>
              <w:jc w:val="center"/>
            </w:pPr>
            <w:r w:rsidRPr="00364545">
              <w:rPr>
                <w:b/>
                <w:color w:val="FFFFFF"/>
                <w:sz w:val="18"/>
              </w:rPr>
              <w:t xml:space="preserve">1990 </w:t>
            </w:r>
          </w:p>
        </w:tc>
        <w:tc>
          <w:tcPr>
            <w:tcW w:w="731" w:type="dxa"/>
            <w:tcBorders>
              <w:top w:val="single" w:sz="2" w:space="0" w:color="000000"/>
              <w:left w:val="single" w:sz="2" w:space="0" w:color="000000"/>
              <w:bottom w:val="single" w:sz="2" w:space="0" w:color="000000"/>
              <w:right w:val="single" w:sz="2" w:space="0" w:color="000000"/>
            </w:tcBorders>
            <w:shd w:val="clear" w:color="auto" w:fill="6D2A78"/>
          </w:tcPr>
          <w:p w14:paraId="1654739A"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31" w:type="dxa"/>
            <w:tcBorders>
              <w:top w:val="single" w:sz="2" w:space="0" w:color="000000"/>
              <w:left w:val="single" w:sz="2" w:space="0" w:color="000000"/>
              <w:bottom w:val="single" w:sz="2" w:space="0" w:color="000000"/>
              <w:right w:val="single" w:sz="2" w:space="0" w:color="000000"/>
            </w:tcBorders>
            <w:shd w:val="clear" w:color="auto" w:fill="6D2A78"/>
          </w:tcPr>
          <w:p w14:paraId="40E3971D" w14:textId="77777777" w:rsidR="00920B68" w:rsidRPr="00364545" w:rsidRDefault="00920B68" w:rsidP="00920B68">
            <w:pPr>
              <w:spacing w:line="259" w:lineRule="auto"/>
              <w:ind w:left="21"/>
              <w:jc w:val="center"/>
            </w:pPr>
            <w:r w:rsidRPr="00364545">
              <w:rPr>
                <w:b/>
                <w:color w:val="FFFFFF"/>
                <w:sz w:val="18"/>
              </w:rPr>
              <w:t xml:space="preserve">2000 </w:t>
            </w:r>
          </w:p>
        </w:tc>
        <w:tc>
          <w:tcPr>
            <w:tcW w:w="729" w:type="dxa"/>
            <w:tcBorders>
              <w:top w:val="single" w:sz="2" w:space="0" w:color="000000"/>
              <w:left w:val="single" w:sz="2" w:space="0" w:color="000000"/>
              <w:bottom w:val="single" w:sz="2" w:space="0" w:color="000000"/>
              <w:right w:val="single" w:sz="2" w:space="0" w:color="000000"/>
            </w:tcBorders>
            <w:shd w:val="clear" w:color="auto" w:fill="6D2A78"/>
          </w:tcPr>
          <w:p w14:paraId="762907E7" w14:textId="77777777" w:rsidR="00920B68" w:rsidRPr="00364545" w:rsidRDefault="00920B68" w:rsidP="00920B68">
            <w:pPr>
              <w:spacing w:line="259" w:lineRule="auto"/>
              <w:ind w:left="19"/>
              <w:jc w:val="center"/>
            </w:pPr>
            <w:r w:rsidRPr="00364545">
              <w:rPr>
                <w:b/>
                <w:color w:val="FFFFFF"/>
                <w:sz w:val="18"/>
              </w:rPr>
              <w:t xml:space="preserve">2005 </w:t>
            </w:r>
          </w:p>
        </w:tc>
        <w:tc>
          <w:tcPr>
            <w:tcW w:w="680" w:type="dxa"/>
            <w:tcBorders>
              <w:top w:val="single" w:sz="2" w:space="0" w:color="000000"/>
              <w:left w:val="single" w:sz="2" w:space="0" w:color="000000"/>
              <w:bottom w:val="single" w:sz="2" w:space="0" w:color="000000"/>
              <w:right w:val="single" w:sz="2" w:space="0" w:color="000000"/>
            </w:tcBorders>
            <w:shd w:val="clear" w:color="auto" w:fill="6D2A78"/>
          </w:tcPr>
          <w:p w14:paraId="1F2116FD" w14:textId="77777777" w:rsidR="00920B68" w:rsidRPr="00364545" w:rsidRDefault="00920B68" w:rsidP="00920B68">
            <w:pPr>
              <w:spacing w:line="259" w:lineRule="auto"/>
              <w:ind w:left="21"/>
              <w:jc w:val="center"/>
            </w:pPr>
            <w:r w:rsidRPr="00364545">
              <w:rPr>
                <w:b/>
                <w:color w:val="FFFFFF"/>
                <w:sz w:val="18"/>
              </w:rPr>
              <w:t xml:space="preserve">2010 </w:t>
            </w:r>
          </w:p>
        </w:tc>
        <w:tc>
          <w:tcPr>
            <w:tcW w:w="677" w:type="dxa"/>
            <w:tcBorders>
              <w:top w:val="single" w:sz="2" w:space="0" w:color="000000"/>
              <w:left w:val="single" w:sz="2" w:space="0" w:color="000000"/>
              <w:bottom w:val="single" w:sz="2" w:space="0" w:color="000000"/>
              <w:right w:val="single" w:sz="2" w:space="0" w:color="000000"/>
            </w:tcBorders>
            <w:shd w:val="clear" w:color="auto" w:fill="6D2A78"/>
          </w:tcPr>
          <w:p w14:paraId="537BBB4E" w14:textId="77777777" w:rsidR="00920B68" w:rsidRPr="00364545" w:rsidRDefault="00920B68" w:rsidP="00920B68">
            <w:pPr>
              <w:spacing w:line="259" w:lineRule="auto"/>
              <w:ind w:left="19"/>
              <w:jc w:val="center"/>
            </w:pPr>
            <w:r w:rsidRPr="00364545">
              <w:rPr>
                <w:b/>
                <w:color w:val="FFFFFF"/>
                <w:sz w:val="18"/>
              </w:rPr>
              <w:t xml:space="preserve">2015 </w:t>
            </w:r>
          </w:p>
        </w:tc>
        <w:tc>
          <w:tcPr>
            <w:tcW w:w="627" w:type="dxa"/>
            <w:tcBorders>
              <w:top w:val="single" w:sz="2" w:space="0" w:color="000000"/>
              <w:left w:val="single" w:sz="2" w:space="0" w:color="000000"/>
              <w:bottom w:val="single" w:sz="2" w:space="0" w:color="000000"/>
              <w:right w:val="single" w:sz="2" w:space="0" w:color="000000"/>
            </w:tcBorders>
            <w:shd w:val="clear" w:color="auto" w:fill="6D2A78"/>
          </w:tcPr>
          <w:p w14:paraId="4CCD7F8B" w14:textId="77777777" w:rsidR="00920B68" w:rsidRPr="00364545" w:rsidRDefault="00920B68" w:rsidP="00920B68">
            <w:pPr>
              <w:spacing w:line="259" w:lineRule="auto"/>
              <w:ind w:left="21"/>
              <w:jc w:val="center"/>
              <w:rPr>
                <w:b/>
                <w:color w:val="FFFFFF"/>
                <w:sz w:val="18"/>
              </w:rPr>
            </w:pPr>
            <w:r w:rsidRPr="00364545">
              <w:rPr>
                <w:b/>
                <w:color w:val="FFFFFF"/>
                <w:sz w:val="18"/>
              </w:rPr>
              <w:t>2019</w:t>
            </w:r>
          </w:p>
        </w:tc>
        <w:tc>
          <w:tcPr>
            <w:tcW w:w="688" w:type="dxa"/>
            <w:tcBorders>
              <w:top w:val="single" w:sz="2" w:space="0" w:color="000000"/>
              <w:left w:val="single" w:sz="2" w:space="0" w:color="000000"/>
              <w:bottom w:val="single" w:sz="2" w:space="0" w:color="000000"/>
              <w:right w:val="single" w:sz="2" w:space="0" w:color="000000"/>
            </w:tcBorders>
            <w:shd w:val="clear" w:color="auto" w:fill="6D2A78"/>
          </w:tcPr>
          <w:p w14:paraId="02A2DA08" w14:textId="77777777" w:rsidR="00920B68" w:rsidRPr="00364545" w:rsidRDefault="00920B68" w:rsidP="00920B68">
            <w:pPr>
              <w:spacing w:line="259" w:lineRule="auto"/>
              <w:ind w:left="21"/>
              <w:jc w:val="center"/>
            </w:pPr>
            <w:r w:rsidRPr="00364545">
              <w:rPr>
                <w:b/>
                <w:color w:val="FFFFFF"/>
                <w:sz w:val="18"/>
              </w:rPr>
              <w:t xml:space="preserve">2020 </w:t>
            </w:r>
          </w:p>
        </w:tc>
        <w:tc>
          <w:tcPr>
            <w:tcW w:w="686" w:type="dxa"/>
            <w:tcBorders>
              <w:top w:val="single" w:sz="2" w:space="0" w:color="000000"/>
              <w:left w:val="single" w:sz="2" w:space="0" w:color="000000"/>
              <w:bottom w:val="single" w:sz="2" w:space="0" w:color="000000"/>
              <w:right w:val="single" w:sz="2" w:space="0" w:color="000000"/>
            </w:tcBorders>
            <w:shd w:val="clear" w:color="auto" w:fill="6D2A78"/>
          </w:tcPr>
          <w:p w14:paraId="3C9312EA" w14:textId="77777777" w:rsidR="00920B68" w:rsidRPr="00364545" w:rsidRDefault="00920B68" w:rsidP="00920B68">
            <w:pPr>
              <w:spacing w:line="259" w:lineRule="auto"/>
              <w:ind w:left="19"/>
              <w:jc w:val="center"/>
            </w:pPr>
            <w:r w:rsidRPr="00364545">
              <w:rPr>
                <w:b/>
                <w:color w:val="FFFFFF"/>
                <w:sz w:val="18"/>
              </w:rPr>
              <w:t xml:space="preserve">2025 </w:t>
            </w:r>
          </w:p>
        </w:tc>
        <w:tc>
          <w:tcPr>
            <w:tcW w:w="688" w:type="dxa"/>
            <w:tcBorders>
              <w:top w:val="single" w:sz="2" w:space="0" w:color="000000"/>
              <w:left w:val="single" w:sz="2" w:space="0" w:color="000000"/>
              <w:bottom w:val="single" w:sz="2" w:space="0" w:color="000000"/>
              <w:right w:val="single" w:sz="2" w:space="0" w:color="000000"/>
            </w:tcBorders>
            <w:shd w:val="clear" w:color="auto" w:fill="6D2A78"/>
          </w:tcPr>
          <w:p w14:paraId="714962B7" w14:textId="77777777" w:rsidR="00920B68" w:rsidRPr="00364545" w:rsidRDefault="00920B68" w:rsidP="00920B68">
            <w:pPr>
              <w:spacing w:line="259" w:lineRule="auto"/>
              <w:ind w:left="21"/>
              <w:jc w:val="center"/>
            </w:pPr>
            <w:r w:rsidRPr="00364545">
              <w:rPr>
                <w:b/>
                <w:color w:val="FFFFFF"/>
                <w:sz w:val="18"/>
              </w:rPr>
              <w:t xml:space="preserve">2030 </w:t>
            </w:r>
          </w:p>
        </w:tc>
        <w:tc>
          <w:tcPr>
            <w:tcW w:w="686" w:type="dxa"/>
            <w:tcBorders>
              <w:top w:val="single" w:sz="2" w:space="0" w:color="000000"/>
              <w:left w:val="single" w:sz="2" w:space="0" w:color="000000"/>
              <w:bottom w:val="single" w:sz="2" w:space="0" w:color="000000"/>
              <w:right w:val="single" w:sz="2" w:space="0" w:color="000000"/>
            </w:tcBorders>
            <w:shd w:val="clear" w:color="auto" w:fill="6D2A78"/>
          </w:tcPr>
          <w:p w14:paraId="275CF0CE" w14:textId="77777777" w:rsidR="00920B68" w:rsidRPr="00364545" w:rsidRDefault="00920B68" w:rsidP="00920B68">
            <w:pPr>
              <w:spacing w:line="259" w:lineRule="auto"/>
              <w:ind w:left="20"/>
              <w:jc w:val="center"/>
            </w:pPr>
            <w:r w:rsidRPr="00364545">
              <w:rPr>
                <w:b/>
                <w:color w:val="FFFFFF"/>
                <w:sz w:val="18"/>
              </w:rPr>
              <w:t xml:space="preserve">2035 </w:t>
            </w:r>
          </w:p>
        </w:tc>
        <w:tc>
          <w:tcPr>
            <w:tcW w:w="609" w:type="dxa"/>
            <w:tcBorders>
              <w:top w:val="single" w:sz="2" w:space="0" w:color="000000"/>
              <w:left w:val="single" w:sz="2" w:space="0" w:color="000000"/>
              <w:bottom w:val="single" w:sz="2" w:space="0" w:color="000000"/>
              <w:right w:val="single" w:sz="2" w:space="0" w:color="000000"/>
            </w:tcBorders>
            <w:shd w:val="clear" w:color="auto" w:fill="6D2A78"/>
          </w:tcPr>
          <w:p w14:paraId="338EDF16"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3E36D00E" w14:textId="77777777" w:rsidTr="00920B68">
        <w:trPr>
          <w:trHeight w:val="347"/>
        </w:trPr>
        <w:tc>
          <w:tcPr>
            <w:tcW w:w="1672" w:type="dxa"/>
            <w:tcBorders>
              <w:top w:val="single" w:sz="2" w:space="0" w:color="000000"/>
              <w:left w:val="single" w:sz="2" w:space="0" w:color="000000"/>
              <w:bottom w:val="single" w:sz="2" w:space="0" w:color="000000"/>
              <w:right w:val="single" w:sz="2" w:space="0" w:color="000000"/>
            </w:tcBorders>
          </w:tcPr>
          <w:p w14:paraId="29AF03B4" w14:textId="77777777" w:rsidR="00920B68" w:rsidRPr="00364545" w:rsidRDefault="00920B68" w:rsidP="00920B68">
            <w:pPr>
              <w:spacing w:line="259" w:lineRule="auto"/>
            </w:pPr>
            <w:r w:rsidRPr="00364545">
              <w:rPr>
                <w:sz w:val="18"/>
              </w:rPr>
              <w:t xml:space="preserve">Energy </w:t>
            </w:r>
          </w:p>
        </w:tc>
        <w:tc>
          <w:tcPr>
            <w:tcW w:w="730" w:type="dxa"/>
            <w:tcBorders>
              <w:top w:val="single" w:sz="2" w:space="0" w:color="000000"/>
              <w:left w:val="single" w:sz="2" w:space="0" w:color="000000"/>
              <w:bottom w:val="single" w:sz="2" w:space="0" w:color="000000"/>
              <w:right w:val="single" w:sz="2" w:space="0" w:color="000000"/>
            </w:tcBorders>
            <w:vAlign w:val="center"/>
          </w:tcPr>
          <w:p w14:paraId="3A2DD507"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31" w:type="dxa"/>
            <w:tcBorders>
              <w:top w:val="single" w:sz="2" w:space="0" w:color="000000"/>
              <w:left w:val="single" w:sz="2" w:space="0" w:color="000000"/>
              <w:bottom w:val="single" w:sz="2" w:space="0" w:color="000000"/>
              <w:right w:val="single" w:sz="2" w:space="0" w:color="000000"/>
            </w:tcBorders>
            <w:vAlign w:val="center"/>
          </w:tcPr>
          <w:p w14:paraId="0B522FB5"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31" w:type="dxa"/>
            <w:tcBorders>
              <w:top w:val="single" w:sz="2" w:space="0" w:color="000000"/>
              <w:left w:val="single" w:sz="2" w:space="0" w:color="000000"/>
              <w:bottom w:val="single" w:sz="2" w:space="0" w:color="000000"/>
              <w:right w:val="single" w:sz="2" w:space="0" w:color="000000"/>
            </w:tcBorders>
            <w:vAlign w:val="center"/>
          </w:tcPr>
          <w:p w14:paraId="6AFCF523"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729" w:type="dxa"/>
            <w:tcBorders>
              <w:top w:val="single" w:sz="2" w:space="0" w:color="000000"/>
              <w:left w:val="single" w:sz="2" w:space="0" w:color="000000"/>
              <w:bottom w:val="single" w:sz="2" w:space="0" w:color="000000"/>
              <w:right w:val="single" w:sz="2" w:space="0" w:color="000000"/>
            </w:tcBorders>
            <w:vAlign w:val="center"/>
          </w:tcPr>
          <w:p w14:paraId="05553D60"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80" w:type="dxa"/>
            <w:tcBorders>
              <w:top w:val="single" w:sz="2" w:space="0" w:color="000000"/>
              <w:left w:val="single" w:sz="2" w:space="0" w:color="000000"/>
              <w:bottom w:val="single" w:sz="2" w:space="0" w:color="000000"/>
              <w:right w:val="single" w:sz="2" w:space="0" w:color="000000"/>
            </w:tcBorders>
            <w:vAlign w:val="center"/>
          </w:tcPr>
          <w:p w14:paraId="32203084"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77" w:type="dxa"/>
            <w:tcBorders>
              <w:top w:val="single" w:sz="2" w:space="0" w:color="000000"/>
              <w:left w:val="single" w:sz="2" w:space="0" w:color="000000"/>
              <w:bottom w:val="single" w:sz="2" w:space="0" w:color="000000"/>
              <w:right w:val="single" w:sz="2" w:space="0" w:color="000000"/>
            </w:tcBorders>
            <w:vAlign w:val="center"/>
          </w:tcPr>
          <w:p w14:paraId="17F20AFA"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27" w:type="dxa"/>
            <w:tcBorders>
              <w:top w:val="single" w:sz="2" w:space="0" w:color="000000"/>
              <w:left w:val="single" w:sz="2" w:space="0" w:color="000000"/>
              <w:bottom w:val="single" w:sz="2" w:space="0" w:color="000000"/>
              <w:right w:val="single" w:sz="2" w:space="0" w:color="000000"/>
            </w:tcBorders>
            <w:vAlign w:val="center"/>
          </w:tcPr>
          <w:p w14:paraId="3B9BD630"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88" w:type="dxa"/>
            <w:tcBorders>
              <w:top w:val="single" w:sz="2" w:space="0" w:color="000000"/>
              <w:left w:val="single" w:sz="2" w:space="0" w:color="000000"/>
              <w:bottom w:val="single" w:sz="2" w:space="0" w:color="000000"/>
              <w:right w:val="single" w:sz="2" w:space="0" w:color="000000"/>
            </w:tcBorders>
            <w:vAlign w:val="center"/>
          </w:tcPr>
          <w:p w14:paraId="6474C035"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86" w:type="dxa"/>
            <w:tcBorders>
              <w:top w:val="single" w:sz="2" w:space="0" w:color="000000"/>
              <w:left w:val="single" w:sz="2" w:space="0" w:color="000000"/>
              <w:bottom w:val="single" w:sz="2" w:space="0" w:color="000000"/>
              <w:right w:val="single" w:sz="2" w:space="0" w:color="000000"/>
            </w:tcBorders>
            <w:vAlign w:val="center"/>
          </w:tcPr>
          <w:p w14:paraId="6DFEAA1C"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688" w:type="dxa"/>
            <w:tcBorders>
              <w:top w:val="single" w:sz="2" w:space="0" w:color="000000"/>
              <w:left w:val="single" w:sz="2" w:space="0" w:color="000000"/>
              <w:bottom w:val="single" w:sz="2" w:space="0" w:color="000000"/>
              <w:right w:val="single" w:sz="2" w:space="0" w:color="000000"/>
            </w:tcBorders>
            <w:vAlign w:val="center"/>
          </w:tcPr>
          <w:p w14:paraId="5DD0F3D9" w14:textId="77777777" w:rsidR="00920B68" w:rsidRPr="00634E4C" w:rsidRDefault="00920B68" w:rsidP="00920B68">
            <w:pPr>
              <w:spacing w:line="259" w:lineRule="auto"/>
              <w:ind w:left="16"/>
              <w:jc w:val="center"/>
              <w:rPr>
                <w:rFonts w:asciiTheme="majorHAnsi" w:hAnsiTheme="majorHAnsi"/>
                <w:sz w:val="18"/>
              </w:rPr>
            </w:pPr>
            <w:r w:rsidRPr="00634E4C">
              <w:rPr>
                <w:rFonts w:asciiTheme="majorHAnsi" w:hAnsiTheme="majorHAnsi"/>
                <w:sz w:val="18"/>
              </w:rPr>
              <w:t>0</w:t>
            </w:r>
          </w:p>
        </w:tc>
        <w:tc>
          <w:tcPr>
            <w:tcW w:w="686" w:type="dxa"/>
            <w:tcBorders>
              <w:top w:val="single" w:sz="2" w:space="0" w:color="000000"/>
              <w:left w:val="single" w:sz="2" w:space="0" w:color="000000"/>
              <w:bottom w:val="single" w:sz="2" w:space="0" w:color="000000"/>
              <w:right w:val="single" w:sz="2" w:space="0" w:color="000000"/>
            </w:tcBorders>
            <w:vAlign w:val="center"/>
          </w:tcPr>
          <w:p w14:paraId="3427B974"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c>
          <w:tcPr>
            <w:tcW w:w="609" w:type="dxa"/>
            <w:tcBorders>
              <w:top w:val="single" w:sz="2" w:space="0" w:color="000000"/>
              <w:left w:val="single" w:sz="2" w:space="0" w:color="000000"/>
              <w:bottom w:val="single" w:sz="2" w:space="0" w:color="000000"/>
              <w:right w:val="single" w:sz="2" w:space="0" w:color="000000"/>
            </w:tcBorders>
            <w:vAlign w:val="center"/>
          </w:tcPr>
          <w:p w14:paraId="73026703" w14:textId="77777777" w:rsidR="00920B68" w:rsidRPr="00634E4C" w:rsidRDefault="00920B68" w:rsidP="00920B68">
            <w:pPr>
              <w:spacing w:line="259" w:lineRule="auto"/>
              <w:ind w:left="15"/>
              <w:jc w:val="center"/>
              <w:rPr>
                <w:rFonts w:asciiTheme="majorHAnsi" w:hAnsiTheme="majorHAnsi"/>
                <w:sz w:val="18"/>
              </w:rPr>
            </w:pPr>
            <w:r w:rsidRPr="00634E4C">
              <w:rPr>
                <w:rFonts w:asciiTheme="majorHAnsi" w:hAnsiTheme="majorHAnsi"/>
                <w:sz w:val="18"/>
              </w:rPr>
              <w:t>0</w:t>
            </w:r>
          </w:p>
        </w:tc>
      </w:tr>
      <w:tr w:rsidR="00920B68" w:rsidRPr="00364545" w14:paraId="3AD7E38D" w14:textId="77777777" w:rsidTr="00920B68">
        <w:trPr>
          <w:trHeight w:val="416"/>
        </w:trPr>
        <w:tc>
          <w:tcPr>
            <w:tcW w:w="1672" w:type="dxa"/>
            <w:tcBorders>
              <w:top w:val="single" w:sz="2" w:space="0" w:color="000000"/>
              <w:left w:val="single" w:sz="2" w:space="0" w:color="000000"/>
              <w:bottom w:val="single" w:sz="2" w:space="0" w:color="000000"/>
              <w:right w:val="single" w:sz="2" w:space="0" w:color="000000"/>
            </w:tcBorders>
            <w:shd w:val="clear" w:color="auto" w:fill="ECE6E2"/>
          </w:tcPr>
          <w:p w14:paraId="57D88D90" w14:textId="77777777" w:rsidR="00920B68" w:rsidRPr="00364545" w:rsidRDefault="00920B68" w:rsidP="00920B68">
            <w:pPr>
              <w:spacing w:line="259" w:lineRule="auto"/>
            </w:pPr>
            <w:r w:rsidRPr="00364545">
              <w:rPr>
                <w:sz w:val="18"/>
              </w:rPr>
              <w:t xml:space="preserve">Industrial processes, solvents and other products </w:t>
            </w:r>
          </w:p>
        </w:tc>
        <w:tc>
          <w:tcPr>
            <w:tcW w:w="73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9BBBD68" w14:textId="77777777" w:rsidR="00920B68" w:rsidRPr="00634E4C" w:rsidRDefault="00920B68" w:rsidP="00920B68">
            <w:pPr>
              <w:spacing w:line="259" w:lineRule="auto"/>
              <w:ind w:left="19"/>
              <w:jc w:val="center"/>
              <w:rPr>
                <w:rFonts w:asciiTheme="majorHAnsi" w:hAnsiTheme="majorHAnsi"/>
                <w:sz w:val="18"/>
              </w:rPr>
            </w:pPr>
            <w:r w:rsidRPr="00634E4C">
              <w:rPr>
                <w:rFonts w:asciiTheme="majorHAnsi" w:hAnsiTheme="majorHAnsi"/>
                <w:sz w:val="18"/>
              </w:rPr>
              <w:t>16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25E0E6F"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sz w:val="18"/>
              </w:rPr>
              <w:t>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D5C6F06" w14:textId="77777777" w:rsidR="00920B68" w:rsidRPr="00634E4C" w:rsidRDefault="00920B68" w:rsidP="00920B68">
            <w:pPr>
              <w:spacing w:line="259" w:lineRule="auto"/>
              <w:ind w:left="19"/>
              <w:jc w:val="center"/>
              <w:rPr>
                <w:rFonts w:asciiTheme="majorHAnsi" w:hAnsiTheme="majorHAnsi"/>
                <w:color w:val="000000"/>
                <w:sz w:val="18"/>
              </w:rPr>
            </w:pPr>
            <w:r w:rsidRPr="005D0955">
              <w:rPr>
                <w:rFonts w:asciiTheme="majorHAnsi" w:hAnsiTheme="majorHAnsi"/>
                <w:sz w:val="18"/>
                <w:szCs w:val="18"/>
              </w:rPr>
              <w:t>20</w:t>
            </w:r>
          </w:p>
        </w:tc>
        <w:tc>
          <w:tcPr>
            <w:tcW w:w="72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E1C0396"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sz w:val="18"/>
              </w:rPr>
              <w:t>31</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3C25322"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sz w:val="18"/>
              </w:rPr>
              <w:t>32</w:t>
            </w:r>
          </w:p>
        </w:tc>
        <w:tc>
          <w:tcPr>
            <w:tcW w:w="677"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0FBF753"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sz w:val="18"/>
              </w:rPr>
              <w:t>6</w:t>
            </w:r>
          </w:p>
        </w:tc>
        <w:tc>
          <w:tcPr>
            <w:tcW w:w="627"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D4BF8ED"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sz w:val="18"/>
              </w:rPr>
              <w:t>10</w:t>
            </w:r>
          </w:p>
        </w:tc>
        <w:tc>
          <w:tcPr>
            <w:tcW w:w="688"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6998AC5"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color w:val="000000"/>
                <w:sz w:val="18"/>
              </w:rPr>
              <w:t>9.4</w:t>
            </w:r>
          </w:p>
        </w:tc>
        <w:tc>
          <w:tcPr>
            <w:tcW w:w="68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B6D65FC"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color w:val="000000"/>
                <w:sz w:val="18"/>
              </w:rPr>
              <w:t>10.4</w:t>
            </w:r>
          </w:p>
        </w:tc>
        <w:tc>
          <w:tcPr>
            <w:tcW w:w="688"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EEE33C9"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color w:val="000000"/>
                <w:sz w:val="18"/>
              </w:rPr>
              <w:t>10.4</w:t>
            </w:r>
          </w:p>
        </w:tc>
        <w:tc>
          <w:tcPr>
            <w:tcW w:w="68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23458B8D"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color w:val="000000"/>
                <w:sz w:val="18"/>
              </w:rPr>
              <w:t>10.4</w:t>
            </w:r>
          </w:p>
        </w:tc>
        <w:tc>
          <w:tcPr>
            <w:tcW w:w="60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3E07586B" w14:textId="77777777" w:rsidR="00920B68" w:rsidRPr="00634E4C" w:rsidRDefault="00920B68" w:rsidP="00920B68">
            <w:pPr>
              <w:spacing w:line="259" w:lineRule="auto"/>
              <w:ind w:left="19"/>
              <w:jc w:val="center"/>
              <w:rPr>
                <w:rFonts w:asciiTheme="majorHAnsi" w:hAnsiTheme="majorHAnsi"/>
                <w:color w:val="000000"/>
                <w:sz w:val="18"/>
              </w:rPr>
            </w:pPr>
            <w:r w:rsidRPr="00634E4C">
              <w:rPr>
                <w:rFonts w:asciiTheme="majorHAnsi" w:hAnsiTheme="majorHAnsi"/>
                <w:color w:val="000000"/>
                <w:sz w:val="18"/>
              </w:rPr>
              <w:t>10.5</w:t>
            </w:r>
          </w:p>
        </w:tc>
      </w:tr>
      <w:tr w:rsidR="00920B68" w:rsidRPr="00364545" w14:paraId="0ECB2729" w14:textId="77777777" w:rsidTr="00920B68">
        <w:trPr>
          <w:trHeight w:val="347"/>
        </w:trPr>
        <w:tc>
          <w:tcPr>
            <w:tcW w:w="1672" w:type="dxa"/>
            <w:tcBorders>
              <w:top w:val="single" w:sz="2" w:space="0" w:color="000000"/>
              <w:left w:val="single" w:sz="2" w:space="0" w:color="000000"/>
              <w:bottom w:val="single" w:sz="2" w:space="0" w:color="000000"/>
              <w:right w:val="single" w:sz="2" w:space="0" w:color="000000"/>
            </w:tcBorders>
          </w:tcPr>
          <w:p w14:paraId="07417A88" w14:textId="77777777" w:rsidR="00920B68" w:rsidRPr="00364545" w:rsidRDefault="00920B68" w:rsidP="00920B68">
            <w:pPr>
              <w:spacing w:line="259" w:lineRule="auto"/>
            </w:pPr>
            <w:r w:rsidRPr="00364545">
              <w:rPr>
                <w:sz w:val="18"/>
              </w:rPr>
              <w:t xml:space="preserve">Agriculture (excluding energy) </w:t>
            </w:r>
          </w:p>
        </w:tc>
        <w:tc>
          <w:tcPr>
            <w:tcW w:w="730" w:type="dxa"/>
            <w:tcBorders>
              <w:top w:val="single" w:sz="2" w:space="0" w:color="000000"/>
              <w:left w:val="single" w:sz="2" w:space="0" w:color="000000"/>
              <w:bottom w:val="single" w:sz="2" w:space="0" w:color="000000"/>
              <w:right w:val="single" w:sz="2" w:space="0" w:color="000000"/>
            </w:tcBorders>
            <w:vAlign w:val="center"/>
          </w:tcPr>
          <w:p w14:paraId="760672DE"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31" w:type="dxa"/>
            <w:tcBorders>
              <w:top w:val="single" w:sz="2" w:space="0" w:color="000000"/>
              <w:left w:val="single" w:sz="2" w:space="0" w:color="000000"/>
              <w:bottom w:val="single" w:sz="2" w:space="0" w:color="000000"/>
              <w:right w:val="single" w:sz="2" w:space="0" w:color="000000"/>
            </w:tcBorders>
            <w:vAlign w:val="center"/>
          </w:tcPr>
          <w:p w14:paraId="7071A914"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731" w:type="dxa"/>
            <w:tcBorders>
              <w:top w:val="single" w:sz="2" w:space="0" w:color="000000"/>
              <w:left w:val="single" w:sz="2" w:space="0" w:color="000000"/>
              <w:bottom w:val="single" w:sz="2" w:space="0" w:color="000000"/>
              <w:right w:val="single" w:sz="2" w:space="0" w:color="000000"/>
            </w:tcBorders>
            <w:vAlign w:val="center"/>
          </w:tcPr>
          <w:p w14:paraId="53705CF9"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729" w:type="dxa"/>
            <w:tcBorders>
              <w:top w:val="single" w:sz="2" w:space="0" w:color="000000"/>
              <w:left w:val="single" w:sz="2" w:space="0" w:color="000000"/>
              <w:bottom w:val="single" w:sz="2" w:space="0" w:color="000000"/>
              <w:right w:val="single" w:sz="2" w:space="0" w:color="000000"/>
            </w:tcBorders>
            <w:vAlign w:val="center"/>
          </w:tcPr>
          <w:p w14:paraId="18ABAE47"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0" w:type="dxa"/>
            <w:tcBorders>
              <w:top w:val="single" w:sz="2" w:space="0" w:color="000000"/>
              <w:left w:val="single" w:sz="2" w:space="0" w:color="000000"/>
              <w:bottom w:val="single" w:sz="2" w:space="0" w:color="000000"/>
              <w:right w:val="single" w:sz="2" w:space="0" w:color="000000"/>
            </w:tcBorders>
            <w:vAlign w:val="center"/>
          </w:tcPr>
          <w:p w14:paraId="0D4989E6"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77" w:type="dxa"/>
            <w:tcBorders>
              <w:top w:val="single" w:sz="2" w:space="0" w:color="000000"/>
              <w:left w:val="single" w:sz="2" w:space="0" w:color="000000"/>
              <w:bottom w:val="single" w:sz="2" w:space="0" w:color="000000"/>
              <w:right w:val="single" w:sz="2" w:space="0" w:color="000000"/>
            </w:tcBorders>
            <w:vAlign w:val="center"/>
          </w:tcPr>
          <w:p w14:paraId="593C078F"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27" w:type="dxa"/>
            <w:tcBorders>
              <w:top w:val="single" w:sz="2" w:space="0" w:color="000000"/>
              <w:left w:val="single" w:sz="2" w:space="0" w:color="000000"/>
              <w:bottom w:val="single" w:sz="2" w:space="0" w:color="000000"/>
              <w:right w:val="single" w:sz="2" w:space="0" w:color="000000"/>
            </w:tcBorders>
            <w:vAlign w:val="center"/>
          </w:tcPr>
          <w:p w14:paraId="6EFACBF8"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8" w:type="dxa"/>
            <w:tcBorders>
              <w:top w:val="single" w:sz="2" w:space="0" w:color="000000"/>
              <w:left w:val="single" w:sz="2" w:space="0" w:color="000000"/>
              <w:bottom w:val="single" w:sz="2" w:space="0" w:color="000000"/>
              <w:right w:val="single" w:sz="2" w:space="0" w:color="000000"/>
            </w:tcBorders>
            <w:vAlign w:val="center"/>
          </w:tcPr>
          <w:p w14:paraId="266FCCD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6" w:type="dxa"/>
            <w:tcBorders>
              <w:top w:val="single" w:sz="2" w:space="0" w:color="000000"/>
              <w:left w:val="single" w:sz="2" w:space="0" w:color="000000"/>
              <w:bottom w:val="single" w:sz="2" w:space="0" w:color="000000"/>
              <w:right w:val="single" w:sz="2" w:space="0" w:color="000000"/>
            </w:tcBorders>
            <w:vAlign w:val="center"/>
          </w:tcPr>
          <w:p w14:paraId="2A118B80"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8" w:type="dxa"/>
            <w:tcBorders>
              <w:top w:val="single" w:sz="2" w:space="0" w:color="000000"/>
              <w:left w:val="single" w:sz="2" w:space="0" w:color="000000"/>
              <w:bottom w:val="single" w:sz="2" w:space="0" w:color="000000"/>
              <w:right w:val="single" w:sz="2" w:space="0" w:color="000000"/>
            </w:tcBorders>
            <w:vAlign w:val="center"/>
          </w:tcPr>
          <w:p w14:paraId="7E2186F6"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6" w:type="dxa"/>
            <w:tcBorders>
              <w:top w:val="single" w:sz="2" w:space="0" w:color="000000"/>
              <w:left w:val="single" w:sz="2" w:space="0" w:color="000000"/>
              <w:bottom w:val="single" w:sz="2" w:space="0" w:color="000000"/>
              <w:right w:val="single" w:sz="2" w:space="0" w:color="000000"/>
            </w:tcBorders>
            <w:vAlign w:val="center"/>
          </w:tcPr>
          <w:p w14:paraId="674386EC"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09" w:type="dxa"/>
            <w:tcBorders>
              <w:top w:val="single" w:sz="2" w:space="0" w:color="000000"/>
              <w:left w:val="single" w:sz="2" w:space="0" w:color="000000"/>
              <w:bottom w:val="single" w:sz="2" w:space="0" w:color="000000"/>
              <w:right w:val="single" w:sz="2" w:space="0" w:color="000000"/>
            </w:tcBorders>
            <w:vAlign w:val="center"/>
          </w:tcPr>
          <w:p w14:paraId="249BF9CE"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r>
      <w:tr w:rsidR="00920B68" w:rsidRPr="00364545" w14:paraId="0624E7AE" w14:textId="77777777" w:rsidTr="00920B68">
        <w:trPr>
          <w:trHeight w:val="344"/>
        </w:trPr>
        <w:tc>
          <w:tcPr>
            <w:tcW w:w="1672" w:type="dxa"/>
            <w:tcBorders>
              <w:top w:val="single" w:sz="2" w:space="0" w:color="000000"/>
              <w:left w:val="single" w:sz="2" w:space="0" w:color="000000"/>
              <w:bottom w:val="single" w:sz="2" w:space="0" w:color="000000"/>
              <w:right w:val="single" w:sz="2" w:space="0" w:color="000000"/>
            </w:tcBorders>
            <w:shd w:val="clear" w:color="auto" w:fill="ECE6E2"/>
          </w:tcPr>
          <w:p w14:paraId="22AA02C6" w14:textId="77777777" w:rsidR="00920B68" w:rsidRPr="00364545" w:rsidRDefault="00920B68" w:rsidP="00920B68">
            <w:pPr>
              <w:spacing w:line="259" w:lineRule="auto"/>
            </w:pPr>
            <w:r w:rsidRPr="00364545">
              <w:rPr>
                <w:sz w:val="18"/>
              </w:rPr>
              <w:t xml:space="preserve">LULUCF </w:t>
            </w:r>
          </w:p>
        </w:tc>
        <w:tc>
          <w:tcPr>
            <w:tcW w:w="73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392637"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E7C0656"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70C02E8"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72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2D86D41"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E40A89"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7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752540"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2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F22EF47"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424744"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B4D8B1"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3E9C1BD"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9BA356C"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0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7A027D4"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r>
      <w:tr w:rsidR="00920B68" w:rsidRPr="00364545" w14:paraId="6A2B1ECD" w14:textId="77777777" w:rsidTr="00920B68">
        <w:trPr>
          <w:trHeight w:val="346"/>
        </w:trPr>
        <w:tc>
          <w:tcPr>
            <w:tcW w:w="1672" w:type="dxa"/>
            <w:tcBorders>
              <w:top w:val="single" w:sz="2" w:space="0" w:color="000000"/>
              <w:left w:val="single" w:sz="2" w:space="0" w:color="000000"/>
              <w:bottom w:val="single" w:sz="2" w:space="0" w:color="000000"/>
              <w:right w:val="single" w:sz="2" w:space="0" w:color="000000"/>
            </w:tcBorders>
          </w:tcPr>
          <w:p w14:paraId="50D8B4C2" w14:textId="77777777" w:rsidR="00920B68" w:rsidRPr="00364545" w:rsidRDefault="00920B68" w:rsidP="00920B68">
            <w:pPr>
              <w:spacing w:line="259" w:lineRule="auto"/>
            </w:pPr>
            <w:r w:rsidRPr="00364545">
              <w:rPr>
                <w:sz w:val="18"/>
              </w:rPr>
              <w:t xml:space="preserve">Waste </w:t>
            </w:r>
          </w:p>
        </w:tc>
        <w:tc>
          <w:tcPr>
            <w:tcW w:w="730" w:type="dxa"/>
            <w:tcBorders>
              <w:top w:val="single" w:sz="2" w:space="0" w:color="000000"/>
              <w:left w:val="single" w:sz="2" w:space="0" w:color="000000"/>
              <w:bottom w:val="single" w:sz="2" w:space="0" w:color="000000"/>
              <w:right w:val="single" w:sz="2" w:space="0" w:color="000000"/>
            </w:tcBorders>
            <w:vAlign w:val="center"/>
          </w:tcPr>
          <w:p w14:paraId="249B594F"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0</w:t>
            </w:r>
          </w:p>
        </w:tc>
        <w:tc>
          <w:tcPr>
            <w:tcW w:w="731" w:type="dxa"/>
            <w:tcBorders>
              <w:top w:val="single" w:sz="2" w:space="0" w:color="000000"/>
              <w:left w:val="single" w:sz="2" w:space="0" w:color="000000"/>
              <w:bottom w:val="single" w:sz="2" w:space="0" w:color="000000"/>
              <w:right w:val="single" w:sz="2" w:space="0" w:color="000000"/>
            </w:tcBorders>
            <w:vAlign w:val="center"/>
          </w:tcPr>
          <w:p w14:paraId="76BDF59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731" w:type="dxa"/>
            <w:tcBorders>
              <w:top w:val="single" w:sz="2" w:space="0" w:color="000000"/>
              <w:left w:val="single" w:sz="2" w:space="0" w:color="000000"/>
              <w:bottom w:val="single" w:sz="2" w:space="0" w:color="000000"/>
              <w:right w:val="single" w:sz="2" w:space="0" w:color="000000"/>
            </w:tcBorders>
            <w:vAlign w:val="center"/>
          </w:tcPr>
          <w:p w14:paraId="70830C59"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729" w:type="dxa"/>
            <w:tcBorders>
              <w:top w:val="single" w:sz="2" w:space="0" w:color="000000"/>
              <w:left w:val="single" w:sz="2" w:space="0" w:color="000000"/>
              <w:bottom w:val="single" w:sz="2" w:space="0" w:color="000000"/>
              <w:right w:val="single" w:sz="2" w:space="0" w:color="000000"/>
            </w:tcBorders>
            <w:vAlign w:val="center"/>
          </w:tcPr>
          <w:p w14:paraId="6E7DAD96"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0" w:type="dxa"/>
            <w:tcBorders>
              <w:top w:val="single" w:sz="2" w:space="0" w:color="000000"/>
              <w:left w:val="single" w:sz="2" w:space="0" w:color="000000"/>
              <w:bottom w:val="single" w:sz="2" w:space="0" w:color="000000"/>
              <w:right w:val="single" w:sz="2" w:space="0" w:color="000000"/>
            </w:tcBorders>
            <w:vAlign w:val="center"/>
          </w:tcPr>
          <w:p w14:paraId="66794C0D"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77" w:type="dxa"/>
            <w:tcBorders>
              <w:top w:val="single" w:sz="2" w:space="0" w:color="000000"/>
              <w:left w:val="single" w:sz="2" w:space="0" w:color="000000"/>
              <w:bottom w:val="single" w:sz="2" w:space="0" w:color="000000"/>
              <w:right w:val="single" w:sz="2" w:space="0" w:color="000000"/>
            </w:tcBorders>
            <w:vAlign w:val="center"/>
          </w:tcPr>
          <w:p w14:paraId="5667729A"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27" w:type="dxa"/>
            <w:tcBorders>
              <w:top w:val="single" w:sz="2" w:space="0" w:color="000000"/>
              <w:left w:val="single" w:sz="2" w:space="0" w:color="000000"/>
              <w:bottom w:val="single" w:sz="2" w:space="0" w:color="000000"/>
              <w:right w:val="single" w:sz="2" w:space="0" w:color="000000"/>
            </w:tcBorders>
            <w:vAlign w:val="center"/>
          </w:tcPr>
          <w:p w14:paraId="59A45CA7"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8" w:type="dxa"/>
            <w:tcBorders>
              <w:top w:val="single" w:sz="2" w:space="0" w:color="000000"/>
              <w:left w:val="single" w:sz="2" w:space="0" w:color="000000"/>
              <w:bottom w:val="single" w:sz="2" w:space="0" w:color="000000"/>
              <w:right w:val="single" w:sz="2" w:space="0" w:color="000000"/>
            </w:tcBorders>
            <w:vAlign w:val="center"/>
          </w:tcPr>
          <w:p w14:paraId="1183634A"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6" w:type="dxa"/>
            <w:tcBorders>
              <w:top w:val="single" w:sz="2" w:space="0" w:color="000000"/>
              <w:left w:val="single" w:sz="2" w:space="0" w:color="000000"/>
              <w:bottom w:val="single" w:sz="2" w:space="0" w:color="000000"/>
              <w:right w:val="single" w:sz="2" w:space="0" w:color="000000"/>
            </w:tcBorders>
            <w:vAlign w:val="center"/>
          </w:tcPr>
          <w:p w14:paraId="7884C195"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8" w:type="dxa"/>
            <w:tcBorders>
              <w:top w:val="single" w:sz="2" w:space="0" w:color="000000"/>
              <w:left w:val="single" w:sz="2" w:space="0" w:color="000000"/>
              <w:bottom w:val="single" w:sz="2" w:space="0" w:color="000000"/>
              <w:right w:val="single" w:sz="2" w:space="0" w:color="000000"/>
            </w:tcBorders>
            <w:vAlign w:val="center"/>
          </w:tcPr>
          <w:p w14:paraId="180357B5"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86" w:type="dxa"/>
            <w:tcBorders>
              <w:top w:val="single" w:sz="2" w:space="0" w:color="000000"/>
              <w:left w:val="single" w:sz="2" w:space="0" w:color="000000"/>
              <w:bottom w:val="single" w:sz="2" w:space="0" w:color="000000"/>
              <w:right w:val="single" w:sz="2" w:space="0" w:color="000000"/>
            </w:tcBorders>
            <w:vAlign w:val="center"/>
          </w:tcPr>
          <w:p w14:paraId="534887DB"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c>
          <w:tcPr>
            <w:tcW w:w="609" w:type="dxa"/>
            <w:tcBorders>
              <w:top w:val="single" w:sz="2" w:space="0" w:color="000000"/>
              <w:left w:val="single" w:sz="2" w:space="0" w:color="000000"/>
              <w:bottom w:val="single" w:sz="2" w:space="0" w:color="000000"/>
              <w:right w:val="single" w:sz="2" w:space="0" w:color="000000"/>
            </w:tcBorders>
            <w:vAlign w:val="center"/>
          </w:tcPr>
          <w:p w14:paraId="2090B2E1"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0</w:t>
            </w:r>
          </w:p>
        </w:tc>
      </w:tr>
      <w:tr w:rsidR="00920B68" w:rsidRPr="00364545" w14:paraId="7D6929CA" w14:textId="77777777" w:rsidTr="00920B68">
        <w:trPr>
          <w:trHeight w:val="343"/>
        </w:trPr>
        <w:tc>
          <w:tcPr>
            <w:tcW w:w="1672" w:type="dxa"/>
            <w:tcBorders>
              <w:top w:val="single" w:sz="2" w:space="0" w:color="000000"/>
              <w:left w:val="single" w:sz="2" w:space="0" w:color="000000"/>
              <w:bottom w:val="single" w:sz="2" w:space="0" w:color="000000"/>
              <w:right w:val="single" w:sz="2" w:space="0" w:color="000000"/>
            </w:tcBorders>
            <w:shd w:val="clear" w:color="auto" w:fill="ECE6E2"/>
          </w:tcPr>
          <w:p w14:paraId="1349A01A" w14:textId="77777777" w:rsidR="00920B68" w:rsidRPr="00364545" w:rsidRDefault="00920B68" w:rsidP="00920B68">
            <w:pPr>
              <w:spacing w:line="259" w:lineRule="auto"/>
            </w:pPr>
            <w:r w:rsidRPr="00364545">
              <w:rPr>
                <w:b/>
                <w:sz w:val="18"/>
              </w:rPr>
              <w:t xml:space="preserve">Ensemble (hors UTCF) </w:t>
            </w:r>
          </w:p>
        </w:tc>
        <w:tc>
          <w:tcPr>
            <w:tcW w:w="73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0A8FC211" w14:textId="77777777" w:rsidR="00920B68" w:rsidRPr="00634E4C" w:rsidRDefault="00920B68" w:rsidP="00920B68">
            <w:pPr>
              <w:spacing w:line="259" w:lineRule="auto"/>
              <w:ind w:left="19"/>
              <w:jc w:val="center"/>
              <w:rPr>
                <w:rFonts w:asciiTheme="majorHAnsi" w:hAnsiTheme="majorHAnsi"/>
                <w:sz w:val="18"/>
              </w:rPr>
            </w:pPr>
            <w:r w:rsidRPr="00634E4C">
              <w:rPr>
                <w:rFonts w:asciiTheme="majorHAnsi" w:hAnsiTheme="majorHAnsi"/>
                <w:sz w:val="18"/>
              </w:rPr>
              <w:t>16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814B7A1"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6</w:t>
            </w:r>
          </w:p>
        </w:tc>
        <w:tc>
          <w:tcPr>
            <w:tcW w:w="731"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DD570D5"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20</w:t>
            </w:r>
          </w:p>
        </w:tc>
        <w:tc>
          <w:tcPr>
            <w:tcW w:w="72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05670F2"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31</w:t>
            </w:r>
          </w:p>
        </w:tc>
        <w:tc>
          <w:tcPr>
            <w:tcW w:w="680"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6F37DE62"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32</w:t>
            </w:r>
          </w:p>
        </w:tc>
        <w:tc>
          <w:tcPr>
            <w:tcW w:w="677"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D5B5A1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6</w:t>
            </w:r>
          </w:p>
        </w:tc>
        <w:tc>
          <w:tcPr>
            <w:tcW w:w="627"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49B6A2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10</w:t>
            </w:r>
          </w:p>
        </w:tc>
        <w:tc>
          <w:tcPr>
            <w:tcW w:w="688"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943956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9.4</w:t>
            </w:r>
          </w:p>
        </w:tc>
        <w:tc>
          <w:tcPr>
            <w:tcW w:w="68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50C6B42E"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10.4</w:t>
            </w:r>
          </w:p>
        </w:tc>
        <w:tc>
          <w:tcPr>
            <w:tcW w:w="688"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71FB31E8"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10.4</w:t>
            </w:r>
          </w:p>
        </w:tc>
        <w:tc>
          <w:tcPr>
            <w:tcW w:w="686"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4CB69262"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10.4</w:t>
            </w:r>
          </w:p>
        </w:tc>
        <w:tc>
          <w:tcPr>
            <w:tcW w:w="609" w:type="dxa"/>
            <w:tcBorders>
              <w:top w:val="single" w:sz="2" w:space="0" w:color="000000"/>
              <w:left w:val="single" w:sz="2" w:space="0" w:color="000000"/>
              <w:bottom w:val="single" w:sz="2" w:space="0" w:color="000000"/>
              <w:right w:val="single" w:sz="2" w:space="0" w:color="000000"/>
            </w:tcBorders>
            <w:shd w:val="clear" w:color="auto" w:fill="ECE6E2"/>
            <w:vAlign w:val="bottom"/>
          </w:tcPr>
          <w:p w14:paraId="131A923F"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10.5</w:t>
            </w:r>
          </w:p>
        </w:tc>
      </w:tr>
      <w:tr w:rsidR="00920B68" w:rsidRPr="00364545" w14:paraId="62BB6260" w14:textId="77777777" w:rsidTr="00920B68">
        <w:trPr>
          <w:trHeight w:val="346"/>
        </w:trPr>
        <w:tc>
          <w:tcPr>
            <w:tcW w:w="1672" w:type="dxa"/>
            <w:tcBorders>
              <w:top w:val="single" w:sz="2" w:space="0" w:color="000000"/>
              <w:left w:val="single" w:sz="2" w:space="0" w:color="000000"/>
              <w:bottom w:val="single" w:sz="2" w:space="0" w:color="000000"/>
              <w:right w:val="single" w:sz="2" w:space="0" w:color="000000"/>
            </w:tcBorders>
          </w:tcPr>
          <w:p w14:paraId="46751F59" w14:textId="77777777" w:rsidR="00920B68" w:rsidRPr="00364545" w:rsidRDefault="00920B68" w:rsidP="00920B68">
            <w:pPr>
              <w:spacing w:line="259" w:lineRule="auto"/>
            </w:pPr>
            <w:r w:rsidRPr="00364545">
              <w:rPr>
                <w:b/>
                <w:sz w:val="18"/>
              </w:rPr>
              <w:t xml:space="preserve">Ensemble (avec UTCF) </w:t>
            </w:r>
          </w:p>
        </w:tc>
        <w:tc>
          <w:tcPr>
            <w:tcW w:w="730" w:type="dxa"/>
            <w:tcBorders>
              <w:top w:val="single" w:sz="2" w:space="0" w:color="000000"/>
              <w:left w:val="single" w:sz="2" w:space="0" w:color="000000"/>
              <w:bottom w:val="single" w:sz="2" w:space="0" w:color="000000"/>
              <w:right w:val="single" w:sz="2" w:space="0" w:color="000000"/>
            </w:tcBorders>
            <w:vAlign w:val="bottom"/>
          </w:tcPr>
          <w:p w14:paraId="164061A4" w14:textId="77777777" w:rsidR="00920B68" w:rsidRPr="00634E4C" w:rsidRDefault="00920B68" w:rsidP="00920B68">
            <w:pPr>
              <w:spacing w:line="259" w:lineRule="auto"/>
              <w:ind w:left="19"/>
              <w:jc w:val="center"/>
              <w:rPr>
                <w:rFonts w:asciiTheme="majorHAnsi" w:hAnsiTheme="majorHAnsi"/>
                <w:sz w:val="18"/>
              </w:rPr>
            </w:pPr>
            <w:r w:rsidRPr="00634E4C">
              <w:rPr>
                <w:rFonts w:asciiTheme="majorHAnsi" w:hAnsiTheme="majorHAnsi"/>
                <w:sz w:val="18"/>
              </w:rPr>
              <w:t>16</w:t>
            </w:r>
          </w:p>
        </w:tc>
        <w:tc>
          <w:tcPr>
            <w:tcW w:w="731" w:type="dxa"/>
            <w:tcBorders>
              <w:top w:val="single" w:sz="2" w:space="0" w:color="000000"/>
              <w:left w:val="single" w:sz="2" w:space="0" w:color="000000"/>
              <w:bottom w:val="single" w:sz="2" w:space="0" w:color="000000"/>
              <w:right w:val="single" w:sz="2" w:space="0" w:color="000000"/>
            </w:tcBorders>
            <w:vAlign w:val="bottom"/>
          </w:tcPr>
          <w:p w14:paraId="3EEE8EEB"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6</w:t>
            </w:r>
          </w:p>
        </w:tc>
        <w:tc>
          <w:tcPr>
            <w:tcW w:w="731" w:type="dxa"/>
            <w:tcBorders>
              <w:top w:val="single" w:sz="2" w:space="0" w:color="000000"/>
              <w:left w:val="single" w:sz="2" w:space="0" w:color="000000"/>
              <w:bottom w:val="single" w:sz="2" w:space="0" w:color="000000"/>
              <w:right w:val="single" w:sz="2" w:space="0" w:color="000000"/>
            </w:tcBorders>
            <w:vAlign w:val="bottom"/>
          </w:tcPr>
          <w:p w14:paraId="60EDAC01" w14:textId="77777777" w:rsidR="00920B68" w:rsidRPr="00634E4C" w:rsidRDefault="00920B68" w:rsidP="00920B68">
            <w:pPr>
              <w:spacing w:line="259" w:lineRule="auto"/>
              <w:ind w:left="19"/>
              <w:jc w:val="center"/>
              <w:rPr>
                <w:rFonts w:asciiTheme="majorHAnsi" w:hAnsiTheme="majorHAnsi"/>
                <w:b/>
                <w:color w:val="000000"/>
                <w:sz w:val="18"/>
              </w:rPr>
            </w:pPr>
            <w:r w:rsidRPr="005D0955">
              <w:rPr>
                <w:rFonts w:asciiTheme="majorHAnsi" w:hAnsiTheme="majorHAnsi"/>
                <w:sz w:val="18"/>
                <w:szCs w:val="18"/>
              </w:rPr>
              <w:t>20</w:t>
            </w:r>
          </w:p>
        </w:tc>
        <w:tc>
          <w:tcPr>
            <w:tcW w:w="729" w:type="dxa"/>
            <w:tcBorders>
              <w:top w:val="single" w:sz="2" w:space="0" w:color="000000"/>
              <w:left w:val="single" w:sz="2" w:space="0" w:color="000000"/>
              <w:bottom w:val="single" w:sz="2" w:space="0" w:color="000000"/>
              <w:right w:val="single" w:sz="2" w:space="0" w:color="000000"/>
            </w:tcBorders>
            <w:vAlign w:val="bottom"/>
          </w:tcPr>
          <w:p w14:paraId="18EC8C04"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31</w:t>
            </w:r>
          </w:p>
        </w:tc>
        <w:tc>
          <w:tcPr>
            <w:tcW w:w="680" w:type="dxa"/>
            <w:tcBorders>
              <w:top w:val="single" w:sz="2" w:space="0" w:color="000000"/>
              <w:left w:val="single" w:sz="2" w:space="0" w:color="000000"/>
              <w:bottom w:val="single" w:sz="2" w:space="0" w:color="000000"/>
              <w:right w:val="single" w:sz="2" w:space="0" w:color="000000"/>
            </w:tcBorders>
            <w:vAlign w:val="bottom"/>
          </w:tcPr>
          <w:p w14:paraId="45C42D46"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32</w:t>
            </w:r>
          </w:p>
        </w:tc>
        <w:tc>
          <w:tcPr>
            <w:tcW w:w="677" w:type="dxa"/>
            <w:tcBorders>
              <w:top w:val="single" w:sz="2" w:space="0" w:color="000000"/>
              <w:left w:val="single" w:sz="2" w:space="0" w:color="000000"/>
              <w:bottom w:val="single" w:sz="2" w:space="0" w:color="000000"/>
              <w:right w:val="single" w:sz="2" w:space="0" w:color="000000"/>
            </w:tcBorders>
            <w:vAlign w:val="bottom"/>
          </w:tcPr>
          <w:p w14:paraId="1209BCA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6</w:t>
            </w:r>
          </w:p>
        </w:tc>
        <w:tc>
          <w:tcPr>
            <w:tcW w:w="627" w:type="dxa"/>
            <w:tcBorders>
              <w:top w:val="single" w:sz="2" w:space="0" w:color="000000"/>
              <w:left w:val="single" w:sz="2" w:space="0" w:color="000000"/>
              <w:bottom w:val="single" w:sz="2" w:space="0" w:color="000000"/>
              <w:right w:val="single" w:sz="2" w:space="0" w:color="000000"/>
            </w:tcBorders>
            <w:vAlign w:val="bottom"/>
          </w:tcPr>
          <w:p w14:paraId="1A966367"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sz w:val="18"/>
              </w:rPr>
              <w:t>10</w:t>
            </w:r>
          </w:p>
        </w:tc>
        <w:tc>
          <w:tcPr>
            <w:tcW w:w="688" w:type="dxa"/>
            <w:tcBorders>
              <w:top w:val="single" w:sz="2" w:space="0" w:color="000000"/>
              <w:left w:val="single" w:sz="2" w:space="0" w:color="000000"/>
              <w:bottom w:val="single" w:sz="2" w:space="0" w:color="000000"/>
              <w:right w:val="single" w:sz="2" w:space="0" w:color="000000"/>
            </w:tcBorders>
            <w:vAlign w:val="bottom"/>
          </w:tcPr>
          <w:p w14:paraId="1670240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9.4</w:t>
            </w:r>
          </w:p>
        </w:tc>
        <w:tc>
          <w:tcPr>
            <w:tcW w:w="686" w:type="dxa"/>
            <w:tcBorders>
              <w:top w:val="single" w:sz="2" w:space="0" w:color="000000"/>
              <w:left w:val="single" w:sz="2" w:space="0" w:color="000000"/>
              <w:bottom w:val="single" w:sz="2" w:space="0" w:color="000000"/>
              <w:right w:val="single" w:sz="2" w:space="0" w:color="000000"/>
            </w:tcBorders>
            <w:vAlign w:val="bottom"/>
          </w:tcPr>
          <w:p w14:paraId="67224667"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10.4</w:t>
            </w:r>
          </w:p>
        </w:tc>
        <w:tc>
          <w:tcPr>
            <w:tcW w:w="688" w:type="dxa"/>
            <w:tcBorders>
              <w:top w:val="single" w:sz="2" w:space="0" w:color="000000"/>
              <w:left w:val="single" w:sz="2" w:space="0" w:color="000000"/>
              <w:bottom w:val="single" w:sz="2" w:space="0" w:color="000000"/>
              <w:right w:val="single" w:sz="2" w:space="0" w:color="000000"/>
            </w:tcBorders>
            <w:vAlign w:val="bottom"/>
          </w:tcPr>
          <w:p w14:paraId="28F3C9EA"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10.4</w:t>
            </w:r>
          </w:p>
        </w:tc>
        <w:tc>
          <w:tcPr>
            <w:tcW w:w="686" w:type="dxa"/>
            <w:tcBorders>
              <w:top w:val="single" w:sz="2" w:space="0" w:color="000000"/>
              <w:left w:val="single" w:sz="2" w:space="0" w:color="000000"/>
              <w:bottom w:val="single" w:sz="2" w:space="0" w:color="000000"/>
              <w:right w:val="single" w:sz="2" w:space="0" w:color="000000"/>
            </w:tcBorders>
            <w:vAlign w:val="bottom"/>
          </w:tcPr>
          <w:p w14:paraId="2B95F073"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10.4</w:t>
            </w:r>
          </w:p>
        </w:tc>
        <w:tc>
          <w:tcPr>
            <w:tcW w:w="609" w:type="dxa"/>
            <w:tcBorders>
              <w:top w:val="single" w:sz="2" w:space="0" w:color="000000"/>
              <w:left w:val="single" w:sz="2" w:space="0" w:color="000000"/>
              <w:bottom w:val="single" w:sz="2" w:space="0" w:color="000000"/>
              <w:right w:val="single" w:sz="2" w:space="0" w:color="000000"/>
            </w:tcBorders>
            <w:vAlign w:val="bottom"/>
          </w:tcPr>
          <w:p w14:paraId="32362878" w14:textId="77777777" w:rsidR="00920B68" w:rsidRPr="00634E4C" w:rsidRDefault="00920B68" w:rsidP="00920B68">
            <w:pPr>
              <w:spacing w:line="259" w:lineRule="auto"/>
              <w:ind w:left="19"/>
              <w:jc w:val="center"/>
              <w:rPr>
                <w:rFonts w:asciiTheme="majorHAnsi" w:hAnsiTheme="majorHAnsi"/>
                <w:b/>
                <w:color w:val="000000"/>
                <w:sz w:val="18"/>
              </w:rPr>
            </w:pPr>
            <w:r w:rsidRPr="00634E4C">
              <w:rPr>
                <w:rFonts w:asciiTheme="majorHAnsi" w:hAnsiTheme="majorHAnsi"/>
                <w:b/>
                <w:color w:val="000000"/>
                <w:sz w:val="18"/>
              </w:rPr>
              <w:t>10.5</w:t>
            </w:r>
          </w:p>
        </w:tc>
      </w:tr>
    </w:tbl>
    <w:p w14:paraId="49B9F476" w14:textId="77777777" w:rsidR="00920B68" w:rsidRPr="00364545" w:rsidRDefault="00920B68" w:rsidP="00920B68">
      <w:pPr>
        <w:pStyle w:val="Caption"/>
      </w:pPr>
      <w:r w:rsidRPr="00364545">
        <w:t xml:space="preserve">Table </w:t>
      </w:r>
      <w:fldSimple w:instr=" SEQ Tableau \* ARABIC ">
        <w:r w:rsidRPr="00364545">
          <w:rPr>
            <w:noProof/>
          </w:rPr>
          <w:t>25</w:t>
        </w:r>
      </w:fldSimple>
      <w:r w:rsidRPr="00364545">
        <w:t>: NF</w:t>
      </w:r>
      <w:r w:rsidRPr="00364545">
        <w:rPr>
          <w:vertAlign w:val="subscript"/>
        </w:rPr>
        <w:t>3</w:t>
      </w:r>
      <w:r w:rsidRPr="00364545">
        <w:t xml:space="preserve"> emissions projections (in ktCO</w:t>
      </w:r>
      <w:r w:rsidRPr="00364545">
        <w:rPr>
          <w:vertAlign w:val="subscript"/>
        </w:rPr>
        <w:t>2e</w:t>
      </w:r>
      <w:r w:rsidRPr="00364545">
        <w:t>) in the Kyoto scope in the AME 2021 scenario (with existing measures)</w:t>
      </w:r>
    </w:p>
    <w:p w14:paraId="7DE428CE" w14:textId="77777777" w:rsidR="00920B68" w:rsidRPr="00364545" w:rsidRDefault="00920B68" w:rsidP="00920B68">
      <w:pPr>
        <w:pStyle w:val="Caption"/>
      </w:pPr>
      <w:r w:rsidRPr="00364545">
        <w:t>Source: UNFCCC inventory, Citepa/MTE, 202</w:t>
      </w:r>
      <w:r>
        <w:t>2</w:t>
      </w:r>
      <w:r w:rsidRPr="00364545">
        <w:t xml:space="preserve"> submission and MTE emission projections, 2021</w:t>
      </w:r>
    </w:p>
    <w:p w14:paraId="34FE7427" w14:textId="77777777" w:rsidR="00920B68" w:rsidRPr="00364545" w:rsidRDefault="00920B68" w:rsidP="00920B68"/>
    <w:p w14:paraId="20BAC5D3" w14:textId="77777777" w:rsidR="00920B68" w:rsidRPr="00364545" w:rsidRDefault="00920B68" w:rsidP="00920B68">
      <w:pPr>
        <w:rPr>
          <w:b/>
        </w:rPr>
      </w:pPr>
      <w:r w:rsidRPr="00364545">
        <w:rPr>
          <w:b/>
        </w:rPr>
        <w:t>AMS 2018</w:t>
      </w:r>
    </w:p>
    <w:p w14:paraId="3843F855" w14:textId="77777777" w:rsidR="00920B68" w:rsidRPr="00364545" w:rsidRDefault="00920B68" w:rsidP="00920B68"/>
    <w:tbl>
      <w:tblPr>
        <w:tblStyle w:val="TableGrid0"/>
        <w:tblW w:w="9934" w:type="dxa"/>
        <w:tblInd w:w="10" w:type="dxa"/>
        <w:tblCellMar>
          <w:top w:w="39" w:type="dxa"/>
          <w:left w:w="28" w:type="dxa"/>
          <w:bottom w:w="2" w:type="dxa"/>
          <w:right w:w="31" w:type="dxa"/>
        </w:tblCellMar>
        <w:tblLook w:val="04A0" w:firstRow="1" w:lastRow="0" w:firstColumn="1" w:lastColumn="0" w:noHBand="0" w:noVBand="1"/>
      </w:tblPr>
      <w:tblGrid>
        <w:gridCol w:w="1132"/>
        <w:gridCol w:w="754"/>
        <w:gridCol w:w="754"/>
        <w:gridCol w:w="754"/>
        <w:gridCol w:w="739"/>
        <w:gridCol w:w="753"/>
        <w:gridCol w:w="753"/>
        <w:gridCol w:w="613"/>
        <w:gridCol w:w="757"/>
        <w:gridCol w:w="757"/>
        <w:gridCol w:w="757"/>
        <w:gridCol w:w="742"/>
        <w:gridCol w:w="669"/>
      </w:tblGrid>
      <w:tr w:rsidR="00920B68" w:rsidRPr="00364545" w14:paraId="598E0C92" w14:textId="77777777" w:rsidTr="00920B68">
        <w:trPr>
          <w:trHeight w:val="400"/>
        </w:trPr>
        <w:tc>
          <w:tcPr>
            <w:tcW w:w="1154" w:type="dxa"/>
            <w:tcBorders>
              <w:top w:val="single" w:sz="2" w:space="0" w:color="000000"/>
              <w:left w:val="single" w:sz="2" w:space="0" w:color="000000"/>
              <w:bottom w:val="single" w:sz="2" w:space="0" w:color="000000"/>
              <w:right w:val="single" w:sz="2" w:space="0" w:color="000000"/>
            </w:tcBorders>
            <w:shd w:val="clear" w:color="auto" w:fill="6D2A78"/>
          </w:tcPr>
          <w:p w14:paraId="229AB610" w14:textId="77777777" w:rsidR="00920B68" w:rsidRPr="00364545" w:rsidRDefault="00920B68" w:rsidP="00920B68">
            <w:pPr>
              <w:spacing w:line="259" w:lineRule="auto"/>
              <w:jc w:val="left"/>
            </w:pPr>
            <w:r w:rsidRPr="00364545">
              <w:t>AMS 18 – CO</w:t>
            </w:r>
            <w:r w:rsidRPr="00364545">
              <w:rPr>
                <w:vertAlign w:val="subscript"/>
              </w:rPr>
              <w:t>2</w:t>
            </w:r>
          </w:p>
        </w:tc>
        <w:tc>
          <w:tcPr>
            <w:tcW w:w="767"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4474DD8" w14:textId="77777777" w:rsidR="00920B68" w:rsidRPr="00364545" w:rsidRDefault="00920B68" w:rsidP="00920B68">
            <w:pPr>
              <w:spacing w:line="259" w:lineRule="auto"/>
              <w:ind w:left="1"/>
              <w:jc w:val="center"/>
            </w:pPr>
            <w:r w:rsidRPr="00364545">
              <w:rPr>
                <w:b/>
                <w:color w:val="FFFFFF"/>
                <w:sz w:val="18"/>
              </w:rPr>
              <w:t>1990</w:t>
            </w:r>
          </w:p>
        </w:tc>
        <w:tc>
          <w:tcPr>
            <w:tcW w:w="767"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E821CA0" w14:textId="77777777" w:rsidR="00920B68" w:rsidRPr="00364545" w:rsidRDefault="00920B68" w:rsidP="00920B68">
            <w:pPr>
              <w:spacing w:line="259" w:lineRule="auto"/>
              <w:ind w:left="4"/>
              <w:jc w:val="center"/>
              <w:rPr>
                <w:b/>
                <w:color w:val="FFFFFF"/>
                <w:sz w:val="18"/>
              </w:rPr>
            </w:pPr>
            <w:r w:rsidRPr="00364545">
              <w:rPr>
                <w:b/>
                <w:color w:val="FFFFFF"/>
                <w:sz w:val="18"/>
              </w:rPr>
              <w:t>1995</w:t>
            </w:r>
          </w:p>
        </w:tc>
        <w:tc>
          <w:tcPr>
            <w:tcW w:w="767"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40911911" w14:textId="77777777" w:rsidR="00920B68" w:rsidRPr="00364545" w:rsidRDefault="00920B68" w:rsidP="00920B68">
            <w:pPr>
              <w:spacing w:line="259" w:lineRule="auto"/>
              <w:ind w:left="4"/>
              <w:jc w:val="center"/>
            </w:pPr>
            <w:r w:rsidRPr="00364545">
              <w:rPr>
                <w:b/>
                <w:color w:val="FFFFFF"/>
                <w:sz w:val="18"/>
              </w:rPr>
              <w:t>2000</w:t>
            </w:r>
          </w:p>
        </w:tc>
        <w:tc>
          <w:tcPr>
            <w:tcW w:w="750"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97B6D15" w14:textId="77777777" w:rsidR="00920B68" w:rsidRPr="00364545" w:rsidRDefault="00920B68" w:rsidP="00920B68">
            <w:pPr>
              <w:spacing w:line="259" w:lineRule="auto"/>
              <w:ind w:left="1"/>
              <w:jc w:val="center"/>
            </w:pPr>
            <w:r w:rsidRPr="00364545">
              <w:rPr>
                <w:b/>
                <w:color w:val="FFFFFF"/>
                <w:sz w:val="18"/>
              </w:rPr>
              <w:t>2005</w:t>
            </w:r>
          </w:p>
        </w:tc>
        <w:tc>
          <w:tcPr>
            <w:tcW w:w="76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F14722E" w14:textId="77777777" w:rsidR="00920B68" w:rsidRPr="00364545" w:rsidRDefault="00920B68" w:rsidP="00920B68">
            <w:pPr>
              <w:spacing w:line="259" w:lineRule="auto"/>
              <w:ind w:left="4"/>
              <w:jc w:val="center"/>
            </w:pPr>
            <w:r w:rsidRPr="00364545">
              <w:rPr>
                <w:b/>
                <w:color w:val="FFFFFF"/>
                <w:sz w:val="18"/>
              </w:rPr>
              <w:t>2010</w:t>
            </w:r>
          </w:p>
        </w:tc>
        <w:tc>
          <w:tcPr>
            <w:tcW w:w="76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3E6D275A" w14:textId="77777777" w:rsidR="00920B68" w:rsidRPr="00364545" w:rsidRDefault="00920B68" w:rsidP="00920B68">
            <w:pPr>
              <w:spacing w:line="259" w:lineRule="auto"/>
              <w:ind w:left="1"/>
              <w:jc w:val="center"/>
            </w:pPr>
            <w:r w:rsidRPr="00364545">
              <w:rPr>
                <w:b/>
                <w:color w:val="FFFFFF"/>
                <w:sz w:val="18"/>
              </w:rPr>
              <w:t>2015</w:t>
            </w:r>
          </w:p>
        </w:tc>
        <w:tc>
          <w:tcPr>
            <w:tcW w:w="47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C8B7CF6" w14:textId="77777777" w:rsidR="00920B68" w:rsidRPr="00364545" w:rsidRDefault="00920B68" w:rsidP="00920B68">
            <w:pPr>
              <w:spacing w:line="259" w:lineRule="auto"/>
              <w:ind w:left="4"/>
              <w:jc w:val="center"/>
              <w:rPr>
                <w:b/>
                <w:color w:val="FFFFFF"/>
                <w:sz w:val="18"/>
              </w:rPr>
            </w:pPr>
            <w:r>
              <w:rPr>
                <w:b/>
                <w:color w:val="FFFFFF"/>
                <w:sz w:val="18"/>
              </w:rPr>
              <w:t>2019</w:t>
            </w:r>
          </w:p>
        </w:tc>
        <w:tc>
          <w:tcPr>
            <w:tcW w:w="76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E45DE55" w14:textId="77777777" w:rsidR="00920B68" w:rsidRPr="00364545" w:rsidRDefault="00920B68" w:rsidP="00920B68">
            <w:pPr>
              <w:spacing w:line="259" w:lineRule="auto"/>
              <w:ind w:left="4"/>
              <w:jc w:val="center"/>
            </w:pPr>
            <w:r w:rsidRPr="00364545">
              <w:rPr>
                <w:b/>
                <w:color w:val="FFFFFF"/>
                <w:sz w:val="18"/>
              </w:rPr>
              <w:t>2020</w:t>
            </w:r>
          </w:p>
        </w:tc>
        <w:tc>
          <w:tcPr>
            <w:tcW w:w="76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96F2B30" w14:textId="77777777" w:rsidR="00920B68" w:rsidRPr="00364545" w:rsidRDefault="00920B68" w:rsidP="00920B68">
            <w:pPr>
              <w:spacing w:line="259" w:lineRule="auto"/>
              <w:ind w:left="1"/>
              <w:jc w:val="center"/>
            </w:pPr>
            <w:r w:rsidRPr="00364545">
              <w:rPr>
                <w:b/>
                <w:color w:val="FFFFFF"/>
                <w:sz w:val="18"/>
              </w:rPr>
              <w:t>2025</w:t>
            </w:r>
          </w:p>
        </w:tc>
        <w:tc>
          <w:tcPr>
            <w:tcW w:w="76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8D88EC8" w14:textId="77777777" w:rsidR="00920B68" w:rsidRPr="00364545" w:rsidRDefault="00920B68" w:rsidP="00920B68">
            <w:pPr>
              <w:spacing w:line="259" w:lineRule="auto"/>
              <w:ind w:left="4"/>
              <w:jc w:val="center"/>
            </w:pPr>
            <w:r w:rsidRPr="00364545">
              <w:rPr>
                <w:b/>
                <w:color w:val="FFFFFF"/>
                <w:sz w:val="18"/>
              </w:rPr>
              <w:t>2030</w:t>
            </w:r>
          </w:p>
        </w:tc>
        <w:tc>
          <w:tcPr>
            <w:tcW w:w="750"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6EA46EE" w14:textId="77777777" w:rsidR="00920B68" w:rsidRPr="00364545" w:rsidRDefault="00920B68" w:rsidP="00920B68">
            <w:pPr>
              <w:spacing w:line="259" w:lineRule="auto"/>
              <w:ind w:left="3"/>
              <w:jc w:val="center"/>
            </w:pPr>
            <w:r w:rsidRPr="00364545">
              <w:rPr>
                <w:b/>
                <w:color w:val="FFFFFF"/>
                <w:sz w:val="18"/>
              </w:rPr>
              <w:t>2035</w:t>
            </w:r>
          </w:p>
        </w:tc>
        <w:tc>
          <w:tcPr>
            <w:tcW w:w="678"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34AFDBBF" w14:textId="77777777" w:rsidR="00920B68" w:rsidRPr="00364545" w:rsidRDefault="00920B68" w:rsidP="00920B68">
            <w:pPr>
              <w:spacing w:line="259" w:lineRule="auto"/>
              <w:ind w:left="3"/>
              <w:jc w:val="center"/>
              <w:rPr>
                <w:b/>
                <w:color w:val="FFFFFF"/>
                <w:sz w:val="18"/>
              </w:rPr>
            </w:pPr>
            <w:r w:rsidRPr="00364545">
              <w:rPr>
                <w:b/>
                <w:color w:val="FFFFFF"/>
                <w:sz w:val="18"/>
              </w:rPr>
              <w:t>2050</w:t>
            </w:r>
          </w:p>
        </w:tc>
      </w:tr>
      <w:tr w:rsidR="00920B68" w:rsidRPr="00364545" w14:paraId="4FC5AE7A" w14:textId="77777777" w:rsidTr="00920B68">
        <w:trPr>
          <w:trHeight w:val="347"/>
        </w:trPr>
        <w:tc>
          <w:tcPr>
            <w:tcW w:w="1154" w:type="dxa"/>
            <w:tcBorders>
              <w:top w:val="single" w:sz="2" w:space="0" w:color="000000"/>
              <w:left w:val="single" w:sz="2" w:space="0" w:color="000000"/>
              <w:bottom w:val="single" w:sz="2" w:space="0" w:color="000000"/>
              <w:right w:val="single" w:sz="2" w:space="0" w:color="000000"/>
            </w:tcBorders>
          </w:tcPr>
          <w:p w14:paraId="3985233E" w14:textId="77777777" w:rsidR="00920B68" w:rsidRPr="00364545" w:rsidRDefault="00920B68" w:rsidP="00920B68">
            <w:pPr>
              <w:spacing w:line="259" w:lineRule="auto"/>
            </w:pPr>
            <w:r w:rsidRPr="00364545">
              <w:rPr>
                <w:sz w:val="18"/>
              </w:rPr>
              <w:t xml:space="preserve">Energy </w:t>
            </w:r>
          </w:p>
        </w:tc>
        <w:tc>
          <w:tcPr>
            <w:tcW w:w="767" w:type="dxa"/>
            <w:tcBorders>
              <w:top w:val="single" w:sz="2" w:space="0" w:color="000000"/>
              <w:left w:val="single" w:sz="2" w:space="0" w:color="000000"/>
              <w:bottom w:val="single" w:sz="2" w:space="0" w:color="000000"/>
              <w:right w:val="single" w:sz="2" w:space="0" w:color="000000"/>
            </w:tcBorders>
            <w:vAlign w:val="center"/>
          </w:tcPr>
          <w:p w14:paraId="43A5D212" w14:textId="77777777" w:rsidR="00920B68" w:rsidRPr="00364545" w:rsidRDefault="00920B68" w:rsidP="00920B68">
            <w:pPr>
              <w:spacing w:line="259" w:lineRule="auto"/>
              <w:ind w:left="14"/>
              <w:jc w:val="center"/>
              <w:rPr>
                <w:sz w:val="18"/>
              </w:rPr>
            </w:pPr>
            <w:r>
              <w:rPr>
                <w:sz w:val="18"/>
                <w:szCs w:val="18"/>
              </w:rPr>
              <w:t>351435</w:t>
            </w:r>
          </w:p>
        </w:tc>
        <w:tc>
          <w:tcPr>
            <w:tcW w:w="767" w:type="dxa"/>
            <w:tcBorders>
              <w:top w:val="single" w:sz="2" w:space="0" w:color="000000"/>
              <w:left w:val="single" w:sz="2" w:space="0" w:color="000000"/>
              <w:bottom w:val="single" w:sz="2" w:space="0" w:color="000000"/>
              <w:right w:val="single" w:sz="2" w:space="0" w:color="000000"/>
            </w:tcBorders>
            <w:vAlign w:val="center"/>
          </w:tcPr>
          <w:p w14:paraId="4B78E07E" w14:textId="77777777" w:rsidR="00920B68" w:rsidRPr="00364545" w:rsidRDefault="00920B68" w:rsidP="00920B68">
            <w:pPr>
              <w:spacing w:line="259" w:lineRule="auto"/>
              <w:ind w:left="14"/>
              <w:jc w:val="center"/>
              <w:rPr>
                <w:sz w:val="18"/>
              </w:rPr>
            </w:pPr>
            <w:r>
              <w:rPr>
                <w:sz w:val="18"/>
                <w:szCs w:val="18"/>
              </w:rPr>
              <w:t>350115</w:t>
            </w:r>
          </w:p>
        </w:tc>
        <w:tc>
          <w:tcPr>
            <w:tcW w:w="767" w:type="dxa"/>
            <w:tcBorders>
              <w:top w:val="single" w:sz="2" w:space="0" w:color="000000"/>
              <w:left w:val="single" w:sz="2" w:space="0" w:color="000000"/>
              <w:bottom w:val="single" w:sz="2" w:space="0" w:color="000000"/>
              <w:right w:val="single" w:sz="2" w:space="0" w:color="000000"/>
            </w:tcBorders>
            <w:vAlign w:val="center"/>
          </w:tcPr>
          <w:p w14:paraId="77492773" w14:textId="77777777" w:rsidR="00920B68" w:rsidRPr="00364545" w:rsidRDefault="00920B68" w:rsidP="00920B68">
            <w:pPr>
              <w:spacing w:line="259" w:lineRule="auto"/>
              <w:ind w:left="14"/>
              <w:jc w:val="center"/>
              <w:rPr>
                <w:sz w:val="18"/>
              </w:rPr>
            </w:pPr>
            <w:r>
              <w:rPr>
                <w:sz w:val="18"/>
                <w:szCs w:val="18"/>
              </w:rPr>
              <w:t>370522</w:t>
            </w:r>
          </w:p>
        </w:tc>
        <w:tc>
          <w:tcPr>
            <w:tcW w:w="750" w:type="dxa"/>
            <w:tcBorders>
              <w:top w:val="single" w:sz="2" w:space="0" w:color="000000"/>
              <w:left w:val="single" w:sz="2" w:space="0" w:color="000000"/>
              <w:bottom w:val="single" w:sz="2" w:space="0" w:color="000000"/>
              <w:right w:val="single" w:sz="2" w:space="0" w:color="000000"/>
            </w:tcBorders>
            <w:vAlign w:val="center"/>
          </w:tcPr>
          <w:p w14:paraId="4C7B5346" w14:textId="77777777" w:rsidR="00920B68" w:rsidRPr="00364545" w:rsidRDefault="00920B68" w:rsidP="00920B68">
            <w:pPr>
              <w:spacing w:line="259" w:lineRule="auto"/>
              <w:ind w:left="14"/>
              <w:jc w:val="center"/>
              <w:rPr>
                <w:sz w:val="18"/>
              </w:rPr>
            </w:pPr>
            <w:r>
              <w:rPr>
                <w:sz w:val="18"/>
                <w:szCs w:val="18"/>
              </w:rPr>
              <w:t>381286</w:t>
            </w:r>
          </w:p>
        </w:tc>
        <w:tc>
          <w:tcPr>
            <w:tcW w:w="766" w:type="dxa"/>
            <w:tcBorders>
              <w:top w:val="single" w:sz="2" w:space="0" w:color="000000"/>
              <w:left w:val="single" w:sz="2" w:space="0" w:color="000000"/>
              <w:bottom w:val="single" w:sz="2" w:space="0" w:color="000000"/>
              <w:right w:val="single" w:sz="2" w:space="0" w:color="000000"/>
            </w:tcBorders>
            <w:vAlign w:val="center"/>
          </w:tcPr>
          <w:p w14:paraId="32367EDF" w14:textId="77777777" w:rsidR="00920B68" w:rsidRPr="00364545" w:rsidRDefault="00920B68" w:rsidP="00920B68">
            <w:pPr>
              <w:spacing w:line="259" w:lineRule="auto"/>
              <w:ind w:left="14"/>
              <w:jc w:val="center"/>
              <w:rPr>
                <w:sz w:val="18"/>
              </w:rPr>
            </w:pPr>
            <w:r>
              <w:rPr>
                <w:sz w:val="18"/>
                <w:szCs w:val="18"/>
              </w:rPr>
              <w:t>350369</w:t>
            </w:r>
          </w:p>
        </w:tc>
        <w:tc>
          <w:tcPr>
            <w:tcW w:w="766" w:type="dxa"/>
            <w:tcBorders>
              <w:top w:val="single" w:sz="2" w:space="0" w:color="000000"/>
              <w:left w:val="single" w:sz="2" w:space="0" w:color="000000"/>
              <w:bottom w:val="single" w:sz="2" w:space="0" w:color="000000"/>
              <w:right w:val="single" w:sz="2" w:space="0" w:color="000000"/>
            </w:tcBorders>
            <w:vAlign w:val="center"/>
          </w:tcPr>
          <w:p w14:paraId="6FADEDB3" w14:textId="77777777" w:rsidR="00920B68" w:rsidRPr="00364545" w:rsidRDefault="00920B68" w:rsidP="00920B68">
            <w:pPr>
              <w:spacing w:line="259" w:lineRule="auto"/>
              <w:ind w:left="14"/>
              <w:jc w:val="center"/>
              <w:rPr>
                <w:sz w:val="18"/>
              </w:rPr>
            </w:pPr>
            <w:r>
              <w:rPr>
                <w:sz w:val="18"/>
                <w:szCs w:val="18"/>
              </w:rPr>
              <w:t>307160</w:t>
            </w:r>
          </w:p>
        </w:tc>
        <w:tc>
          <w:tcPr>
            <w:tcW w:w="471" w:type="dxa"/>
            <w:tcBorders>
              <w:top w:val="single" w:sz="2" w:space="0" w:color="000000"/>
              <w:left w:val="single" w:sz="2" w:space="0" w:color="000000"/>
              <w:bottom w:val="single" w:sz="2" w:space="0" w:color="000000"/>
              <w:right w:val="single" w:sz="2" w:space="0" w:color="000000"/>
            </w:tcBorders>
            <w:vAlign w:val="center"/>
          </w:tcPr>
          <w:p w14:paraId="7E84F12C" w14:textId="77777777" w:rsidR="00920B68" w:rsidRPr="00364545" w:rsidRDefault="00920B68" w:rsidP="00920B68">
            <w:pPr>
              <w:spacing w:line="259" w:lineRule="auto"/>
              <w:ind w:left="14"/>
              <w:jc w:val="center"/>
              <w:rPr>
                <w:sz w:val="18"/>
              </w:rPr>
            </w:pPr>
            <w:r>
              <w:rPr>
                <w:sz w:val="18"/>
                <w:szCs w:val="18"/>
              </w:rPr>
              <w:t>291379</w:t>
            </w:r>
          </w:p>
        </w:tc>
        <w:tc>
          <w:tcPr>
            <w:tcW w:w="766" w:type="dxa"/>
            <w:tcBorders>
              <w:top w:val="single" w:sz="2" w:space="0" w:color="000000"/>
              <w:left w:val="single" w:sz="2" w:space="0" w:color="000000"/>
              <w:bottom w:val="single" w:sz="2" w:space="0" w:color="000000"/>
              <w:right w:val="single" w:sz="2" w:space="0" w:color="000000"/>
            </w:tcBorders>
            <w:vAlign w:val="center"/>
          </w:tcPr>
          <w:p w14:paraId="4D251CA5" w14:textId="77777777" w:rsidR="00920B68" w:rsidRPr="00364545" w:rsidRDefault="00920B68" w:rsidP="00920B68">
            <w:pPr>
              <w:spacing w:line="259" w:lineRule="auto"/>
              <w:ind w:left="14"/>
              <w:jc w:val="center"/>
              <w:rPr>
                <w:sz w:val="18"/>
              </w:rPr>
            </w:pPr>
            <w:r w:rsidRPr="00364545">
              <w:rPr>
                <w:sz w:val="18"/>
              </w:rPr>
              <w:t>297</w:t>
            </w:r>
            <w:r w:rsidRPr="00364545">
              <w:rPr>
                <w:rFonts w:ascii="Calibri" w:hAnsi="Calibri"/>
                <w:sz w:val="18"/>
              </w:rPr>
              <w:t> </w:t>
            </w:r>
            <w:r w:rsidRPr="00364545">
              <w:rPr>
                <w:sz w:val="18"/>
              </w:rPr>
              <w:t>837</w:t>
            </w:r>
          </w:p>
        </w:tc>
        <w:tc>
          <w:tcPr>
            <w:tcW w:w="766" w:type="dxa"/>
            <w:tcBorders>
              <w:top w:val="single" w:sz="2" w:space="0" w:color="000000"/>
              <w:left w:val="single" w:sz="2" w:space="0" w:color="000000"/>
              <w:bottom w:val="single" w:sz="2" w:space="0" w:color="000000"/>
              <w:right w:val="single" w:sz="2" w:space="0" w:color="000000"/>
            </w:tcBorders>
            <w:vAlign w:val="center"/>
          </w:tcPr>
          <w:p w14:paraId="23C8C2EE" w14:textId="77777777" w:rsidR="00920B68" w:rsidRPr="00364545" w:rsidRDefault="00920B68" w:rsidP="00920B68">
            <w:pPr>
              <w:spacing w:line="259" w:lineRule="auto"/>
              <w:ind w:left="14"/>
              <w:jc w:val="center"/>
              <w:rPr>
                <w:sz w:val="18"/>
              </w:rPr>
            </w:pPr>
            <w:r w:rsidRPr="00364545">
              <w:rPr>
                <w:sz w:val="18"/>
              </w:rPr>
              <w:t>246</w:t>
            </w:r>
            <w:r w:rsidRPr="00364545">
              <w:rPr>
                <w:rFonts w:ascii="Calibri" w:hAnsi="Calibri"/>
                <w:sz w:val="18"/>
              </w:rPr>
              <w:t> </w:t>
            </w:r>
            <w:r w:rsidRPr="00364545">
              <w:rPr>
                <w:sz w:val="18"/>
              </w:rPr>
              <w:t>729</w:t>
            </w:r>
          </w:p>
        </w:tc>
        <w:tc>
          <w:tcPr>
            <w:tcW w:w="766" w:type="dxa"/>
            <w:tcBorders>
              <w:top w:val="single" w:sz="2" w:space="0" w:color="000000"/>
              <w:left w:val="single" w:sz="2" w:space="0" w:color="000000"/>
              <w:bottom w:val="single" w:sz="2" w:space="0" w:color="000000"/>
              <w:right w:val="single" w:sz="2" w:space="0" w:color="000000"/>
            </w:tcBorders>
            <w:vAlign w:val="center"/>
          </w:tcPr>
          <w:p w14:paraId="67EAE7E5" w14:textId="77777777" w:rsidR="00920B68" w:rsidRPr="00364545" w:rsidRDefault="00920B68" w:rsidP="00920B68">
            <w:pPr>
              <w:spacing w:line="259" w:lineRule="auto"/>
              <w:ind w:left="14"/>
              <w:jc w:val="center"/>
              <w:rPr>
                <w:sz w:val="18"/>
              </w:rPr>
            </w:pPr>
            <w:r w:rsidRPr="00364545">
              <w:rPr>
                <w:sz w:val="18"/>
              </w:rPr>
              <w:t>197</w:t>
            </w:r>
            <w:r w:rsidRPr="00364545">
              <w:rPr>
                <w:rFonts w:ascii="Calibri" w:hAnsi="Calibri"/>
                <w:sz w:val="18"/>
              </w:rPr>
              <w:t> </w:t>
            </w:r>
            <w:r w:rsidRPr="00364545">
              <w:rPr>
                <w:sz w:val="18"/>
              </w:rPr>
              <w:t>348</w:t>
            </w:r>
          </w:p>
        </w:tc>
        <w:tc>
          <w:tcPr>
            <w:tcW w:w="750" w:type="dxa"/>
            <w:tcBorders>
              <w:top w:val="single" w:sz="2" w:space="0" w:color="000000"/>
              <w:left w:val="single" w:sz="2" w:space="0" w:color="000000"/>
              <w:bottom w:val="single" w:sz="2" w:space="0" w:color="000000"/>
              <w:right w:val="single" w:sz="2" w:space="0" w:color="000000"/>
            </w:tcBorders>
            <w:vAlign w:val="center"/>
          </w:tcPr>
          <w:p w14:paraId="39CF2850" w14:textId="77777777" w:rsidR="00920B68" w:rsidRPr="00364545" w:rsidRDefault="00920B68" w:rsidP="00920B68">
            <w:pPr>
              <w:spacing w:line="259" w:lineRule="auto"/>
              <w:ind w:left="14"/>
              <w:jc w:val="center"/>
              <w:rPr>
                <w:sz w:val="18"/>
              </w:rPr>
            </w:pPr>
            <w:r w:rsidRPr="00364545">
              <w:rPr>
                <w:sz w:val="18"/>
              </w:rPr>
              <w:t>145</w:t>
            </w:r>
            <w:r w:rsidRPr="00364545">
              <w:rPr>
                <w:rFonts w:ascii="Calibri" w:hAnsi="Calibri"/>
                <w:sz w:val="18"/>
              </w:rPr>
              <w:t> </w:t>
            </w:r>
            <w:r w:rsidRPr="00364545">
              <w:rPr>
                <w:sz w:val="18"/>
              </w:rPr>
              <w:t>879</w:t>
            </w:r>
          </w:p>
        </w:tc>
        <w:tc>
          <w:tcPr>
            <w:tcW w:w="678" w:type="dxa"/>
            <w:tcBorders>
              <w:top w:val="single" w:sz="2" w:space="0" w:color="000000"/>
              <w:left w:val="single" w:sz="2" w:space="0" w:color="000000"/>
              <w:bottom w:val="single" w:sz="2" w:space="0" w:color="000000"/>
              <w:right w:val="single" w:sz="2" w:space="0" w:color="000000"/>
            </w:tcBorders>
            <w:vAlign w:val="center"/>
          </w:tcPr>
          <w:p w14:paraId="5B4A6305" w14:textId="77777777" w:rsidR="00920B68" w:rsidRPr="00364545" w:rsidRDefault="00920B68" w:rsidP="00920B68">
            <w:pPr>
              <w:spacing w:line="259" w:lineRule="auto"/>
              <w:ind w:left="14"/>
              <w:jc w:val="center"/>
              <w:rPr>
                <w:sz w:val="18"/>
              </w:rPr>
            </w:pPr>
            <w:r w:rsidRPr="00364545">
              <w:rPr>
                <w:sz w:val="18"/>
              </w:rPr>
              <w:t>-8</w:t>
            </w:r>
            <w:r w:rsidRPr="00364545">
              <w:rPr>
                <w:rFonts w:ascii="Calibri" w:hAnsi="Calibri"/>
                <w:sz w:val="18"/>
              </w:rPr>
              <w:t> </w:t>
            </w:r>
            <w:r w:rsidRPr="00364545">
              <w:rPr>
                <w:sz w:val="18"/>
              </w:rPr>
              <w:t>529</w:t>
            </w:r>
          </w:p>
        </w:tc>
      </w:tr>
      <w:tr w:rsidR="00920B68" w:rsidRPr="00364545" w14:paraId="11D181AA" w14:textId="77777777" w:rsidTr="00920B68">
        <w:trPr>
          <w:trHeight w:val="419"/>
        </w:trPr>
        <w:tc>
          <w:tcPr>
            <w:tcW w:w="1154" w:type="dxa"/>
            <w:tcBorders>
              <w:top w:val="single" w:sz="2" w:space="0" w:color="000000"/>
              <w:left w:val="single" w:sz="2" w:space="0" w:color="000000"/>
              <w:bottom w:val="single" w:sz="2" w:space="0" w:color="000000"/>
              <w:right w:val="single" w:sz="2" w:space="0" w:color="000000"/>
            </w:tcBorders>
            <w:shd w:val="clear" w:color="auto" w:fill="ECE6E2"/>
          </w:tcPr>
          <w:p w14:paraId="6DC35B3B" w14:textId="77777777" w:rsidR="00920B68" w:rsidRPr="00364545" w:rsidRDefault="00920B68" w:rsidP="00920B68">
            <w:pPr>
              <w:spacing w:line="259" w:lineRule="auto"/>
            </w:pPr>
            <w:r w:rsidRPr="00364545">
              <w:rPr>
                <w:sz w:val="18"/>
              </w:rPr>
              <w:t xml:space="preserve">Industrial processes, solvents and other products </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8FC943" w14:textId="77777777" w:rsidR="00920B68" w:rsidRPr="00364545" w:rsidRDefault="00920B68" w:rsidP="00920B68">
            <w:pPr>
              <w:spacing w:line="259" w:lineRule="auto"/>
              <w:ind w:left="14"/>
              <w:jc w:val="center"/>
              <w:rPr>
                <w:sz w:val="18"/>
              </w:rPr>
            </w:pPr>
            <w:r>
              <w:rPr>
                <w:sz w:val="18"/>
                <w:szCs w:val="18"/>
              </w:rPr>
              <w:t>42902</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928FFA7" w14:textId="77777777" w:rsidR="00920B68" w:rsidRPr="00364545" w:rsidRDefault="00920B68" w:rsidP="00920B68">
            <w:pPr>
              <w:spacing w:line="259" w:lineRule="auto"/>
              <w:ind w:left="14"/>
              <w:jc w:val="center"/>
              <w:rPr>
                <w:sz w:val="18"/>
              </w:rPr>
            </w:pPr>
            <w:r>
              <w:rPr>
                <w:sz w:val="18"/>
                <w:szCs w:val="18"/>
              </w:rPr>
              <w:t>38604</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4E4B4A9" w14:textId="77777777" w:rsidR="00920B68" w:rsidRPr="00364545" w:rsidRDefault="00920B68" w:rsidP="00920B68">
            <w:pPr>
              <w:spacing w:line="259" w:lineRule="auto"/>
              <w:ind w:left="14"/>
              <w:jc w:val="center"/>
              <w:rPr>
                <w:sz w:val="18"/>
              </w:rPr>
            </w:pPr>
            <w:r>
              <w:rPr>
                <w:sz w:val="18"/>
                <w:szCs w:val="18"/>
              </w:rPr>
              <w:t>40574</w:t>
            </w:r>
          </w:p>
        </w:tc>
        <w:tc>
          <w:tcPr>
            <w:tcW w:w="75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4F38F23" w14:textId="77777777" w:rsidR="00920B68" w:rsidRPr="00364545" w:rsidRDefault="00920B68" w:rsidP="00920B68">
            <w:pPr>
              <w:spacing w:line="259" w:lineRule="auto"/>
              <w:ind w:left="14"/>
              <w:jc w:val="center"/>
              <w:rPr>
                <w:sz w:val="18"/>
              </w:rPr>
            </w:pPr>
            <w:r>
              <w:rPr>
                <w:sz w:val="18"/>
                <w:szCs w:val="18"/>
              </w:rPr>
              <w:t>40644</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EC70017" w14:textId="77777777" w:rsidR="00920B68" w:rsidRPr="00364545" w:rsidRDefault="00920B68" w:rsidP="00920B68">
            <w:pPr>
              <w:spacing w:line="259" w:lineRule="auto"/>
              <w:ind w:left="14"/>
              <w:jc w:val="center"/>
              <w:rPr>
                <w:sz w:val="18"/>
              </w:rPr>
            </w:pPr>
            <w:r>
              <w:rPr>
                <w:sz w:val="18"/>
                <w:szCs w:val="18"/>
              </w:rPr>
              <w:t>32910</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5B4C0B" w14:textId="77777777" w:rsidR="00920B68" w:rsidRPr="00364545" w:rsidRDefault="00920B68" w:rsidP="00920B68">
            <w:pPr>
              <w:spacing w:line="259" w:lineRule="auto"/>
              <w:ind w:left="14"/>
              <w:jc w:val="center"/>
              <w:rPr>
                <w:sz w:val="18"/>
              </w:rPr>
            </w:pPr>
            <w:r>
              <w:rPr>
                <w:sz w:val="18"/>
                <w:szCs w:val="18"/>
              </w:rPr>
              <w:t>30753</w:t>
            </w:r>
          </w:p>
        </w:tc>
        <w:tc>
          <w:tcPr>
            <w:tcW w:w="47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0812C19" w14:textId="77777777" w:rsidR="00920B68" w:rsidRPr="00364545" w:rsidRDefault="00920B68" w:rsidP="00920B68">
            <w:pPr>
              <w:spacing w:line="259" w:lineRule="auto"/>
              <w:ind w:left="14"/>
              <w:jc w:val="center"/>
              <w:rPr>
                <w:sz w:val="18"/>
              </w:rPr>
            </w:pPr>
            <w:r>
              <w:rPr>
                <w:sz w:val="18"/>
                <w:szCs w:val="18"/>
              </w:rPr>
              <w:t>31576</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685765A" w14:textId="77777777" w:rsidR="00920B68" w:rsidRPr="00364545" w:rsidRDefault="00920B68" w:rsidP="00920B68">
            <w:pPr>
              <w:spacing w:line="259" w:lineRule="auto"/>
              <w:ind w:left="14"/>
              <w:jc w:val="center"/>
              <w:rPr>
                <w:sz w:val="18"/>
              </w:rPr>
            </w:pPr>
            <w:r w:rsidRPr="00364545">
              <w:rPr>
                <w:sz w:val="18"/>
              </w:rPr>
              <w:t>24</w:t>
            </w:r>
            <w:r w:rsidRPr="00364545">
              <w:rPr>
                <w:rFonts w:ascii="Calibri" w:hAnsi="Calibri"/>
                <w:sz w:val="18"/>
              </w:rPr>
              <w:t> </w:t>
            </w:r>
            <w:r w:rsidRPr="00364545">
              <w:rPr>
                <w:sz w:val="18"/>
              </w:rPr>
              <w:t>658</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1A282D" w14:textId="77777777" w:rsidR="00920B68" w:rsidRPr="00364545" w:rsidRDefault="00920B68" w:rsidP="00920B68">
            <w:pPr>
              <w:spacing w:line="259" w:lineRule="auto"/>
              <w:ind w:left="14"/>
              <w:jc w:val="center"/>
              <w:rPr>
                <w:sz w:val="18"/>
              </w:rPr>
            </w:pPr>
            <w:r w:rsidRPr="00364545">
              <w:rPr>
                <w:sz w:val="18"/>
              </w:rPr>
              <w:t>23</w:t>
            </w:r>
            <w:r w:rsidRPr="00364545">
              <w:rPr>
                <w:rFonts w:ascii="Calibri" w:hAnsi="Calibri"/>
                <w:sz w:val="18"/>
              </w:rPr>
              <w:t> </w:t>
            </w:r>
            <w:r w:rsidRPr="00364545">
              <w:rPr>
                <w:sz w:val="18"/>
              </w:rPr>
              <w:t>181</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B83F2C8" w14:textId="77777777" w:rsidR="00920B68" w:rsidRPr="00364545" w:rsidRDefault="00920B68" w:rsidP="00920B68">
            <w:pPr>
              <w:spacing w:line="259" w:lineRule="auto"/>
              <w:ind w:left="14"/>
              <w:jc w:val="center"/>
              <w:rPr>
                <w:sz w:val="18"/>
              </w:rPr>
            </w:pPr>
            <w:r w:rsidRPr="00364545">
              <w:rPr>
                <w:sz w:val="18"/>
              </w:rPr>
              <w:t>20</w:t>
            </w:r>
            <w:r w:rsidRPr="00364545">
              <w:rPr>
                <w:rFonts w:ascii="Calibri" w:hAnsi="Calibri"/>
                <w:sz w:val="18"/>
              </w:rPr>
              <w:t> </w:t>
            </w:r>
            <w:r w:rsidRPr="00364545">
              <w:rPr>
                <w:sz w:val="18"/>
              </w:rPr>
              <w:t>509</w:t>
            </w:r>
          </w:p>
        </w:tc>
        <w:tc>
          <w:tcPr>
            <w:tcW w:w="75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005B17B" w14:textId="77777777" w:rsidR="00920B68" w:rsidRPr="00364545" w:rsidRDefault="00920B68" w:rsidP="00920B68">
            <w:pPr>
              <w:spacing w:line="259" w:lineRule="auto"/>
              <w:ind w:left="14"/>
              <w:jc w:val="center"/>
              <w:rPr>
                <w:sz w:val="18"/>
              </w:rPr>
            </w:pPr>
            <w:r w:rsidRPr="00364545">
              <w:rPr>
                <w:sz w:val="18"/>
              </w:rPr>
              <w:t>18</w:t>
            </w:r>
            <w:r w:rsidRPr="00364545">
              <w:rPr>
                <w:rFonts w:ascii="Calibri" w:hAnsi="Calibri"/>
                <w:sz w:val="18"/>
              </w:rPr>
              <w:t> </w:t>
            </w:r>
            <w:r w:rsidRPr="00364545">
              <w:rPr>
                <w:sz w:val="18"/>
              </w:rPr>
              <w:t>386</w:t>
            </w:r>
          </w:p>
        </w:tc>
        <w:tc>
          <w:tcPr>
            <w:tcW w:w="67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57698D1" w14:textId="77777777" w:rsidR="00920B68" w:rsidRPr="00364545" w:rsidRDefault="00920B68" w:rsidP="00920B68">
            <w:pPr>
              <w:spacing w:line="259" w:lineRule="auto"/>
              <w:ind w:left="14"/>
              <w:jc w:val="center"/>
              <w:rPr>
                <w:sz w:val="18"/>
              </w:rPr>
            </w:pPr>
            <w:r w:rsidRPr="00364545">
              <w:rPr>
                <w:sz w:val="18"/>
              </w:rPr>
              <w:t>12</w:t>
            </w:r>
            <w:r w:rsidRPr="00364545">
              <w:rPr>
                <w:rFonts w:ascii="Calibri" w:hAnsi="Calibri"/>
                <w:sz w:val="18"/>
              </w:rPr>
              <w:t> </w:t>
            </w:r>
            <w:r w:rsidRPr="00364545">
              <w:rPr>
                <w:sz w:val="18"/>
              </w:rPr>
              <w:t>017</w:t>
            </w:r>
          </w:p>
        </w:tc>
      </w:tr>
      <w:tr w:rsidR="00920B68" w:rsidRPr="00364545" w14:paraId="751C371F" w14:textId="77777777" w:rsidTr="00920B68">
        <w:trPr>
          <w:trHeight w:val="344"/>
        </w:trPr>
        <w:tc>
          <w:tcPr>
            <w:tcW w:w="1154" w:type="dxa"/>
            <w:tcBorders>
              <w:top w:val="single" w:sz="2" w:space="0" w:color="000000"/>
              <w:left w:val="single" w:sz="2" w:space="0" w:color="000000"/>
              <w:bottom w:val="single" w:sz="2" w:space="0" w:color="000000"/>
              <w:right w:val="single" w:sz="2" w:space="0" w:color="000000"/>
            </w:tcBorders>
          </w:tcPr>
          <w:p w14:paraId="2D681447" w14:textId="77777777" w:rsidR="00920B68" w:rsidRPr="00364545" w:rsidRDefault="00920B68" w:rsidP="00920B68">
            <w:pPr>
              <w:spacing w:line="259" w:lineRule="auto"/>
            </w:pPr>
            <w:r w:rsidRPr="00364545">
              <w:rPr>
                <w:sz w:val="18"/>
              </w:rPr>
              <w:t xml:space="preserve">Agriculture (excluding energy) </w:t>
            </w:r>
          </w:p>
        </w:tc>
        <w:tc>
          <w:tcPr>
            <w:tcW w:w="767" w:type="dxa"/>
            <w:tcBorders>
              <w:top w:val="single" w:sz="2" w:space="0" w:color="000000"/>
              <w:left w:val="single" w:sz="2" w:space="0" w:color="000000"/>
              <w:bottom w:val="single" w:sz="2" w:space="0" w:color="000000"/>
              <w:right w:val="single" w:sz="2" w:space="0" w:color="000000"/>
            </w:tcBorders>
            <w:vAlign w:val="center"/>
          </w:tcPr>
          <w:p w14:paraId="0CDEA024" w14:textId="77777777" w:rsidR="00920B68" w:rsidRPr="00364545" w:rsidRDefault="00920B68" w:rsidP="00920B68">
            <w:pPr>
              <w:spacing w:line="259" w:lineRule="auto"/>
              <w:ind w:left="14"/>
              <w:jc w:val="center"/>
              <w:rPr>
                <w:sz w:val="18"/>
              </w:rPr>
            </w:pPr>
            <w:r>
              <w:rPr>
                <w:sz w:val="18"/>
                <w:szCs w:val="18"/>
              </w:rPr>
              <w:t>1894</w:t>
            </w:r>
          </w:p>
        </w:tc>
        <w:tc>
          <w:tcPr>
            <w:tcW w:w="767" w:type="dxa"/>
            <w:tcBorders>
              <w:top w:val="single" w:sz="2" w:space="0" w:color="000000"/>
              <w:left w:val="single" w:sz="2" w:space="0" w:color="000000"/>
              <w:bottom w:val="single" w:sz="2" w:space="0" w:color="000000"/>
              <w:right w:val="single" w:sz="2" w:space="0" w:color="000000"/>
            </w:tcBorders>
            <w:vAlign w:val="center"/>
          </w:tcPr>
          <w:p w14:paraId="53B24F55" w14:textId="77777777" w:rsidR="00920B68" w:rsidRPr="00364545" w:rsidRDefault="00920B68" w:rsidP="00920B68">
            <w:pPr>
              <w:spacing w:line="259" w:lineRule="auto"/>
              <w:ind w:left="14"/>
              <w:jc w:val="center"/>
              <w:rPr>
                <w:sz w:val="18"/>
              </w:rPr>
            </w:pPr>
            <w:r>
              <w:rPr>
                <w:sz w:val="18"/>
                <w:szCs w:val="18"/>
              </w:rPr>
              <w:t>1973</w:t>
            </w:r>
          </w:p>
        </w:tc>
        <w:tc>
          <w:tcPr>
            <w:tcW w:w="767" w:type="dxa"/>
            <w:tcBorders>
              <w:top w:val="single" w:sz="2" w:space="0" w:color="000000"/>
              <w:left w:val="single" w:sz="2" w:space="0" w:color="000000"/>
              <w:bottom w:val="single" w:sz="2" w:space="0" w:color="000000"/>
              <w:right w:val="single" w:sz="2" w:space="0" w:color="000000"/>
            </w:tcBorders>
            <w:vAlign w:val="center"/>
          </w:tcPr>
          <w:p w14:paraId="7A9A49F1" w14:textId="77777777" w:rsidR="00920B68" w:rsidRPr="00364545" w:rsidRDefault="00920B68" w:rsidP="00920B68">
            <w:pPr>
              <w:spacing w:line="259" w:lineRule="auto"/>
              <w:ind w:left="14"/>
              <w:jc w:val="center"/>
              <w:rPr>
                <w:sz w:val="18"/>
              </w:rPr>
            </w:pPr>
            <w:r>
              <w:rPr>
                <w:sz w:val="18"/>
                <w:szCs w:val="18"/>
              </w:rPr>
              <w:t>1989</w:t>
            </w:r>
          </w:p>
        </w:tc>
        <w:tc>
          <w:tcPr>
            <w:tcW w:w="750" w:type="dxa"/>
            <w:tcBorders>
              <w:top w:val="single" w:sz="2" w:space="0" w:color="000000"/>
              <w:left w:val="single" w:sz="2" w:space="0" w:color="000000"/>
              <w:bottom w:val="single" w:sz="2" w:space="0" w:color="000000"/>
              <w:right w:val="single" w:sz="2" w:space="0" w:color="000000"/>
            </w:tcBorders>
            <w:vAlign w:val="center"/>
          </w:tcPr>
          <w:p w14:paraId="0C138922" w14:textId="77777777" w:rsidR="00920B68" w:rsidRPr="00364545" w:rsidRDefault="00920B68" w:rsidP="00920B68">
            <w:pPr>
              <w:spacing w:line="259" w:lineRule="auto"/>
              <w:ind w:left="14"/>
              <w:jc w:val="center"/>
              <w:rPr>
                <w:sz w:val="18"/>
              </w:rPr>
            </w:pPr>
            <w:r>
              <w:rPr>
                <w:sz w:val="18"/>
                <w:szCs w:val="18"/>
              </w:rPr>
              <w:t>1965</w:t>
            </w:r>
          </w:p>
        </w:tc>
        <w:tc>
          <w:tcPr>
            <w:tcW w:w="766" w:type="dxa"/>
            <w:tcBorders>
              <w:top w:val="single" w:sz="2" w:space="0" w:color="000000"/>
              <w:left w:val="single" w:sz="2" w:space="0" w:color="000000"/>
              <w:bottom w:val="single" w:sz="2" w:space="0" w:color="000000"/>
              <w:right w:val="single" w:sz="2" w:space="0" w:color="000000"/>
            </w:tcBorders>
            <w:vAlign w:val="center"/>
          </w:tcPr>
          <w:p w14:paraId="64808416" w14:textId="77777777" w:rsidR="00920B68" w:rsidRPr="00364545" w:rsidRDefault="00920B68" w:rsidP="00920B68">
            <w:pPr>
              <w:spacing w:line="259" w:lineRule="auto"/>
              <w:ind w:left="14"/>
              <w:jc w:val="center"/>
              <w:rPr>
                <w:sz w:val="18"/>
              </w:rPr>
            </w:pPr>
            <w:r>
              <w:rPr>
                <w:sz w:val="18"/>
                <w:szCs w:val="18"/>
              </w:rPr>
              <w:t>1986</w:t>
            </w:r>
          </w:p>
        </w:tc>
        <w:tc>
          <w:tcPr>
            <w:tcW w:w="766" w:type="dxa"/>
            <w:tcBorders>
              <w:top w:val="single" w:sz="2" w:space="0" w:color="000000"/>
              <w:left w:val="single" w:sz="2" w:space="0" w:color="000000"/>
              <w:bottom w:val="single" w:sz="2" w:space="0" w:color="000000"/>
              <w:right w:val="single" w:sz="2" w:space="0" w:color="000000"/>
            </w:tcBorders>
            <w:vAlign w:val="center"/>
          </w:tcPr>
          <w:p w14:paraId="31583CAD" w14:textId="77777777" w:rsidR="00920B68" w:rsidRPr="00364545" w:rsidRDefault="00920B68" w:rsidP="00920B68">
            <w:pPr>
              <w:spacing w:line="259" w:lineRule="auto"/>
              <w:ind w:left="14"/>
              <w:jc w:val="center"/>
              <w:rPr>
                <w:sz w:val="18"/>
              </w:rPr>
            </w:pPr>
            <w:r>
              <w:rPr>
                <w:sz w:val="18"/>
                <w:szCs w:val="18"/>
              </w:rPr>
              <w:t>2176</w:t>
            </w:r>
          </w:p>
        </w:tc>
        <w:tc>
          <w:tcPr>
            <w:tcW w:w="471" w:type="dxa"/>
            <w:tcBorders>
              <w:top w:val="single" w:sz="2" w:space="0" w:color="000000"/>
              <w:left w:val="single" w:sz="2" w:space="0" w:color="000000"/>
              <w:bottom w:val="single" w:sz="2" w:space="0" w:color="000000"/>
              <w:right w:val="single" w:sz="2" w:space="0" w:color="000000"/>
            </w:tcBorders>
            <w:vAlign w:val="center"/>
          </w:tcPr>
          <w:p w14:paraId="211C75EB" w14:textId="77777777" w:rsidR="00920B68" w:rsidRPr="00364545" w:rsidRDefault="00920B68" w:rsidP="00920B68">
            <w:pPr>
              <w:spacing w:line="259" w:lineRule="auto"/>
              <w:ind w:left="14"/>
              <w:jc w:val="center"/>
              <w:rPr>
                <w:sz w:val="18"/>
              </w:rPr>
            </w:pPr>
            <w:r>
              <w:rPr>
                <w:sz w:val="18"/>
                <w:szCs w:val="18"/>
              </w:rPr>
              <w:t>2032</w:t>
            </w:r>
          </w:p>
        </w:tc>
        <w:tc>
          <w:tcPr>
            <w:tcW w:w="766" w:type="dxa"/>
            <w:tcBorders>
              <w:top w:val="single" w:sz="2" w:space="0" w:color="000000"/>
              <w:left w:val="single" w:sz="2" w:space="0" w:color="000000"/>
              <w:bottom w:val="single" w:sz="2" w:space="0" w:color="000000"/>
              <w:right w:val="single" w:sz="2" w:space="0" w:color="000000"/>
            </w:tcBorders>
            <w:vAlign w:val="center"/>
          </w:tcPr>
          <w:p w14:paraId="5BE46D45"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894</w:t>
            </w:r>
          </w:p>
        </w:tc>
        <w:tc>
          <w:tcPr>
            <w:tcW w:w="766" w:type="dxa"/>
            <w:tcBorders>
              <w:top w:val="single" w:sz="2" w:space="0" w:color="000000"/>
              <w:left w:val="single" w:sz="2" w:space="0" w:color="000000"/>
              <w:bottom w:val="single" w:sz="2" w:space="0" w:color="000000"/>
              <w:right w:val="single" w:sz="2" w:space="0" w:color="000000"/>
            </w:tcBorders>
            <w:vAlign w:val="center"/>
          </w:tcPr>
          <w:p w14:paraId="6540D30B"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742</w:t>
            </w:r>
          </w:p>
        </w:tc>
        <w:tc>
          <w:tcPr>
            <w:tcW w:w="766" w:type="dxa"/>
            <w:tcBorders>
              <w:top w:val="single" w:sz="2" w:space="0" w:color="000000"/>
              <w:left w:val="single" w:sz="2" w:space="0" w:color="000000"/>
              <w:bottom w:val="single" w:sz="2" w:space="0" w:color="000000"/>
              <w:right w:val="single" w:sz="2" w:space="0" w:color="000000"/>
            </w:tcBorders>
            <w:vAlign w:val="center"/>
          </w:tcPr>
          <w:p w14:paraId="02ED4B2E"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620</w:t>
            </w:r>
          </w:p>
        </w:tc>
        <w:tc>
          <w:tcPr>
            <w:tcW w:w="750" w:type="dxa"/>
            <w:tcBorders>
              <w:top w:val="single" w:sz="2" w:space="0" w:color="000000"/>
              <w:left w:val="single" w:sz="2" w:space="0" w:color="000000"/>
              <w:bottom w:val="single" w:sz="2" w:space="0" w:color="000000"/>
              <w:right w:val="single" w:sz="2" w:space="0" w:color="000000"/>
            </w:tcBorders>
            <w:vAlign w:val="center"/>
          </w:tcPr>
          <w:p w14:paraId="6469D2B0"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478</w:t>
            </w:r>
          </w:p>
        </w:tc>
        <w:tc>
          <w:tcPr>
            <w:tcW w:w="678" w:type="dxa"/>
            <w:tcBorders>
              <w:top w:val="single" w:sz="2" w:space="0" w:color="000000"/>
              <w:left w:val="single" w:sz="2" w:space="0" w:color="000000"/>
              <w:bottom w:val="single" w:sz="2" w:space="0" w:color="000000"/>
              <w:right w:val="single" w:sz="2" w:space="0" w:color="000000"/>
            </w:tcBorders>
            <w:vAlign w:val="center"/>
          </w:tcPr>
          <w:p w14:paraId="4AC4A5DF"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445</w:t>
            </w:r>
          </w:p>
        </w:tc>
      </w:tr>
      <w:tr w:rsidR="00920B68" w:rsidRPr="00364545" w14:paraId="1FFE0D0C" w14:textId="77777777" w:rsidTr="00920B68">
        <w:trPr>
          <w:trHeight w:val="344"/>
        </w:trPr>
        <w:tc>
          <w:tcPr>
            <w:tcW w:w="1154" w:type="dxa"/>
            <w:tcBorders>
              <w:top w:val="single" w:sz="2" w:space="0" w:color="000000"/>
              <w:left w:val="single" w:sz="2" w:space="0" w:color="000000"/>
              <w:bottom w:val="single" w:sz="2" w:space="0" w:color="000000"/>
              <w:right w:val="single" w:sz="2" w:space="0" w:color="000000"/>
            </w:tcBorders>
            <w:shd w:val="clear" w:color="auto" w:fill="ECE6E2"/>
          </w:tcPr>
          <w:p w14:paraId="567B9BAB" w14:textId="77777777" w:rsidR="00920B68" w:rsidRPr="00364545" w:rsidRDefault="00920B68" w:rsidP="00920B68">
            <w:pPr>
              <w:spacing w:line="259" w:lineRule="auto"/>
            </w:pPr>
            <w:r w:rsidRPr="00364545">
              <w:rPr>
                <w:sz w:val="18"/>
              </w:rPr>
              <w:t xml:space="preserve">LULUCF </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F0FCF41" w14:textId="77777777" w:rsidR="00920B68" w:rsidRPr="00364545" w:rsidRDefault="00920B68" w:rsidP="00920B68">
            <w:pPr>
              <w:spacing w:line="259" w:lineRule="auto"/>
              <w:ind w:left="14"/>
              <w:jc w:val="center"/>
              <w:rPr>
                <w:sz w:val="18"/>
              </w:rPr>
            </w:pPr>
            <w:r>
              <w:rPr>
                <w:sz w:val="18"/>
                <w:szCs w:val="18"/>
              </w:rPr>
              <w:t>-28145</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C8ECC2C" w14:textId="77777777" w:rsidR="00920B68" w:rsidRPr="00364545" w:rsidRDefault="00920B68" w:rsidP="00920B68">
            <w:pPr>
              <w:spacing w:line="259" w:lineRule="auto"/>
              <w:ind w:left="14"/>
              <w:jc w:val="center"/>
              <w:rPr>
                <w:sz w:val="18"/>
              </w:rPr>
            </w:pPr>
            <w:r>
              <w:rPr>
                <w:sz w:val="18"/>
                <w:szCs w:val="18"/>
              </w:rPr>
              <w:t>-31795</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D3BB2D7" w14:textId="77777777" w:rsidR="00920B68" w:rsidRPr="00364545" w:rsidRDefault="00920B68" w:rsidP="00920B68">
            <w:pPr>
              <w:spacing w:line="259" w:lineRule="auto"/>
              <w:ind w:left="14"/>
              <w:jc w:val="center"/>
              <w:rPr>
                <w:sz w:val="18"/>
              </w:rPr>
            </w:pPr>
            <w:r>
              <w:rPr>
                <w:sz w:val="18"/>
                <w:szCs w:val="18"/>
              </w:rPr>
              <w:t>-24595</w:t>
            </w:r>
          </w:p>
        </w:tc>
        <w:tc>
          <w:tcPr>
            <w:tcW w:w="75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648A983" w14:textId="77777777" w:rsidR="00920B68" w:rsidRPr="00364545" w:rsidRDefault="00920B68" w:rsidP="00920B68">
            <w:pPr>
              <w:spacing w:line="259" w:lineRule="auto"/>
              <w:ind w:left="14"/>
              <w:jc w:val="center"/>
              <w:rPr>
                <w:sz w:val="18"/>
              </w:rPr>
            </w:pPr>
            <w:r>
              <w:rPr>
                <w:sz w:val="18"/>
                <w:szCs w:val="18"/>
              </w:rPr>
              <w:t>-51471</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C9BE466" w14:textId="77777777" w:rsidR="00920B68" w:rsidRPr="00364545" w:rsidRDefault="00920B68" w:rsidP="00920B68">
            <w:pPr>
              <w:spacing w:line="259" w:lineRule="auto"/>
              <w:ind w:left="14"/>
              <w:jc w:val="center"/>
              <w:rPr>
                <w:sz w:val="18"/>
              </w:rPr>
            </w:pPr>
            <w:r>
              <w:rPr>
                <w:sz w:val="18"/>
                <w:szCs w:val="18"/>
              </w:rPr>
              <w:t>-42701</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39606C8" w14:textId="77777777" w:rsidR="00920B68" w:rsidRPr="00364545" w:rsidRDefault="00920B68" w:rsidP="00920B68">
            <w:pPr>
              <w:spacing w:line="259" w:lineRule="auto"/>
              <w:ind w:left="14"/>
              <w:jc w:val="center"/>
              <w:rPr>
                <w:sz w:val="18"/>
              </w:rPr>
            </w:pPr>
            <w:r>
              <w:rPr>
                <w:sz w:val="18"/>
                <w:szCs w:val="18"/>
              </w:rPr>
              <w:t>-38599</w:t>
            </w:r>
          </w:p>
        </w:tc>
        <w:tc>
          <w:tcPr>
            <w:tcW w:w="47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8EE586" w14:textId="77777777" w:rsidR="00920B68" w:rsidRPr="00364545" w:rsidRDefault="00920B68" w:rsidP="00920B68">
            <w:pPr>
              <w:spacing w:line="259" w:lineRule="auto"/>
              <w:ind w:left="14"/>
              <w:jc w:val="center"/>
              <w:rPr>
                <w:sz w:val="18"/>
              </w:rPr>
            </w:pPr>
            <w:r>
              <w:rPr>
                <w:sz w:val="18"/>
                <w:szCs w:val="18"/>
              </w:rPr>
              <w:t>-16293</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E08085F" w14:textId="77777777" w:rsidR="00920B68" w:rsidRPr="00364545" w:rsidRDefault="00920B68" w:rsidP="00920B68">
            <w:pPr>
              <w:spacing w:line="259" w:lineRule="auto"/>
              <w:ind w:left="14"/>
              <w:jc w:val="center"/>
              <w:rPr>
                <w:sz w:val="18"/>
              </w:rPr>
            </w:pPr>
            <w:r w:rsidRPr="00364545">
              <w:rPr>
                <w:sz w:val="18"/>
              </w:rPr>
              <w:t>-43</w:t>
            </w:r>
            <w:r w:rsidRPr="00364545">
              <w:rPr>
                <w:rFonts w:ascii="Calibri" w:hAnsi="Calibri"/>
                <w:sz w:val="18"/>
              </w:rPr>
              <w:t> </w:t>
            </w:r>
            <w:r w:rsidRPr="00364545">
              <w:rPr>
                <w:sz w:val="18"/>
              </w:rPr>
              <w:t>218</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535CAF3" w14:textId="77777777" w:rsidR="00920B68" w:rsidRPr="00364545" w:rsidRDefault="00920B68" w:rsidP="00920B68">
            <w:pPr>
              <w:spacing w:line="259" w:lineRule="auto"/>
              <w:ind w:left="14"/>
              <w:jc w:val="center"/>
              <w:rPr>
                <w:sz w:val="18"/>
              </w:rPr>
            </w:pPr>
            <w:r w:rsidRPr="00364545">
              <w:rPr>
                <w:sz w:val="18"/>
              </w:rPr>
              <w:t>-41</w:t>
            </w:r>
            <w:r w:rsidRPr="00364545">
              <w:rPr>
                <w:rFonts w:ascii="Calibri" w:hAnsi="Calibri"/>
                <w:sz w:val="18"/>
              </w:rPr>
              <w:t> </w:t>
            </w:r>
            <w:r w:rsidRPr="00364545">
              <w:rPr>
                <w:sz w:val="18"/>
              </w:rPr>
              <w:t>903</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BB7AD15" w14:textId="77777777" w:rsidR="00920B68" w:rsidRPr="00364545" w:rsidRDefault="00920B68" w:rsidP="00920B68">
            <w:pPr>
              <w:spacing w:line="259" w:lineRule="auto"/>
              <w:ind w:left="14"/>
              <w:jc w:val="center"/>
              <w:rPr>
                <w:sz w:val="18"/>
              </w:rPr>
            </w:pPr>
            <w:r w:rsidRPr="00364545">
              <w:rPr>
                <w:sz w:val="18"/>
              </w:rPr>
              <w:t>-44</w:t>
            </w:r>
            <w:r w:rsidRPr="00364545">
              <w:rPr>
                <w:rFonts w:ascii="Calibri" w:hAnsi="Calibri"/>
                <w:sz w:val="18"/>
              </w:rPr>
              <w:t> </w:t>
            </w:r>
            <w:r w:rsidRPr="00364545">
              <w:rPr>
                <w:sz w:val="18"/>
              </w:rPr>
              <w:t>376</w:t>
            </w:r>
          </w:p>
        </w:tc>
        <w:tc>
          <w:tcPr>
            <w:tcW w:w="75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077F28B" w14:textId="77777777" w:rsidR="00920B68" w:rsidRPr="00364545" w:rsidRDefault="00920B68" w:rsidP="00920B68">
            <w:pPr>
              <w:spacing w:line="259" w:lineRule="auto"/>
              <w:ind w:left="14"/>
              <w:jc w:val="center"/>
              <w:rPr>
                <w:sz w:val="18"/>
              </w:rPr>
            </w:pPr>
            <w:r w:rsidRPr="00364545">
              <w:rPr>
                <w:sz w:val="18"/>
              </w:rPr>
              <w:t>-49</w:t>
            </w:r>
            <w:r w:rsidRPr="00364545">
              <w:rPr>
                <w:rFonts w:ascii="Calibri" w:hAnsi="Calibri"/>
                <w:sz w:val="18"/>
              </w:rPr>
              <w:t> </w:t>
            </w:r>
            <w:r w:rsidRPr="00364545">
              <w:rPr>
                <w:sz w:val="18"/>
              </w:rPr>
              <w:t>395</w:t>
            </w:r>
          </w:p>
        </w:tc>
        <w:tc>
          <w:tcPr>
            <w:tcW w:w="67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4A09844" w14:textId="77777777" w:rsidR="00920B68" w:rsidRPr="00364545" w:rsidRDefault="00920B68" w:rsidP="00920B68">
            <w:pPr>
              <w:spacing w:line="259" w:lineRule="auto"/>
              <w:ind w:left="14"/>
              <w:jc w:val="center"/>
              <w:rPr>
                <w:sz w:val="18"/>
              </w:rPr>
            </w:pPr>
            <w:r w:rsidRPr="00364545">
              <w:rPr>
                <w:sz w:val="18"/>
              </w:rPr>
              <w:t>-71</w:t>
            </w:r>
            <w:r w:rsidRPr="00364545">
              <w:rPr>
                <w:rFonts w:ascii="Calibri" w:hAnsi="Calibri"/>
                <w:sz w:val="18"/>
              </w:rPr>
              <w:t> </w:t>
            </w:r>
            <w:r w:rsidRPr="00364545">
              <w:rPr>
                <w:sz w:val="18"/>
              </w:rPr>
              <w:t>260</w:t>
            </w:r>
          </w:p>
        </w:tc>
      </w:tr>
      <w:tr w:rsidR="00920B68" w:rsidRPr="00364545" w14:paraId="644AAAD7" w14:textId="77777777" w:rsidTr="00920B68">
        <w:trPr>
          <w:trHeight w:val="347"/>
        </w:trPr>
        <w:tc>
          <w:tcPr>
            <w:tcW w:w="1154" w:type="dxa"/>
            <w:tcBorders>
              <w:top w:val="single" w:sz="2" w:space="0" w:color="000000"/>
              <w:left w:val="single" w:sz="2" w:space="0" w:color="000000"/>
              <w:bottom w:val="single" w:sz="2" w:space="0" w:color="000000"/>
              <w:right w:val="single" w:sz="2" w:space="0" w:color="000000"/>
            </w:tcBorders>
          </w:tcPr>
          <w:p w14:paraId="70473C81" w14:textId="77777777" w:rsidR="00920B68" w:rsidRPr="00364545" w:rsidRDefault="00920B68" w:rsidP="00920B68">
            <w:pPr>
              <w:spacing w:line="259" w:lineRule="auto"/>
            </w:pPr>
            <w:r w:rsidRPr="00364545">
              <w:rPr>
                <w:sz w:val="18"/>
              </w:rPr>
              <w:t xml:space="preserve">Waste </w:t>
            </w:r>
          </w:p>
        </w:tc>
        <w:tc>
          <w:tcPr>
            <w:tcW w:w="767" w:type="dxa"/>
            <w:tcBorders>
              <w:top w:val="single" w:sz="2" w:space="0" w:color="000000"/>
              <w:left w:val="single" w:sz="2" w:space="0" w:color="000000"/>
              <w:bottom w:val="single" w:sz="2" w:space="0" w:color="000000"/>
              <w:right w:val="single" w:sz="2" w:space="0" w:color="000000"/>
            </w:tcBorders>
            <w:vAlign w:val="center"/>
          </w:tcPr>
          <w:p w14:paraId="77E91513" w14:textId="77777777" w:rsidR="00920B68" w:rsidRPr="00364545" w:rsidRDefault="00920B68" w:rsidP="00920B68">
            <w:pPr>
              <w:spacing w:line="259" w:lineRule="auto"/>
              <w:ind w:left="14"/>
              <w:jc w:val="center"/>
              <w:rPr>
                <w:sz w:val="18"/>
              </w:rPr>
            </w:pPr>
            <w:r>
              <w:rPr>
                <w:sz w:val="18"/>
                <w:szCs w:val="18"/>
              </w:rPr>
              <w:t>2194</w:t>
            </w:r>
          </w:p>
        </w:tc>
        <w:tc>
          <w:tcPr>
            <w:tcW w:w="767" w:type="dxa"/>
            <w:tcBorders>
              <w:top w:val="single" w:sz="2" w:space="0" w:color="000000"/>
              <w:left w:val="single" w:sz="2" w:space="0" w:color="000000"/>
              <w:bottom w:val="single" w:sz="2" w:space="0" w:color="000000"/>
              <w:right w:val="single" w:sz="2" w:space="0" w:color="000000"/>
            </w:tcBorders>
            <w:vAlign w:val="center"/>
          </w:tcPr>
          <w:p w14:paraId="43DA6F9D" w14:textId="77777777" w:rsidR="00920B68" w:rsidRPr="00364545" w:rsidRDefault="00920B68" w:rsidP="00920B68">
            <w:pPr>
              <w:spacing w:line="259" w:lineRule="auto"/>
              <w:ind w:left="14"/>
              <w:jc w:val="center"/>
              <w:rPr>
                <w:sz w:val="18"/>
              </w:rPr>
            </w:pPr>
            <w:r>
              <w:rPr>
                <w:sz w:val="18"/>
                <w:szCs w:val="18"/>
              </w:rPr>
              <w:t>2223</w:t>
            </w:r>
          </w:p>
        </w:tc>
        <w:tc>
          <w:tcPr>
            <w:tcW w:w="767" w:type="dxa"/>
            <w:tcBorders>
              <w:top w:val="single" w:sz="2" w:space="0" w:color="000000"/>
              <w:left w:val="single" w:sz="2" w:space="0" w:color="000000"/>
              <w:bottom w:val="single" w:sz="2" w:space="0" w:color="000000"/>
              <w:right w:val="single" w:sz="2" w:space="0" w:color="000000"/>
            </w:tcBorders>
            <w:vAlign w:val="center"/>
          </w:tcPr>
          <w:p w14:paraId="2DF8C1AA" w14:textId="77777777" w:rsidR="00920B68" w:rsidRPr="00364545" w:rsidRDefault="00920B68" w:rsidP="00920B68">
            <w:pPr>
              <w:spacing w:line="259" w:lineRule="auto"/>
              <w:ind w:left="14"/>
              <w:jc w:val="center"/>
              <w:rPr>
                <w:sz w:val="18"/>
              </w:rPr>
            </w:pPr>
            <w:r>
              <w:rPr>
                <w:sz w:val="18"/>
                <w:szCs w:val="18"/>
              </w:rPr>
              <w:t>1704</w:t>
            </w:r>
          </w:p>
        </w:tc>
        <w:tc>
          <w:tcPr>
            <w:tcW w:w="750" w:type="dxa"/>
            <w:tcBorders>
              <w:top w:val="single" w:sz="2" w:space="0" w:color="000000"/>
              <w:left w:val="single" w:sz="2" w:space="0" w:color="000000"/>
              <w:bottom w:val="single" w:sz="2" w:space="0" w:color="000000"/>
              <w:right w:val="single" w:sz="2" w:space="0" w:color="000000"/>
            </w:tcBorders>
            <w:vAlign w:val="center"/>
          </w:tcPr>
          <w:p w14:paraId="3B2A5240" w14:textId="77777777" w:rsidR="00920B68" w:rsidRPr="00364545" w:rsidRDefault="00920B68" w:rsidP="00920B68">
            <w:pPr>
              <w:spacing w:line="259" w:lineRule="auto"/>
              <w:ind w:left="14"/>
              <w:jc w:val="center"/>
              <w:rPr>
                <w:sz w:val="18"/>
              </w:rPr>
            </w:pPr>
            <w:r>
              <w:rPr>
                <w:sz w:val="18"/>
                <w:szCs w:val="18"/>
              </w:rPr>
              <w:t>1549</w:t>
            </w:r>
          </w:p>
        </w:tc>
        <w:tc>
          <w:tcPr>
            <w:tcW w:w="766" w:type="dxa"/>
            <w:tcBorders>
              <w:top w:val="single" w:sz="2" w:space="0" w:color="000000"/>
              <w:left w:val="single" w:sz="2" w:space="0" w:color="000000"/>
              <w:bottom w:val="single" w:sz="2" w:space="0" w:color="000000"/>
              <w:right w:val="single" w:sz="2" w:space="0" w:color="000000"/>
            </w:tcBorders>
            <w:vAlign w:val="center"/>
          </w:tcPr>
          <w:p w14:paraId="61A243A1" w14:textId="77777777" w:rsidR="00920B68" w:rsidRPr="00364545" w:rsidRDefault="00920B68" w:rsidP="00920B68">
            <w:pPr>
              <w:spacing w:line="259" w:lineRule="auto"/>
              <w:ind w:left="14"/>
              <w:jc w:val="center"/>
              <w:rPr>
                <w:sz w:val="18"/>
              </w:rPr>
            </w:pPr>
            <w:r>
              <w:rPr>
                <w:sz w:val="18"/>
                <w:szCs w:val="18"/>
              </w:rPr>
              <w:t>1608</w:t>
            </w:r>
          </w:p>
        </w:tc>
        <w:tc>
          <w:tcPr>
            <w:tcW w:w="766" w:type="dxa"/>
            <w:tcBorders>
              <w:top w:val="single" w:sz="2" w:space="0" w:color="000000"/>
              <w:left w:val="single" w:sz="2" w:space="0" w:color="000000"/>
              <w:bottom w:val="single" w:sz="2" w:space="0" w:color="000000"/>
              <w:right w:val="single" w:sz="2" w:space="0" w:color="000000"/>
            </w:tcBorders>
            <w:vAlign w:val="center"/>
          </w:tcPr>
          <w:p w14:paraId="29096449" w14:textId="77777777" w:rsidR="00920B68" w:rsidRPr="00364545" w:rsidRDefault="00920B68" w:rsidP="00920B68">
            <w:pPr>
              <w:spacing w:line="259" w:lineRule="auto"/>
              <w:ind w:left="14"/>
              <w:jc w:val="center"/>
              <w:rPr>
                <w:sz w:val="18"/>
              </w:rPr>
            </w:pPr>
            <w:r>
              <w:rPr>
                <w:sz w:val="18"/>
                <w:szCs w:val="18"/>
              </w:rPr>
              <w:t>1542</w:t>
            </w:r>
          </w:p>
        </w:tc>
        <w:tc>
          <w:tcPr>
            <w:tcW w:w="471" w:type="dxa"/>
            <w:tcBorders>
              <w:top w:val="single" w:sz="2" w:space="0" w:color="000000"/>
              <w:left w:val="single" w:sz="2" w:space="0" w:color="000000"/>
              <w:bottom w:val="single" w:sz="2" w:space="0" w:color="000000"/>
              <w:right w:val="single" w:sz="2" w:space="0" w:color="000000"/>
            </w:tcBorders>
            <w:vAlign w:val="center"/>
          </w:tcPr>
          <w:p w14:paraId="68591477" w14:textId="77777777" w:rsidR="00920B68" w:rsidRPr="00364545" w:rsidRDefault="00920B68" w:rsidP="00920B68">
            <w:pPr>
              <w:spacing w:line="259" w:lineRule="auto"/>
              <w:ind w:left="14"/>
              <w:jc w:val="center"/>
              <w:rPr>
                <w:sz w:val="18"/>
              </w:rPr>
            </w:pPr>
            <w:r>
              <w:rPr>
                <w:sz w:val="18"/>
                <w:szCs w:val="18"/>
              </w:rPr>
              <w:t>1738</w:t>
            </w:r>
          </w:p>
        </w:tc>
        <w:tc>
          <w:tcPr>
            <w:tcW w:w="766" w:type="dxa"/>
            <w:tcBorders>
              <w:top w:val="single" w:sz="2" w:space="0" w:color="000000"/>
              <w:left w:val="single" w:sz="2" w:space="0" w:color="000000"/>
              <w:bottom w:val="single" w:sz="2" w:space="0" w:color="000000"/>
              <w:right w:val="single" w:sz="2" w:space="0" w:color="000000"/>
            </w:tcBorders>
            <w:vAlign w:val="center"/>
          </w:tcPr>
          <w:p w14:paraId="3C73122A"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515</w:t>
            </w:r>
          </w:p>
        </w:tc>
        <w:tc>
          <w:tcPr>
            <w:tcW w:w="766" w:type="dxa"/>
            <w:tcBorders>
              <w:top w:val="single" w:sz="2" w:space="0" w:color="000000"/>
              <w:left w:val="single" w:sz="2" w:space="0" w:color="000000"/>
              <w:bottom w:val="single" w:sz="2" w:space="0" w:color="000000"/>
              <w:right w:val="single" w:sz="2" w:space="0" w:color="000000"/>
            </w:tcBorders>
            <w:vAlign w:val="center"/>
          </w:tcPr>
          <w:p w14:paraId="258CB58B"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515</w:t>
            </w:r>
          </w:p>
        </w:tc>
        <w:tc>
          <w:tcPr>
            <w:tcW w:w="766" w:type="dxa"/>
            <w:tcBorders>
              <w:top w:val="single" w:sz="2" w:space="0" w:color="000000"/>
              <w:left w:val="single" w:sz="2" w:space="0" w:color="000000"/>
              <w:bottom w:val="single" w:sz="2" w:space="0" w:color="000000"/>
              <w:right w:val="single" w:sz="2" w:space="0" w:color="000000"/>
            </w:tcBorders>
            <w:vAlign w:val="center"/>
          </w:tcPr>
          <w:p w14:paraId="221D58A2"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515</w:t>
            </w:r>
          </w:p>
        </w:tc>
        <w:tc>
          <w:tcPr>
            <w:tcW w:w="750" w:type="dxa"/>
            <w:tcBorders>
              <w:top w:val="single" w:sz="2" w:space="0" w:color="000000"/>
              <w:left w:val="single" w:sz="2" w:space="0" w:color="000000"/>
              <w:bottom w:val="single" w:sz="2" w:space="0" w:color="000000"/>
              <w:right w:val="single" w:sz="2" w:space="0" w:color="000000"/>
            </w:tcBorders>
            <w:vAlign w:val="center"/>
          </w:tcPr>
          <w:p w14:paraId="5ADE0F19"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515</w:t>
            </w:r>
          </w:p>
        </w:tc>
        <w:tc>
          <w:tcPr>
            <w:tcW w:w="678" w:type="dxa"/>
            <w:tcBorders>
              <w:top w:val="single" w:sz="2" w:space="0" w:color="000000"/>
              <w:left w:val="single" w:sz="2" w:space="0" w:color="000000"/>
              <w:bottom w:val="single" w:sz="2" w:space="0" w:color="000000"/>
              <w:right w:val="single" w:sz="2" w:space="0" w:color="000000"/>
            </w:tcBorders>
            <w:vAlign w:val="center"/>
          </w:tcPr>
          <w:p w14:paraId="13F62088" w14:textId="77777777" w:rsidR="00920B68" w:rsidRPr="00364545" w:rsidRDefault="00920B68" w:rsidP="00920B68">
            <w:pPr>
              <w:spacing w:line="259" w:lineRule="auto"/>
              <w:ind w:left="14"/>
              <w:jc w:val="center"/>
              <w:rPr>
                <w:sz w:val="18"/>
              </w:rPr>
            </w:pPr>
            <w:r w:rsidRPr="00364545">
              <w:rPr>
                <w:sz w:val="18"/>
              </w:rPr>
              <w:t>1</w:t>
            </w:r>
            <w:r w:rsidRPr="00364545">
              <w:rPr>
                <w:rFonts w:ascii="Calibri" w:hAnsi="Calibri"/>
                <w:sz w:val="18"/>
              </w:rPr>
              <w:t> </w:t>
            </w:r>
            <w:r w:rsidRPr="00364545">
              <w:rPr>
                <w:sz w:val="18"/>
              </w:rPr>
              <w:t>515</w:t>
            </w:r>
          </w:p>
        </w:tc>
      </w:tr>
      <w:tr w:rsidR="00920B68" w:rsidRPr="00364545" w14:paraId="09DC43E3" w14:textId="77777777" w:rsidTr="00920B68">
        <w:trPr>
          <w:trHeight w:val="344"/>
        </w:trPr>
        <w:tc>
          <w:tcPr>
            <w:tcW w:w="1154" w:type="dxa"/>
            <w:tcBorders>
              <w:top w:val="single" w:sz="2" w:space="0" w:color="000000"/>
              <w:left w:val="single" w:sz="2" w:space="0" w:color="000000"/>
              <w:bottom w:val="single" w:sz="2" w:space="0" w:color="000000"/>
              <w:right w:val="single" w:sz="2" w:space="0" w:color="000000"/>
            </w:tcBorders>
            <w:shd w:val="clear" w:color="auto" w:fill="ECE6E2"/>
          </w:tcPr>
          <w:p w14:paraId="1F88E51B" w14:textId="77777777" w:rsidR="00920B68" w:rsidRPr="00364545" w:rsidRDefault="00920B68" w:rsidP="00920B68">
            <w:pPr>
              <w:spacing w:line="259" w:lineRule="auto"/>
            </w:pPr>
            <w:r w:rsidRPr="00364545">
              <w:rPr>
                <w:b/>
                <w:sz w:val="18"/>
              </w:rPr>
              <w:t xml:space="preserve">Ensemble (hors UTCF) </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1C9FEF8" w14:textId="77777777" w:rsidR="00920B68" w:rsidRPr="00364545" w:rsidRDefault="00920B68" w:rsidP="00920B68">
            <w:pPr>
              <w:spacing w:line="259" w:lineRule="auto"/>
              <w:ind w:left="14"/>
              <w:jc w:val="center"/>
              <w:rPr>
                <w:b/>
                <w:sz w:val="18"/>
              </w:rPr>
            </w:pPr>
            <w:r w:rsidRPr="00944589">
              <w:rPr>
                <w:b/>
                <w:sz w:val="18"/>
                <w:szCs w:val="18"/>
              </w:rPr>
              <w:t>398425</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D4758D9" w14:textId="77777777" w:rsidR="00920B68" w:rsidRPr="00364545" w:rsidRDefault="00920B68" w:rsidP="00920B68">
            <w:pPr>
              <w:spacing w:line="259" w:lineRule="auto"/>
              <w:ind w:left="14"/>
              <w:jc w:val="center"/>
              <w:rPr>
                <w:b/>
                <w:sz w:val="18"/>
              </w:rPr>
            </w:pPr>
            <w:r w:rsidRPr="00944589">
              <w:rPr>
                <w:b/>
                <w:sz w:val="18"/>
                <w:szCs w:val="18"/>
              </w:rPr>
              <w:t>392916</w:t>
            </w:r>
          </w:p>
        </w:tc>
        <w:tc>
          <w:tcPr>
            <w:tcW w:w="76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282DC2" w14:textId="77777777" w:rsidR="00920B68" w:rsidRPr="00364545" w:rsidRDefault="00920B68" w:rsidP="00920B68">
            <w:pPr>
              <w:spacing w:line="259" w:lineRule="auto"/>
              <w:ind w:left="14"/>
              <w:jc w:val="center"/>
              <w:rPr>
                <w:b/>
                <w:sz w:val="18"/>
              </w:rPr>
            </w:pPr>
            <w:r w:rsidRPr="00944589">
              <w:rPr>
                <w:b/>
                <w:sz w:val="18"/>
                <w:szCs w:val="18"/>
              </w:rPr>
              <w:t>414788</w:t>
            </w:r>
          </w:p>
        </w:tc>
        <w:tc>
          <w:tcPr>
            <w:tcW w:w="75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1705CC6" w14:textId="77777777" w:rsidR="00920B68" w:rsidRPr="00364545" w:rsidRDefault="00920B68" w:rsidP="00920B68">
            <w:pPr>
              <w:spacing w:line="259" w:lineRule="auto"/>
              <w:ind w:left="14"/>
              <w:jc w:val="center"/>
              <w:rPr>
                <w:b/>
                <w:sz w:val="18"/>
              </w:rPr>
            </w:pPr>
            <w:r w:rsidRPr="00944589">
              <w:rPr>
                <w:b/>
                <w:sz w:val="18"/>
                <w:szCs w:val="18"/>
              </w:rPr>
              <w:t>425444</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EA3BD9E" w14:textId="77777777" w:rsidR="00920B68" w:rsidRPr="00364545" w:rsidRDefault="00920B68" w:rsidP="00920B68">
            <w:pPr>
              <w:spacing w:line="259" w:lineRule="auto"/>
              <w:ind w:left="14"/>
              <w:jc w:val="center"/>
              <w:rPr>
                <w:b/>
                <w:sz w:val="18"/>
              </w:rPr>
            </w:pPr>
            <w:r w:rsidRPr="00944589">
              <w:rPr>
                <w:b/>
                <w:sz w:val="18"/>
                <w:szCs w:val="18"/>
              </w:rPr>
              <w:t>386872</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AE3E3F" w14:textId="77777777" w:rsidR="00920B68" w:rsidRPr="00364545" w:rsidRDefault="00920B68" w:rsidP="00920B68">
            <w:pPr>
              <w:spacing w:line="259" w:lineRule="auto"/>
              <w:ind w:left="14"/>
              <w:jc w:val="center"/>
              <w:rPr>
                <w:b/>
                <w:sz w:val="18"/>
              </w:rPr>
            </w:pPr>
            <w:r w:rsidRPr="00944589">
              <w:rPr>
                <w:b/>
                <w:sz w:val="18"/>
                <w:szCs w:val="18"/>
              </w:rPr>
              <w:t>341631</w:t>
            </w:r>
          </w:p>
        </w:tc>
        <w:tc>
          <w:tcPr>
            <w:tcW w:w="47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96F91E" w14:textId="77777777" w:rsidR="00920B68" w:rsidRPr="00364545" w:rsidRDefault="00920B68" w:rsidP="00920B68">
            <w:pPr>
              <w:spacing w:line="259" w:lineRule="auto"/>
              <w:ind w:left="14"/>
              <w:jc w:val="center"/>
              <w:rPr>
                <w:b/>
                <w:sz w:val="18"/>
              </w:rPr>
            </w:pPr>
            <w:r w:rsidRPr="00944589">
              <w:rPr>
                <w:b/>
                <w:sz w:val="18"/>
                <w:szCs w:val="18"/>
              </w:rPr>
              <w:t>326725</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FDF9BAF" w14:textId="77777777" w:rsidR="00920B68" w:rsidRPr="00364545" w:rsidRDefault="00920B68" w:rsidP="00920B68">
            <w:pPr>
              <w:spacing w:line="259" w:lineRule="auto"/>
              <w:ind w:left="14"/>
              <w:jc w:val="center"/>
              <w:rPr>
                <w:b/>
                <w:sz w:val="18"/>
              </w:rPr>
            </w:pPr>
            <w:r w:rsidRPr="00364545">
              <w:rPr>
                <w:b/>
                <w:sz w:val="18"/>
              </w:rPr>
              <w:t>325</w:t>
            </w:r>
            <w:r w:rsidRPr="00364545">
              <w:rPr>
                <w:rFonts w:ascii="Calibri" w:hAnsi="Calibri"/>
                <w:b/>
                <w:sz w:val="18"/>
              </w:rPr>
              <w:t> </w:t>
            </w:r>
            <w:r w:rsidRPr="00364545">
              <w:rPr>
                <w:b/>
                <w:sz w:val="18"/>
              </w:rPr>
              <w:t>904</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06473B9" w14:textId="77777777" w:rsidR="00920B68" w:rsidRPr="00364545" w:rsidRDefault="00920B68" w:rsidP="00920B68">
            <w:pPr>
              <w:spacing w:line="259" w:lineRule="auto"/>
              <w:ind w:left="14"/>
              <w:jc w:val="center"/>
              <w:rPr>
                <w:b/>
                <w:sz w:val="18"/>
              </w:rPr>
            </w:pPr>
            <w:r w:rsidRPr="00364545">
              <w:rPr>
                <w:b/>
                <w:sz w:val="18"/>
              </w:rPr>
              <w:t>273</w:t>
            </w:r>
            <w:r w:rsidRPr="00364545">
              <w:rPr>
                <w:rFonts w:ascii="Calibri" w:hAnsi="Calibri"/>
                <w:b/>
                <w:sz w:val="18"/>
              </w:rPr>
              <w:t> </w:t>
            </w:r>
            <w:r w:rsidRPr="00364545">
              <w:rPr>
                <w:b/>
                <w:sz w:val="18"/>
              </w:rPr>
              <w:t>167</w:t>
            </w:r>
          </w:p>
        </w:tc>
        <w:tc>
          <w:tcPr>
            <w:tcW w:w="7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8B85074" w14:textId="77777777" w:rsidR="00920B68" w:rsidRPr="00364545" w:rsidRDefault="00920B68" w:rsidP="00920B68">
            <w:pPr>
              <w:spacing w:line="259" w:lineRule="auto"/>
              <w:ind w:left="14"/>
              <w:jc w:val="center"/>
              <w:rPr>
                <w:b/>
                <w:sz w:val="18"/>
              </w:rPr>
            </w:pPr>
            <w:r w:rsidRPr="00364545">
              <w:rPr>
                <w:b/>
                <w:sz w:val="18"/>
              </w:rPr>
              <w:t>220</w:t>
            </w:r>
            <w:r w:rsidRPr="00364545">
              <w:rPr>
                <w:rFonts w:ascii="Calibri" w:hAnsi="Calibri"/>
                <w:b/>
                <w:sz w:val="18"/>
              </w:rPr>
              <w:t> </w:t>
            </w:r>
            <w:r w:rsidRPr="00364545">
              <w:rPr>
                <w:b/>
                <w:sz w:val="18"/>
              </w:rPr>
              <w:t>992</w:t>
            </w:r>
          </w:p>
        </w:tc>
        <w:tc>
          <w:tcPr>
            <w:tcW w:w="75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1F36097" w14:textId="77777777" w:rsidR="00920B68" w:rsidRPr="00364545" w:rsidRDefault="00920B68" w:rsidP="00920B68">
            <w:pPr>
              <w:spacing w:line="259" w:lineRule="auto"/>
              <w:ind w:left="14"/>
              <w:jc w:val="center"/>
              <w:rPr>
                <w:b/>
                <w:sz w:val="18"/>
              </w:rPr>
            </w:pPr>
            <w:r w:rsidRPr="00364545">
              <w:rPr>
                <w:b/>
                <w:sz w:val="18"/>
              </w:rPr>
              <w:t>167</w:t>
            </w:r>
            <w:r w:rsidRPr="00364545">
              <w:rPr>
                <w:rFonts w:ascii="Calibri" w:hAnsi="Calibri"/>
                <w:b/>
                <w:sz w:val="18"/>
              </w:rPr>
              <w:t> </w:t>
            </w:r>
            <w:r w:rsidRPr="00364545">
              <w:rPr>
                <w:b/>
                <w:sz w:val="18"/>
              </w:rPr>
              <w:t>257</w:t>
            </w:r>
          </w:p>
        </w:tc>
        <w:tc>
          <w:tcPr>
            <w:tcW w:w="67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0CD2A4A" w14:textId="77777777" w:rsidR="00920B68" w:rsidRPr="00364545" w:rsidRDefault="00920B68" w:rsidP="00920B68">
            <w:pPr>
              <w:spacing w:line="259" w:lineRule="auto"/>
              <w:ind w:left="14"/>
              <w:jc w:val="center"/>
              <w:rPr>
                <w:b/>
                <w:sz w:val="18"/>
              </w:rPr>
            </w:pPr>
            <w:r w:rsidRPr="00364545">
              <w:rPr>
                <w:b/>
                <w:sz w:val="18"/>
              </w:rPr>
              <w:t>6</w:t>
            </w:r>
            <w:r w:rsidRPr="00364545">
              <w:rPr>
                <w:rFonts w:ascii="Calibri" w:hAnsi="Calibri"/>
                <w:b/>
                <w:sz w:val="18"/>
              </w:rPr>
              <w:t> </w:t>
            </w:r>
            <w:r w:rsidRPr="00364545">
              <w:rPr>
                <w:b/>
                <w:sz w:val="18"/>
              </w:rPr>
              <w:t>447</w:t>
            </w:r>
          </w:p>
        </w:tc>
      </w:tr>
      <w:tr w:rsidR="00920B68" w:rsidRPr="00364545" w14:paraId="14467EB4" w14:textId="77777777" w:rsidTr="00920B68">
        <w:trPr>
          <w:trHeight w:val="344"/>
        </w:trPr>
        <w:tc>
          <w:tcPr>
            <w:tcW w:w="1154" w:type="dxa"/>
            <w:tcBorders>
              <w:top w:val="single" w:sz="2" w:space="0" w:color="000000"/>
              <w:left w:val="single" w:sz="2" w:space="0" w:color="000000"/>
              <w:bottom w:val="single" w:sz="2" w:space="0" w:color="000000"/>
              <w:right w:val="single" w:sz="2" w:space="0" w:color="000000"/>
            </w:tcBorders>
          </w:tcPr>
          <w:p w14:paraId="62250E57" w14:textId="77777777" w:rsidR="00920B68" w:rsidRPr="00364545" w:rsidRDefault="00920B68" w:rsidP="00920B68">
            <w:pPr>
              <w:spacing w:line="259" w:lineRule="auto"/>
            </w:pPr>
            <w:r w:rsidRPr="00364545">
              <w:rPr>
                <w:b/>
                <w:sz w:val="18"/>
              </w:rPr>
              <w:t xml:space="preserve">Ensemble (avec UTCF) </w:t>
            </w:r>
          </w:p>
        </w:tc>
        <w:tc>
          <w:tcPr>
            <w:tcW w:w="767" w:type="dxa"/>
            <w:tcBorders>
              <w:top w:val="single" w:sz="2" w:space="0" w:color="000000"/>
              <w:left w:val="single" w:sz="2" w:space="0" w:color="000000"/>
              <w:bottom w:val="single" w:sz="2" w:space="0" w:color="000000"/>
              <w:right w:val="single" w:sz="2" w:space="0" w:color="000000"/>
            </w:tcBorders>
            <w:vAlign w:val="center"/>
          </w:tcPr>
          <w:p w14:paraId="42A40642" w14:textId="77777777" w:rsidR="00920B68" w:rsidRPr="00364545" w:rsidRDefault="00920B68" w:rsidP="00920B68">
            <w:pPr>
              <w:spacing w:line="259" w:lineRule="auto"/>
              <w:ind w:left="14"/>
              <w:jc w:val="center"/>
              <w:rPr>
                <w:b/>
                <w:sz w:val="18"/>
              </w:rPr>
            </w:pPr>
            <w:r w:rsidRPr="00944589">
              <w:rPr>
                <w:b/>
                <w:sz w:val="18"/>
                <w:szCs w:val="18"/>
              </w:rPr>
              <w:t>370280</w:t>
            </w:r>
          </w:p>
        </w:tc>
        <w:tc>
          <w:tcPr>
            <w:tcW w:w="767" w:type="dxa"/>
            <w:tcBorders>
              <w:top w:val="single" w:sz="2" w:space="0" w:color="000000"/>
              <w:left w:val="single" w:sz="2" w:space="0" w:color="000000"/>
              <w:bottom w:val="single" w:sz="2" w:space="0" w:color="000000"/>
              <w:right w:val="single" w:sz="2" w:space="0" w:color="000000"/>
            </w:tcBorders>
            <w:vAlign w:val="center"/>
          </w:tcPr>
          <w:p w14:paraId="2990E5F9" w14:textId="77777777" w:rsidR="00920B68" w:rsidRPr="00364545" w:rsidRDefault="00920B68" w:rsidP="00920B68">
            <w:pPr>
              <w:spacing w:line="259" w:lineRule="auto"/>
              <w:ind w:left="14"/>
              <w:jc w:val="center"/>
              <w:rPr>
                <w:b/>
                <w:sz w:val="18"/>
              </w:rPr>
            </w:pPr>
            <w:r w:rsidRPr="00944589">
              <w:rPr>
                <w:b/>
                <w:sz w:val="18"/>
                <w:szCs w:val="18"/>
              </w:rPr>
              <w:t>361121</w:t>
            </w:r>
          </w:p>
        </w:tc>
        <w:tc>
          <w:tcPr>
            <w:tcW w:w="767" w:type="dxa"/>
            <w:tcBorders>
              <w:top w:val="single" w:sz="2" w:space="0" w:color="000000"/>
              <w:left w:val="single" w:sz="2" w:space="0" w:color="000000"/>
              <w:bottom w:val="single" w:sz="2" w:space="0" w:color="000000"/>
              <w:right w:val="single" w:sz="2" w:space="0" w:color="000000"/>
            </w:tcBorders>
            <w:vAlign w:val="center"/>
          </w:tcPr>
          <w:p w14:paraId="36D34CB0" w14:textId="77777777" w:rsidR="00920B68" w:rsidRPr="00364545" w:rsidRDefault="00920B68" w:rsidP="00920B68">
            <w:pPr>
              <w:spacing w:line="259" w:lineRule="auto"/>
              <w:ind w:left="14"/>
              <w:jc w:val="center"/>
              <w:rPr>
                <w:b/>
                <w:sz w:val="18"/>
              </w:rPr>
            </w:pPr>
            <w:r w:rsidRPr="00944589">
              <w:rPr>
                <w:b/>
                <w:sz w:val="18"/>
                <w:szCs w:val="18"/>
              </w:rPr>
              <w:t>390194</w:t>
            </w:r>
          </w:p>
        </w:tc>
        <w:tc>
          <w:tcPr>
            <w:tcW w:w="750" w:type="dxa"/>
            <w:tcBorders>
              <w:top w:val="single" w:sz="2" w:space="0" w:color="000000"/>
              <w:left w:val="single" w:sz="2" w:space="0" w:color="000000"/>
              <w:bottom w:val="single" w:sz="2" w:space="0" w:color="000000"/>
              <w:right w:val="single" w:sz="2" w:space="0" w:color="000000"/>
            </w:tcBorders>
            <w:vAlign w:val="center"/>
          </w:tcPr>
          <w:p w14:paraId="6331BD7F" w14:textId="77777777" w:rsidR="00920B68" w:rsidRPr="00364545" w:rsidRDefault="00920B68" w:rsidP="00920B68">
            <w:pPr>
              <w:spacing w:line="259" w:lineRule="auto"/>
              <w:ind w:left="14"/>
              <w:jc w:val="center"/>
              <w:rPr>
                <w:b/>
                <w:sz w:val="18"/>
              </w:rPr>
            </w:pPr>
            <w:r w:rsidRPr="00944589">
              <w:rPr>
                <w:b/>
                <w:sz w:val="18"/>
                <w:szCs w:val="18"/>
              </w:rPr>
              <w:t>373972</w:t>
            </w:r>
          </w:p>
        </w:tc>
        <w:tc>
          <w:tcPr>
            <w:tcW w:w="766" w:type="dxa"/>
            <w:tcBorders>
              <w:top w:val="single" w:sz="2" w:space="0" w:color="000000"/>
              <w:left w:val="single" w:sz="2" w:space="0" w:color="000000"/>
              <w:bottom w:val="single" w:sz="2" w:space="0" w:color="000000"/>
              <w:right w:val="single" w:sz="2" w:space="0" w:color="000000"/>
            </w:tcBorders>
            <w:vAlign w:val="center"/>
          </w:tcPr>
          <w:p w14:paraId="063FAEDF" w14:textId="77777777" w:rsidR="00920B68" w:rsidRPr="00364545" w:rsidRDefault="00920B68" w:rsidP="00920B68">
            <w:pPr>
              <w:spacing w:line="259" w:lineRule="auto"/>
              <w:ind w:left="14"/>
              <w:jc w:val="center"/>
              <w:rPr>
                <w:b/>
                <w:sz w:val="18"/>
              </w:rPr>
            </w:pPr>
            <w:r w:rsidRPr="00944589">
              <w:rPr>
                <w:b/>
                <w:sz w:val="18"/>
                <w:szCs w:val="18"/>
              </w:rPr>
              <w:t>344171</w:t>
            </w:r>
          </w:p>
        </w:tc>
        <w:tc>
          <w:tcPr>
            <w:tcW w:w="766" w:type="dxa"/>
            <w:tcBorders>
              <w:top w:val="single" w:sz="2" w:space="0" w:color="000000"/>
              <w:left w:val="single" w:sz="2" w:space="0" w:color="000000"/>
              <w:bottom w:val="single" w:sz="2" w:space="0" w:color="000000"/>
              <w:right w:val="single" w:sz="2" w:space="0" w:color="000000"/>
            </w:tcBorders>
            <w:vAlign w:val="center"/>
          </w:tcPr>
          <w:p w14:paraId="54244C8B" w14:textId="77777777" w:rsidR="00920B68" w:rsidRPr="00364545" w:rsidRDefault="00920B68" w:rsidP="00920B68">
            <w:pPr>
              <w:spacing w:line="259" w:lineRule="auto"/>
              <w:ind w:left="14"/>
              <w:jc w:val="center"/>
              <w:rPr>
                <w:b/>
                <w:sz w:val="18"/>
              </w:rPr>
            </w:pPr>
            <w:r w:rsidRPr="00944589">
              <w:rPr>
                <w:b/>
                <w:sz w:val="18"/>
                <w:szCs w:val="18"/>
              </w:rPr>
              <w:t>303032</w:t>
            </w:r>
          </w:p>
        </w:tc>
        <w:tc>
          <w:tcPr>
            <w:tcW w:w="471" w:type="dxa"/>
            <w:tcBorders>
              <w:top w:val="single" w:sz="2" w:space="0" w:color="000000"/>
              <w:left w:val="single" w:sz="2" w:space="0" w:color="000000"/>
              <w:bottom w:val="single" w:sz="2" w:space="0" w:color="000000"/>
              <w:right w:val="single" w:sz="2" w:space="0" w:color="000000"/>
            </w:tcBorders>
            <w:vAlign w:val="center"/>
          </w:tcPr>
          <w:p w14:paraId="0F995ECB" w14:textId="77777777" w:rsidR="00920B68" w:rsidRPr="00364545" w:rsidRDefault="00920B68" w:rsidP="00920B68">
            <w:pPr>
              <w:spacing w:line="259" w:lineRule="auto"/>
              <w:ind w:left="14"/>
              <w:jc w:val="center"/>
              <w:rPr>
                <w:b/>
                <w:sz w:val="18"/>
              </w:rPr>
            </w:pPr>
            <w:r w:rsidRPr="00944589">
              <w:rPr>
                <w:b/>
                <w:sz w:val="18"/>
                <w:szCs w:val="18"/>
              </w:rPr>
              <w:t>310432</w:t>
            </w:r>
          </w:p>
        </w:tc>
        <w:tc>
          <w:tcPr>
            <w:tcW w:w="766" w:type="dxa"/>
            <w:tcBorders>
              <w:top w:val="single" w:sz="2" w:space="0" w:color="000000"/>
              <w:left w:val="single" w:sz="2" w:space="0" w:color="000000"/>
              <w:bottom w:val="single" w:sz="2" w:space="0" w:color="000000"/>
              <w:right w:val="single" w:sz="2" w:space="0" w:color="000000"/>
            </w:tcBorders>
            <w:vAlign w:val="center"/>
          </w:tcPr>
          <w:p w14:paraId="09D6539D" w14:textId="77777777" w:rsidR="00920B68" w:rsidRPr="00364545" w:rsidRDefault="00920B68" w:rsidP="00920B68">
            <w:pPr>
              <w:spacing w:line="259" w:lineRule="auto"/>
              <w:ind w:left="14"/>
              <w:jc w:val="center"/>
              <w:rPr>
                <w:b/>
                <w:sz w:val="18"/>
              </w:rPr>
            </w:pPr>
            <w:r w:rsidRPr="00364545">
              <w:rPr>
                <w:b/>
                <w:sz w:val="18"/>
              </w:rPr>
              <w:t>282</w:t>
            </w:r>
            <w:r w:rsidRPr="00364545">
              <w:rPr>
                <w:rFonts w:ascii="Calibri" w:hAnsi="Calibri"/>
                <w:b/>
                <w:sz w:val="18"/>
              </w:rPr>
              <w:t> </w:t>
            </w:r>
            <w:r w:rsidRPr="00364545">
              <w:rPr>
                <w:b/>
                <w:sz w:val="18"/>
              </w:rPr>
              <w:t>686</w:t>
            </w:r>
          </w:p>
        </w:tc>
        <w:tc>
          <w:tcPr>
            <w:tcW w:w="766" w:type="dxa"/>
            <w:tcBorders>
              <w:top w:val="single" w:sz="2" w:space="0" w:color="000000"/>
              <w:left w:val="single" w:sz="2" w:space="0" w:color="000000"/>
              <w:bottom w:val="single" w:sz="2" w:space="0" w:color="000000"/>
              <w:right w:val="single" w:sz="2" w:space="0" w:color="000000"/>
            </w:tcBorders>
            <w:vAlign w:val="center"/>
          </w:tcPr>
          <w:p w14:paraId="7E52548B" w14:textId="77777777" w:rsidR="00920B68" w:rsidRPr="00364545" w:rsidRDefault="00920B68" w:rsidP="00920B68">
            <w:pPr>
              <w:spacing w:line="259" w:lineRule="auto"/>
              <w:ind w:left="14"/>
              <w:jc w:val="center"/>
              <w:rPr>
                <w:b/>
                <w:sz w:val="18"/>
              </w:rPr>
            </w:pPr>
            <w:r w:rsidRPr="00364545">
              <w:rPr>
                <w:b/>
                <w:sz w:val="18"/>
              </w:rPr>
              <w:t>231</w:t>
            </w:r>
            <w:r w:rsidRPr="00364545">
              <w:rPr>
                <w:rFonts w:ascii="Calibri" w:hAnsi="Calibri"/>
                <w:b/>
                <w:sz w:val="18"/>
              </w:rPr>
              <w:t> </w:t>
            </w:r>
            <w:r w:rsidRPr="00364545">
              <w:rPr>
                <w:b/>
                <w:sz w:val="18"/>
              </w:rPr>
              <w:t>264</w:t>
            </w:r>
          </w:p>
        </w:tc>
        <w:tc>
          <w:tcPr>
            <w:tcW w:w="766" w:type="dxa"/>
            <w:tcBorders>
              <w:top w:val="single" w:sz="2" w:space="0" w:color="000000"/>
              <w:left w:val="single" w:sz="2" w:space="0" w:color="000000"/>
              <w:bottom w:val="single" w:sz="2" w:space="0" w:color="000000"/>
              <w:right w:val="single" w:sz="2" w:space="0" w:color="000000"/>
            </w:tcBorders>
            <w:vAlign w:val="center"/>
          </w:tcPr>
          <w:p w14:paraId="378266A3" w14:textId="77777777" w:rsidR="00920B68" w:rsidRPr="00364545" w:rsidRDefault="00920B68" w:rsidP="00920B68">
            <w:pPr>
              <w:spacing w:line="259" w:lineRule="auto"/>
              <w:ind w:left="14"/>
              <w:jc w:val="center"/>
              <w:rPr>
                <w:b/>
                <w:sz w:val="18"/>
              </w:rPr>
            </w:pPr>
            <w:r w:rsidRPr="00364545">
              <w:rPr>
                <w:b/>
                <w:sz w:val="18"/>
              </w:rPr>
              <w:t>176</w:t>
            </w:r>
            <w:r w:rsidRPr="00364545">
              <w:rPr>
                <w:rFonts w:ascii="Calibri" w:hAnsi="Calibri"/>
                <w:b/>
                <w:sz w:val="18"/>
              </w:rPr>
              <w:t> </w:t>
            </w:r>
            <w:r w:rsidRPr="00364545">
              <w:rPr>
                <w:b/>
                <w:sz w:val="18"/>
              </w:rPr>
              <w:t>617</w:t>
            </w:r>
          </w:p>
        </w:tc>
        <w:tc>
          <w:tcPr>
            <w:tcW w:w="750" w:type="dxa"/>
            <w:tcBorders>
              <w:top w:val="single" w:sz="2" w:space="0" w:color="000000"/>
              <w:left w:val="single" w:sz="2" w:space="0" w:color="000000"/>
              <w:bottom w:val="single" w:sz="2" w:space="0" w:color="000000"/>
              <w:right w:val="single" w:sz="2" w:space="0" w:color="000000"/>
            </w:tcBorders>
            <w:vAlign w:val="center"/>
          </w:tcPr>
          <w:p w14:paraId="20A844B9" w14:textId="77777777" w:rsidR="00920B68" w:rsidRPr="00364545" w:rsidRDefault="00920B68" w:rsidP="00920B68">
            <w:pPr>
              <w:spacing w:line="259" w:lineRule="auto"/>
              <w:ind w:left="14"/>
              <w:jc w:val="center"/>
              <w:rPr>
                <w:b/>
                <w:sz w:val="18"/>
              </w:rPr>
            </w:pPr>
            <w:r w:rsidRPr="00364545">
              <w:rPr>
                <w:b/>
                <w:sz w:val="18"/>
              </w:rPr>
              <w:t>117</w:t>
            </w:r>
            <w:r w:rsidRPr="00364545">
              <w:rPr>
                <w:rFonts w:ascii="Calibri" w:hAnsi="Calibri"/>
                <w:b/>
                <w:sz w:val="18"/>
              </w:rPr>
              <w:t> </w:t>
            </w:r>
            <w:r w:rsidRPr="00364545">
              <w:rPr>
                <w:b/>
                <w:sz w:val="18"/>
              </w:rPr>
              <w:t>863</w:t>
            </w:r>
          </w:p>
        </w:tc>
        <w:tc>
          <w:tcPr>
            <w:tcW w:w="678" w:type="dxa"/>
            <w:tcBorders>
              <w:top w:val="single" w:sz="2" w:space="0" w:color="000000"/>
              <w:left w:val="single" w:sz="2" w:space="0" w:color="000000"/>
              <w:bottom w:val="single" w:sz="2" w:space="0" w:color="000000"/>
              <w:right w:val="single" w:sz="2" w:space="0" w:color="000000"/>
            </w:tcBorders>
            <w:vAlign w:val="center"/>
          </w:tcPr>
          <w:p w14:paraId="726127F3" w14:textId="77777777" w:rsidR="00920B68" w:rsidRPr="00364545" w:rsidRDefault="00920B68" w:rsidP="00920B68">
            <w:pPr>
              <w:spacing w:line="259" w:lineRule="auto"/>
              <w:ind w:left="14"/>
              <w:jc w:val="center"/>
              <w:rPr>
                <w:b/>
                <w:sz w:val="18"/>
              </w:rPr>
            </w:pPr>
            <w:r w:rsidRPr="00364545">
              <w:rPr>
                <w:b/>
                <w:sz w:val="18"/>
              </w:rPr>
              <w:t>-64</w:t>
            </w:r>
            <w:r w:rsidRPr="00364545">
              <w:rPr>
                <w:rFonts w:ascii="Calibri" w:hAnsi="Calibri"/>
                <w:b/>
                <w:sz w:val="18"/>
              </w:rPr>
              <w:t> </w:t>
            </w:r>
            <w:r w:rsidRPr="00364545">
              <w:rPr>
                <w:b/>
                <w:sz w:val="18"/>
              </w:rPr>
              <w:t>813</w:t>
            </w:r>
          </w:p>
        </w:tc>
      </w:tr>
    </w:tbl>
    <w:p w14:paraId="6F7788BE" w14:textId="77777777" w:rsidR="00920B68" w:rsidRPr="00364545" w:rsidRDefault="00920B68" w:rsidP="00920B68">
      <w:pPr>
        <w:pStyle w:val="Caption"/>
      </w:pPr>
      <w:r w:rsidRPr="00364545">
        <w:t xml:space="preserve">Table </w:t>
      </w:r>
      <w:fldSimple w:instr=" SEQ Tableau \* ARABIC ">
        <w:r w:rsidRPr="00364545">
          <w:rPr>
            <w:noProof/>
          </w:rPr>
          <w:t>26</w:t>
        </w:r>
      </w:fldSimple>
      <w:r w:rsidRPr="00364545">
        <w:t>: CO</w:t>
      </w:r>
      <w:r w:rsidRPr="00364545">
        <w:rPr>
          <w:vertAlign w:val="subscript"/>
        </w:rPr>
        <w:t>2</w:t>
      </w:r>
      <w:r w:rsidRPr="00364545">
        <w:t xml:space="preserve"> emissions projections (in ktCO</w:t>
      </w:r>
      <w:r w:rsidRPr="00364545">
        <w:rPr>
          <w:vertAlign w:val="subscript"/>
        </w:rPr>
        <w:t>2e</w:t>
      </w:r>
      <w:r w:rsidRPr="00364545">
        <w:t>) in the Kyoto scope in the AMS 2018 scenario (with additional measures)</w:t>
      </w:r>
    </w:p>
    <w:p w14:paraId="57C5DA8E" w14:textId="77777777" w:rsidR="00920B68" w:rsidRPr="00364545" w:rsidRDefault="00920B68" w:rsidP="00920B68">
      <w:pPr>
        <w:pStyle w:val="Caption"/>
      </w:pPr>
      <w:r w:rsidRPr="00364545">
        <w:t>Source: U</w:t>
      </w:r>
      <w:r>
        <w:t>NFCCC inventory, Citepa/MTE, 2022</w:t>
      </w:r>
      <w:r w:rsidRPr="00364545">
        <w:t xml:space="preserve"> submission and MTE emission projections, 2018</w:t>
      </w:r>
    </w:p>
    <w:p w14:paraId="5C5E6B67" w14:textId="77777777" w:rsidR="00920B68" w:rsidRPr="00364545" w:rsidRDefault="00920B68" w:rsidP="00920B68"/>
    <w:p w14:paraId="2D4B24E3" w14:textId="77777777" w:rsidR="00920B68" w:rsidRPr="00364545" w:rsidRDefault="00920B68" w:rsidP="00920B68"/>
    <w:tbl>
      <w:tblPr>
        <w:tblStyle w:val="TableGrid0"/>
        <w:tblW w:w="10683" w:type="dxa"/>
        <w:tblInd w:w="10" w:type="dxa"/>
        <w:tblLayout w:type="fixed"/>
        <w:tblCellMar>
          <w:top w:w="39" w:type="dxa"/>
          <w:left w:w="28" w:type="dxa"/>
          <w:bottom w:w="2" w:type="dxa"/>
          <w:right w:w="48" w:type="dxa"/>
        </w:tblCellMar>
        <w:tblLook w:val="04A0" w:firstRow="1" w:lastRow="0" w:firstColumn="1" w:lastColumn="0" w:noHBand="0" w:noVBand="1"/>
      </w:tblPr>
      <w:tblGrid>
        <w:gridCol w:w="1405"/>
        <w:gridCol w:w="773"/>
        <w:gridCol w:w="773"/>
        <w:gridCol w:w="773"/>
        <w:gridCol w:w="773"/>
        <w:gridCol w:w="773"/>
        <w:gridCol w:w="774"/>
        <w:gridCol w:w="773"/>
        <w:gridCol w:w="773"/>
        <w:gridCol w:w="773"/>
        <w:gridCol w:w="773"/>
        <w:gridCol w:w="773"/>
        <w:gridCol w:w="774"/>
      </w:tblGrid>
      <w:tr w:rsidR="00920B68" w:rsidRPr="00364545" w14:paraId="680A407E" w14:textId="77777777" w:rsidTr="00920B68">
        <w:trPr>
          <w:trHeight w:val="402"/>
        </w:trPr>
        <w:tc>
          <w:tcPr>
            <w:tcW w:w="1405" w:type="dxa"/>
            <w:tcBorders>
              <w:top w:val="single" w:sz="2" w:space="0" w:color="000000"/>
              <w:left w:val="single" w:sz="2" w:space="0" w:color="000000"/>
              <w:bottom w:val="single" w:sz="2" w:space="0" w:color="000000"/>
              <w:right w:val="single" w:sz="2" w:space="0" w:color="000000"/>
            </w:tcBorders>
            <w:shd w:val="clear" w:color="auto" w:fill="6D2A78"/>
          </w:tcPr>
          <w:p w14:paraId="36D2E378" w14:textId="77777777" w:rsidR="00920B68" w:rsidRPr="00364545" w:rsidRDefault="00920B68" w:rsidP="00920B68">
            <w:pPr>
              <w:spacing w:line="259" w:lineRule="auto"/>
              <w:ind w:left="67"/>
              <w:jc w:val="left"/>
            </w:pPr>
            <w:r w:rsidRPr="00364545">
              <w:t>AMS 18 – CH</w:t>
            </w:r>
            <w:r w:rsidRPr="00364545">
              <w:rPr>
                <w:vertAlign w:val="subscript"/>
              </w:rPr>
              <w:t>4</w:t>
            </w:r>
            <w:r w:rsidRPr="00364545">
              <w:t xml:space="preserve">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536D459D" w14:textId="77777777" w:rsidR="00920B68" w:rsidRPr="00364545" w:rsidRDefault="00920B68" w:rsidP="00920B68">
            <w:pPr>
              <w:spacing w:line="259" w:lineRule="auto"/>
              <w:ind w:left="19"/>
              <w:jc w:val="center"/>
            </w:pPr>
            <w:r w:rsidRPr="00364545">
              <w:rPr>
                <w:b/>
                <w:color w:val="FFFFFF"/>
                <w:sz w:val="18"/>
              </w:rPr>
              <w:t xml:space="preserve">1990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22147BC4"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06DCDEFB" w14:textId="77777777" w:rsidR="00920B68" w:rsidRPr="00364545" w:rsidRDefault="00920B68" w:rsidP="00920B68">
            <w:pPr>
              <w:spacing w:line="259" w:lineRule="auto"/>
              <w:ind w:left="21"/>
              <w:jc w:val="center"/>
            </w:pPr>
            <w:r w:rsidRPr="00364545">
              <w:rPr>
                <w:b/>
                <w:color w:val="FFFFFF"/>
                <w:sz w:val="18"/>
              </w:rPr>
              <w:t xml:space="preserve">2000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6262EF51" w14:textId="77777777" w:rsidR="00920B68" w:rsidRPr="00364545" w:rsidRDefault="00920B68" w:rsidP="00920B68">
            <w:pPr>
              <w:spacing w:line="259" w:lineRule="auto"/>
              <w:ind w:left="19"/>
              <w:jc w:val="center"/>
            </w:pPr>
            <w:r w:rsidRPr="00364545">
              <w:rPr>
                <w:b/>
                <w:color w:val="FFFFFF"/>
                <w:sz w:val="18"/>
              </w:rPr>
              <w:t xml:space="preserve">2005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0883CFBE" w14:textId="77777777" w:rsidR="00920B68" w:rsidRPr="00364545" w:rsidRDefault="00920B68" w:rsidP="00920B68">
            <w:pPr>
              <w:spacing w:line="259" w:lineRule="auto"/>
              <w:ind w:left="21"/>
              <w:jc w:val="center"/>
            </w:pPr>
            <w:r w:rsidRPr="00364545">
              <w:rPr>
                <w:b/>
                <w:color w:val="FFFFFF"/>
                <w:sz w:val="18"/>
              </w:rPr>
              <w:t xml:space="preserve">2010 </w:t>
            </w:r>
          </w:p>
        </w:tc>
        <w:tc>
          <w:tcPr>
            <w:tcW w:w="774" w:type="dxa"/>
            <w:tcBorders>
              <w:top w:val="single" w:sz="2" w:space="0" w:color="000000"/>
              <w:left w:val="single" w:sz="2" w:space="0" w:color="000000"/>
              <w:bottom w:val="single" w:sz="2" w:space="0" w:color="000000"/>
              <w:right w:val="single" w:sz="2" w:space="0" w:color="000000"/>
            </w:tcBorders>
            <w:shd w:val="clear" w:color="auto" w:fill="6D2A78"/>
          </w:tcPr>
          <w:p w14:paraId="43C57348" w14:textId="77777777" w:rsidR="00920B68" w:rsidRPr="00364545" w:rsidRDefault="00920B68" w:rsidP="00920B68">
            <w:pPr>
              <w:spacing w:line="259" w:lineRule="auto"/>
              <w:ind w:left="19"/>
              <w:jc w:val="center"/>
            </w:pPr>
            <w:r w:rsidRPr="00364545">
              <w:rPr>
                <w:b/>
                <w:color w:val="FFFFFF"/>
                <w:sz w:val="18"/>
              </w:rPr>
              <w:t xml:space="preserve">2015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08E46109" w14:textId="77777777" w:rsidR="00920B68" w:rsidRPr="00364545" w:rsidRDefault="00920B68" w:rsidP="00920B68">
            <w:pPr>
              <w:spacing w:line="259" w:lineRule="auto"/>
              <w:ind w:left="21"/>
              <w:jc w:val="center"/>
              <w:rPr>
                <w:b/>
                <w:color w:val="FFFFFF"/>
                <w:sz w:val="18"/>
              </w:rPr>
            </w:pPr>
            <w:r>
              <w:rPr>
                <w:b/>
                <w:color w:val="FFFFFF"/>
                <w:sz w:val="18"/>
              </w:rPr>
              <w:t>2019</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3C6B3B82" w14:textId="77777777" w:rsidR="00920B68" w:rsidRPr="00364545" w:rsidRDefault="00920B68" w:rsidP="00920B68">
            <w:pPr>
              <w:spacing w:line="259" w:lineRule="auto"/>
              <w:ind w:left="21"/>
              <w:jc w:val="center"/>
            </w:pPr>
            <w:r w:rsidRPr="00364545">
              <w:rPr>
                <w:b/>
                <w:color w:val="FFFFFF"/>
                <w:sz w:val="18"/>
              </w:rPr>
              <w:t xml:space="preserve">2020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78D6CEA1" w14:textId="77777777" w:rsidR="00920B68" w:rsidRPr="00364545" w:rsidRDefault="00920B68" w:rsidP="00920B68">
            <w:pPr>
              <w:spacing w:line="259" w:lineRule="auto"/>
              <w:ind w:left="19"/>
              <w:jc w:val="center"/>
            </w:pPr>
            <w:r w:rsidRPr="00364545">
              <w:rPr>
                <w:b/>
                <w:color w:val="FFFFFF"/>
                <w:sz w:val="18"/>
              </w:rPr>
              <w:t xml:space="preserve">2025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63C1DF9C" w14:textId="77777777" w:rsidR="00920B68" w:rsidRPr="00364545" w:rsidRDefault="00920B68" w:rsidP="00920B68">
            <w:pPr>
              <w:spacing w:line="259" w:lineRule="auto"/>
              <w:ind w:left="21"/>
              <w:jc w:val="center"/>
            </w:pPr>
            <w:r w:rsidRPr="00364545">
              <w:rPr>
                <w:b/>
                <w:color w:val="FFFFFF"/>
                <w:sz w:val="18"/>
              </w:rPr>
              <w:t xml:space="preserve">2030 </w:t>
            </w:r>
          </w:p>
        </w:tc>
        <w:tc>
          <w:tcPr>
            <w:tcW w:w="773" w:type="dxa"/>
            <w:tcBorders>
              <w:top w:val="single" w:sz="2" w:space="0" w:color="000000"/>
              <w:left w:val="single" w:sz="2" w:space="0" w:color="000000"/>
              <w:bottom w:val="single" w:sz="2" w:space="0" w:color="000000"/>
              <w:right w:val="single" w:sz="2" w:space="0" w:color="000000"/>
            </w:tcBorders>
            <w:shd w:val="clear" w:color="auto" w:fill="6D2A78"/>
          </w:tcPr>
          <w:p w14:paraId="1FAC5DE2" w14:textId="77777777" w:rsidR="00920B68" w:rsidRPr="00364545" w:rsidRDefault="00920B68" w:rsidP="00920B68">
            <w:pPr>
              <w:spacing w:line="259" w:lineRule="auto"/>
              <w:ind w:left="20"/>
              <w:jc w:val="center"/>
            </w:pPr>
            <w:r w:rsidRPr="00364545">
              <w:rPr>
                <w:b/>
                <w:color w:val="FFFFFF"/>
                <w:sz w:val="18"/>
              </w:rPr>
              <w:t xml:space="preserve">2035 </w:t>
            </w:r>
          </w:p>
        </w:tc>
        <w:tc>
          <w:tcPr>
            <w:tcW w:w="774" w:type="dxa"/>
            <w:tcBorders>
              <w:top w:val="single" w:sz="2" w:space="0" w:color="000000"/>
              <w:left w:val="single" w:sz="2" w:space="0" w:color="000000"/>
              <w:bottom w:val="single" w:sz="2" w:space="0" w:color="000000"/>
              <w:right w:val="single" w:sz="2" w:space="0" w:color="000000"/>
            </w:tcBorders>
            <w:shd w:val="clear" w:color="auto" w:fill="6D2A78"/>
          </w:tcPr>
          <w:p w14:paraId="329A6465"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10D37452"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tcPr>
          <w:p w14:paraId="6C591EC0" w14:textId="77777777" w:rsidR="00920B68" w:rsidRPr="00364545" w:rsidRDefault="00920B68" w:rsidP="00920B68">
            <w:pPr>
              <w:spacing w:line="259" w:lineRule="auto"/>
            </w:pPr>
            <w:r w:rsidRPr="00364545">
              <w:rPr>
                <w:sz w:val="18"/>
              </w:rPr>
              <w:t xml:space="preserve">Energy </w:t>
            </w:r>
          </w:p>
        </w:tc>
        <w:tc>
          <w:tcPr>
            <w:tcW w:w="773" w:type="dxa"/>
            <w:tcBorders>
              <w:top w:val="single" w:sz="2" w:space="0" w:color="000000"/>
              <w:left w:val="single" w:sz="2" w:space="0" w:color="000000"/>
              <w:bottom w:val="single" w:sz="2" w:space="0" w:color="000000"/>
              <w:right w:val="single" w:sz="2" w:space="0" w:color="000000"/>
            </w:tcBorders>
            <w:vAlign w:val="center"/>
          </w:tcPr>
          <w:p w14:paraId="31FDAB0E"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12404</w:t>
            </w:r>
          </w:p>
        </w:tc>
        <w:tc>
          <w:tcPr>
            <w:tcW w:w="773" w:type="dxa"/>
            <w:tcBorders>
              <w:top w:val="single" w:sz="2" w:space="0" w:color="000000"/>
              <w:left w:val="single" w:sz="2" w:space="0" w:color="000000"/>
              <w:bottom w:val="single" w:sz="2" w:space="0" w:color="000000"/>
              <w:right w:val="single" w:sz="2" w:space="0" w:color="000000"/>
            </w:tcBorders>
            <w:vAlign w:val="center"/>
          </w:tcPr>
          <w:p w14:paraId="6B9802F0"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11918</w:t>
            </w:r>
          </w:p>
        </w:tc>
        <w:tc>
          <w:tcPr>
            <w:tcW w:w="773" w:type="dxa"/>
            <w:tcBorders>
              <w:top w:val="single" w:sz="2" w:space="0" w:color="000000"/>
              <w:left w:val="single" w:sz="2" w:space="0" w:color="000000"/>
              <w:bottom w:val="single" w:sz="2" w:space="0" w:color="000000"/>
              <w:right w:val="single" w:sz="2" w:space="0" w:color="000000"/>
            </w:tcBorders>
            <w:vAlign w:val="center"/>
          </w:tcPr>
          <w:p w14:paraId="41B59CA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7568</w:t>
            </w:r>
          </w:p>
        </w:tc>
        <w:tc>
          <w:tcPr>
            <w:tcW w:w="773" w:type="dxa"/>
            <w:tcBorders>
              <w:top w:val="single" w:sz="2" w:space="0" w:color="000000"/>
              <w:left w:val="single" w:sz="2" w:space="0" w:color="000000"/>
              <w:bottom w:val="single" w:sz="2" w:space="0" w:color="000000"/>
              <w:right w:val="single" w:sz="2" w:space="0" w:color="000000"/>
            </w:tcBorders>
            <w:vAlign w:val="center"/>
          </w:tcPr>
          <w:p w14:paraId="6F46DEF8"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4922</w:t>
            </w:r>
          </w:p>
        </w:tc>
        <w:tc>
          <w:tcPr>
            <w:tcW w:w="773" w:type="dxa"/>
            <w:tcBorders>
              <w:top w:val="single" w:sz="2" w:space="0" w:color="000000"/>
              <w:left w:val="single" w:sz="2" w:space="0" w:color="000000"/>
              <w:bottom w:val="single" w:sz="2" w:space="0" w:color="000000"/>
              <w:right w:val="single" w:sz="2" w:space="0" w:color="000000"/>
            </w:tcBorders>
            <w:vAlign w:val="center"/>
          </w:tcPr>
          <w:p w14:paraId="0CE4D46C"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3704</w:t>
            </w:r>
          </w:p>
        </w:tc>
        <w:tc>
          <w:tcPr>
            <w:tcW w:w="774" w:type="dxa"/>
            <w:tcBorders>
              <w:top w:val="single" w:sz="2" w:space="0" w:color="000000"/>
              <w:left w:val="single" w:sz="2" w:space="0" w:color="000000"/>
              <w:bottom w:val="single" w:sz="2" w:space="0" w:color="000000"/>
              <w:right w:val="single" w:sz="2" w:space="0" w:color="000000"/>
            </w:tcBorders>
            <w:vAlign w:val="center"/>
          </w:tcPr>
          <w:p w14:paraId="41B5DE52"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2743</w:t>
            </w:r>
          </w:p>
        </w:tc>
        <w:tc>
          <w:tcPr>
            <w:tcW w:w="773" w:type="dxa"/>
            <w:tcBorders>
              <w:top w:val="single" w:sz="2" w:space="0" w:color="000000"/>
              <w:left w:val="single" w:sz="2" w:space="0" w:color="000000"/>
              <w:bottom w:val="single" w:sz="2" w:space="0" w:color="000000"/>
              <w:right w:val="single" w:sz="2" w:space="0" w:color="000000"/>
            </w:tcBorders>
            <w:vAlign w:val="center"/>
          </w:tcPr>
          <w:p w14:paraId="791EB445"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2398</w:t>
            </w:r>
          </w:p>
        </w:tc>
        <w:tc>
          <w:tcPr>
            <w:tcW w:w="773" w:type="dxa"/>
            <w:tcBorders>
              <w:top w:val="single" w:sz="2" w:space="0" w:color="000000"/>
              <w:left w:val="single" w:sz="2" w:space="0" w:color="000000"/>
              <w:bottom w:val="single" w:sz="2" w:space="0" w:color="000000"/>
              <w:right w:val="single" w:sz="2" w:space="0" w:color="000000"/>
            </w:tcBorders>
            <w:vAlign w:val="center"/>
          </w:tcPr>
          <w:p w14:paraId="29F6BC05"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247</w:t>
            </w:r>
          </w:p>
        </w:tc>
        <w:tc>
          <w:tcPr>
            <w:tcW w:w="773" w:type="dxa"/>
            <w:tcBorders>
              <w:top w:val="single" w:sz="2" w:space="0" w:color="000000"/>
              <w:left w:val="single" w:sz="2" w:space="0" w:color="000000"/>
              <w:bottom w:val="single" w:sz="2" w:space="0" w:color="000000"/>
              <w:right w:val="single" w:sz="2" w:space="0" w:color="000000"/>
            </w:tcBorders>
            <w:vAlign w:val="center"/>
          </w:tcPr>
          <w:p w14:paraId="7997D684"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120</w:t>
            </w:r>
          </w:p>
        </w:tc>
        <w:tc>
          <w:tcPr>
            <w:tcW w:w="773" w:type="dxa"/>
            <w:tcBorders>
              <w:top w:val="single" w:sz="2" w:space="0" w:color="000000"/>
              <w:left w:val="single" w:sz="2" w:space="0" w:color="000000"/>
              <w:bottom w:val="single" w:sz="2" w:space="0" w:color="000000"/>
              <w:right w:val="single" w:sz="2" w:space="0" w:color="000000"/>
            </w:tcBorders>
            <w:vAlign w:val="center"/>
          </w:tcPr>
          <w:p w14:paraId="510D89D4"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049</w:t>
            </w:r>
          </w:p>
        </w:tc>
        <w:tc>
          <w:tcPr>
            <w:tcW w:w="773" w:type="dxa"/>
            <w:tcBorders>
              <w:top w:val="single" w:sz="2" w:space="0" w:color="000000"/>
              <w:left w:val="single" w:sz="2" w:space="0" w:color="000000"/>
              <w:bottom w:val="single" w:sz="2" w:space="0" w:color="000000"/>
              <w:right w:val="single" w:sz="2" w:space="0" w:color="000000"/>
            </w:tcBorders>
            <w:vAlign w:val="center"/>
          </w:tcPr>
          <w:p w14:paraId="0F6D57DF"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2</w:t>
            </w:r>
            <w:r w:rsidRPr="005D0955">
              <w:rPr>
                <w:rFonts w:ascii="Calibri" w:hAnsi="Calibri" w:cs="Calibri"/>
                <w:sz w:val="18"/>
                <w:szCs w:val="18"/>
              </w:rPr>
              <w:t> </w:t>
            </w:r>
            <w:r w:rsidRPr="00634E4C">
              <w:rPr>
                <w:rFonts w:asciiTheme="majorHAnsi" w:hAnsiTheme="majorHAnsi"/>
                <w:sz w:val="18"/>
              </w:rPr>
              <w:t>893</w:t>
            </w:r>
          </w:p>
        </w:tc>
        <w:tc>
          <w:tcPr>
            <w:tcW w:w="774" w:type="dxa"/>
            <w:tcBorders>
              <w:top w:val="single" w:sz="2" w:space="0" w:color="000000"/>
              <w:left w:val="single" w:sz="2" w:space="0" w:color="000000"/>
              <w:bottom w:val="single" w:sz="2" w:space="0" w:color="000000"/>
              <w:right w:val="single" w:sz="2" w:space="0" w:color="000000"/>
            </w:tcBorders>
            <w:vAlign w:val="center"/>
          </w:tcPr>
          <w:p w14:paraId="70D0AEEB"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2</w:t>
            </w:r>
            <w:r w:rsidRPr="005D0955">
              <w:rPr>
                <w:rFonts w:ascii="Calibri" w:hAnsi="Calibri" w:cs="Calibri"/>
                <w:sz w:val="18"/>
                <w:szCs w:val="18"/>
              </w:rPr>
              <w:t> </w:t>
            </w:r>
            <w:r w:rsidRPr="00634E4C">
              <w:rPr>
                <w:rFonts w:asciiTheme="majorHAnsi" w:hAnsiTheme="majorHAnsi"/>
                <w:sz w:val="18"/>
              </w:rPr>
              <w:t>422</w:t>
            </w:r>
          </w:p>
        </w:tc>
      </w:tr>
      <w:tr w:rsidR="00920B68" w:rsidRPr="00364545" w14:paraId="72E7AE94" w14:textId="77777777" w:rsidTr="00920B68">
        <w:trPr>
          <w:trHeight w:val="419"/>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1B222683" w14:textId="77777777" w:rsidR="00920B68" w:rsidRPr="00364545" w:rsidRDefault="00920B68" w:rsidP="00920B68">
            <w:pPr>
              <w:spacing w:line="259" w:lineRule="auto"/>
            </w:pPr>
            <w:r w:rsidRPr="00364545">
              <w:rPr>
                <w:sz w:val="18"/>
              </w:rPr>
              <w:t xml:space="preserve">Industrial processes, solvents and other products </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2C365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220</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32CD39D"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221</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BEF020"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236</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D0EB70A"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207</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890FC69"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147</w:t>
            </w:r>
          </w:p>
        </w:tc>
        <w:tc>
          <w:tcPr>
            <w:tcW w:w="7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D3012B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85</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84A2C9A"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66</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09DE60A"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54</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48EDC29"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50</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7A0D227"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45</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AB2A63"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39</w:t>
            </w:r>
          </w:p>
        </w:tc>
        <w:tc>
          <w:tcPr>
            <w:tcW w:w="7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485FA80"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23</w:t>
            </w:r>
          </w:p>
        </w:tc>
      </w:tr>
      <w:tr w:rsidR="00920B68" w:rsidRPr="00364545" w14:paraId="4D4DCE3B" w14:textId="77777777" w:rsidTr="00920B68">
        <w:trPr>
          <w:trHeight w:val="347"/>
        </w:trPr>
        <w:tc>
          <w:tcPr>
            <w:tcW w:w="1405" w:type="dxa"/>
            <w:tcBorders>
              <w:top w:val="single" w:sz="2" w:space="0" w:color="000000"/>
              <w:left w:val="single" w:sz="2" w:space="0" w:color="000000"/>
              <w:bottom w:val="single" w:sz="2" w:space="0" w:color="000000"/>
              <w:right w:val="single" w:sz="2" w:space="0" w:color="000000"/>
            </w:tcBorders>
          </w:tcPr>
          <w:p w14:paraId="3D2158CE" w14:textId="77777777" w:rsidR="00920B68" w:rsidRPr="00364545" w:rsidRDefault="00920B68" w:rsidP="00920B68">
            <w:pPr>
              <w:spacing w:line="259" w:lineRule="auto"/>
            </w:pPr>
            <w:r w:rsidRPr="00364545">
              <w:rPr>
                <w:sz w:val="18"/>
              </w:rPr>
              <w:t xml:space="preserve">Agriculture (excluding energy) </w:t>
            </w:r>
          </w:p>
        </w:tc>
        <w:tc>
          <w:tcPr>
            <w:tcW w:w="773" w:type="dxa"/>
            <w:tcBorders>
              <w:top w:val="single" w:sz="2" w:space="0" w:color="000000"/>
              <w:left w:val="single" w:sz="2" w:space="0" w:color="000000"/>
              <w:bottom w:val="single" w:sz="2" w:space="0" w:color="000000"/>
              <w:right w:val="single" w:sz="2" w:space="0" w:color="000000"/>
            </w:tcBorders>
            <w:vAlign w:val="center"/>
          </w:tcPr>
          <w:p w14:paraId="4358A62F"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42218</w:t>
            </w:r>
          </w:p>
        </w:tc>
        <w:tc>
          <w:tcPr>
            <w:tcW w:w="773" w:type="dxa"/>
            <w:tcBorders>
              <w:top w:val="single" w:sz="2" w:space="0" w:color="000000"/>
              <w:left w:val="single" w:sz="2" w:space="0" w:color="000000"/>
              <w:bottom w:val="single" w:sz="2" w:space="0" w:color="000000"/>
              <w:right w:val="single" w:sz="2" w:space="0" w:color="000000"/>
            </w:tcBorders>
            <w:vAlign w:val="center"/>
          </w:tcPr>
          <w:p w14:paraId="3AEC40A0"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41145</w:t>
            </w:r>
          </w:p>
        </w:tc>
        <w:tc>
          <w:tcPr>
            <w:tcW w:w="773" w:type="dxa"/>
            <w:tcBorders>
              <w:top w:val="single" w:sz="2" w:space="0" w:color="000000"/>
              <w:left w:val="single" w:sz="2" w:space="0" w:color="000000"/>
              <w:bottom w:val="single" w:sz="2" w:space="0" w:color="000000"/>
              <w:right w:val="single" w:sz="2" w:space="0" w:color="000000"/>
            </w:tcBorders>
            <w:vAlign w:val="center"/>
          </w:tcPr>
          <w:p w14:paraId="14781504"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42197</w:t>
            </w:r>
          </w:p>
        </w:tc>
        <w:tc>
          <w:tcPr>
            <w:tcW w:w="773" w:type="dxa"/>
            <w:tcBorders>
              <w:top w:val="single" w:sz="2" w:space="0" w:color="000000"/>
              <w:left w:val="single" w:sz="2" w:space="0" w:color="000000"/>
              <w:bottom w:val="single" w:sz="2" w:space="0" w:color="000000"/>
              <w:right w:val="single" w:sz="2" w:space="0" w:color="000000"/>
            </w:tcBorders>
            <w:vAlign w:val="center"/>
          </w:tcPr>
          <w:p w14:paraId="5DCAFA97"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39373</w:t>
            </w:r>
          </w:p>
        </w:tc>
        <w:tc>
          <w:tcPr>
            <w:tcW w:w="773" w:type="dxa"/>
            <w:tcBorders>
              <w:top w:val="single" w:sz="2" w:space="0" w:color="000000"/>
              <w:left w:val="single" w:sz="2" w:space="0" w:color="000000"/>
              <w:bottom w:val="single" w:sz="2" w:space="0" w:color="000000"/>
              <w:right w:val="single" w:sz="2" w:space="0" w:color="000000"/>
            </w:tcBorders>
            <w:vAlign w:val="center"/>
          </w:tcPr>
          <w:p w14:paraId="4EFC5F47"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39325</w:t>
            </w:r>
          </w:p>
        </w:tc>
        <w:tc>
          <w:tcPr>
            <w:tcW w:w="774" w:type="dxa"/>
            <w:tcBorders>
              <w:top w:val="single" w:sz="2" w:space="0" w:color="000000"/>
              <w:left w:val="single" w:sz="2" w:space="0" w:color="000000"/>
              <w:bottom w:val="single" w:sz="2" w:space="0" w:color="000000"/>
              <w:right w:val="single" w:sz="2" w:space="0" w:color="000000"/>
            </w:tcBorders>
            <w:vAlign w:val="center"/>
          </w:tcPr>
          <w:p w14:paraId="42DFFA4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39281</w:t>
            </w:r>
          </w:p>
        </w:tc>
        <w:tc>
          <w:tcPr>
            <w:tcW w:w="773" w:type="dxa"/>
            <w:tcBorders>
              <w:top w:val="single" w:sz="2" w:space="0" w:color="000000"/>
              <w:left w:val="single" w:sz="2" w:space="0" w:color="000000"/>
              <w:bottom w:val="single" w:sz="2" w:space="0" w:color="000000"/>
              <w:right w:val="single" w:sz="2" w:space="0" w:color="000000"/>
            </w:tcBorders>
            <w:vAlign w:val="center"/>
          </w:tcPr>
          <w:p w14:paraId="2590C385"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37445</w:t>
            </w:r>
          </w:p>
        </w:tc>
        <w:tc>
          <w:tcPr>
            <w:tcW w:w="773" w:type="dxa"/>
            <w:tcBorders>
              <w:top w:val="single" w:sz="2" w:space="0" w:color="000000"/>
              <w:left w:val="single" w:sz="2" w:space="0" w:color="000000"/>
              <w:bottom w:val="single" w:sz="2" w:space="0" w:color="000000"/>
              <w:right w:val="single" w:sz="2" w:space="0" w:color="000000"/>
            </w:tcBorders>
            <w:vAlign w:val="center"/>
          </w:tcPr>
          <w:p w14:paraId="3DA97D5D"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37</w:t>
            </w:r>
            <w:r w:rsidRPr="005D0955">
              <w:rPr>
                <w:rFonts w:ascii="Calibri" w:hAnsi="Calibri" w:cs="Calibri"/>
                <w:sz w:val="18"/>
                <w:szCs w:val="18"/>
              </w:rPr>
              <w:t> </w:t>
            </w:r>
            <w:r w:rsidRPr="00634E4C">
              <w:rPr>
                <w:rFonts w:asciiTheme="majorHAnsi" w:hAnsiTheme="majorHAnsi"/>
                <w:sz w:val="18"/>
              </w:rPr>
              <w:t>174</w:t>
            </w:r>
          </w:p>
        </w:tc>
        <w:tc>
          <w:tcPr>
            <w:tcW w:w="773" w:type="dxa"/>
            <w:tcBorders>
              <w:top w:val="single" w:sz="2" w:space="0" w:color="000000"/>
              <w:left w:val="single" w:sz="2" w:space="0" w:color="000000"/>
              <w:bottom w:val="single" w:sz="2" w:space="0" w:color="000000"/>
              <w:right w:val="single" w:sz="2" w:space="0" w:color="000000"/>
            </w:tcBorders>
            <w:vAlign w:val="center"/>
          </w:tcPr>
          <w:p w14:paraId="2A3B2D88"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34</w:t>
            </w:r>
            <w:r w:rsidRPr="005D0955">
              <w:rPr>
                <w:rFonts w:ascii="Calibri" w:hAnsi="Calibri" w:cs="Calibri"/>
                <w:sz w:val="18"/>
                <w:szCs w:val="18"/>
              </w:rPr>
              <w:t> </w:t>
            </w:r>
            <w:r w:rsidRPr="00634E4C">
              <w:rPr>
                <w:rFonts w:asciiTheme="majorHAnsi" w:hAnsiTheme="majorHAnsi"/>
                <w:sz w:val="18"/>
              </w:rPr>
              <w:t>794</w:t>
            </w:r>
          </w:p>
        </w:tc>
        <w:tc>
          <w:tcPr>
            <w:tcW w:w="773" w:type="dxa"/>
            <w:tcBorders>
              <w:top w:val="single" w:sz="2" w:space="0" w:color="000000"/>
              <w:left w:val="single" w:sz="2" w:space="0" w:color="000000"/>
              <w:bottom w:val="single" w:sz="2" w:space="0" w:color="000000"/>
              <w:right w:val="single" w:sz="2" w:space="0" w:color="000000"/>
            </w:tcBorders>
            <w:vAlign w:val="center"/>
          </w:tcPr>
          <w:p w14:paraId="3B4E7E97"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32</w:t>
            </w:r>
            <w:r w:rsidRPr="005D0955">
              <w:rPr>
                <w:rFonts w:ascii="Calibri" w:hAnsi="Calibri" w:cs="Calibri"/>
                <w:sz w:val="18"/>
                <w:szCs w:val="18"/>
              </w:rPr>
              <w:t> </w:t>
            </w:r>
            <w:r w:rsidRPr="00634E4C">
              <w:rPr>
                <w:rFonts w:asciiTheme="majorHAnsi" w:hAnsiTheme="majorHAnsi"/>
                <w:sz w:val="18"/>
              </w:rPr>
              <w:t>781</w:t>
            </w:r>
          </w:p>
        </w:tc>
        <w:tc>
          <w:tcPr>
            <w:tcW w:w="773" w:type="dxa"/>
            <w:tcBorders>
              <w:top w:val="single" w:sz="2" w:space="0" w:color="000000"/>
              <w:left w:val="single" w:sz="2" w:space="0" w:color="000000"/>
              <w:bottom w:val="single" w:sz="2" w:space="0" w:color="000000"/>
              <w:right w:val="single" w:sz="2" w:space="0" w:color="000000"/>
            </w:tcBorders>
            <w:vAlign w:val="center"/>
          </w:tcPr>
          <w:p w14:paraId="4D5B4BEF"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31</w:t>
            </w:r>
            <w:r w:rsidRPr="005D0955">
              <w:rPr>
                <w:rFonts w:ascii="Calibri" w:hAnsi="Calibri" w:cs="Calibri"/>
                <w:sz w:val="18"/>
                <w:szCs w:val="18"/>
              </w:rPr>
              <w:t> </w:t>
            </w:r>
            <w:r w:rsidRPr="00634E4C">
              <w:rPr>
                <w:rFonts w:asciiTheme="majorHAnsi" w:hAnsiTheme="majorHAnsi"/>
                <w:sz w:val="18"/>
              </w:rPr>
              <w:t>121</w:t>
            </w:r>
          </w:p>
        </w:tc>
        <w:tc>
          <w:tcPr>
            <w:tcW w:w="774" w:type="dxa"/>
            <w:tcBorders>
              <w:top w:val="single" w:sz="2" w:space="0" w:color="000000"/>
              <w:left w:val="single" w:sz="2" w:space="0" w:color="000000"/>
              <w:bottom w:val="single" w:sz="2" w:space="0" w:color="000000"/>
              <w:right w:val="single" w:sz="2" w:space="0" w:color="000000"/>
            </w:tcBorders>
            <w:vAlign w:val="center"/>
          </w:tcPr>
          <w:p w14:paraId="427CEAF0"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26</w:t>
            </w:r>
            <w:r w:rsidRPr="005D0955">
              <w:rPr>
                <w:rFonts w:ascii="Calibri" w:hAnsi="Calibri" w:cs="Calibri"/>
                <w:sz w:val="18"/>
                <w:szCs w:val="18"/>
              </w:rPr>
              <w:t> </w:t>
            </w:r>
            <w:r w:rsidRPr="00634E4C">
              <w:rPr>
                <w:rFonts w:asciiTheme="majorHAnsi" w:hAnsiTheme="majorHAnsi"/>
                <w:sz w:val="18"/>
              </w:rPr>
              <w:t>140</w:t>
            </w:r>
          </w:p>
        </w:tc>
      </w:tr>
      <w:tr w:rsidR="00920B68" w:rsidRPr="00364545" w14:paraId="7FB2D143" w14:textId="77777777" w:rsidTr="00920B68">
        <w:trPr>
          <w:trHeight w:val="342"/>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3CED8D7E" w14:textId="77777777" w:rsidR="00920B68" w:rsidRPr="00364545" w:rsidRDefault="00920B68" w:rsidP="00920B68">
            <w:pPr>
              <w:spacing w:line="259" w:lineRule="auto"/>
            </w:pPr>
            <w:r w:rsidRPr="00364545">
              <w:rPr>
                <w:sz w:val="18"/>
              </w:rPr>
              <w:t xml:space="preserve">LULUCF </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059EF5F"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933</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40C5C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3670</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0EF90CC"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1693</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92CAD7"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1189</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77C7956"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1130</w:t>
            </w:r>
          </w:p>
        </w:tc>
        <w:tc>
          <w:tcPr>
            <w:tcW w:w="7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D47D347"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1078</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7810803"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1138</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C1D1DEC"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1</w:t>
            </w:r>
            <w:r w:rsidRPr="005D0955">
              <w:rPr>
                <w:rFonts w:ascii="Calibri" w:hAnsi="Calibri" w:cs="Calibri"/>
                <w:sz w:val="18"/>
                <w:szCs w:val="18"/>
              </w:rPr>
              <w:t> </w:t>
            </w:r>
            <w:r w:rsidRPr="00634E4C">
              <w:rPr>
                <w:rFonts w:asciiTheme="majorHAnsi" w:hAnsiTheme="majorHAnsi"/>
                <w:sz w:val="18"/>
              </w:rPr>
              <w:t>140</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411E7D6"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1</w:t>
            </w:r>
            <w:r w:rsidRPr="005D0955">
              <w:rPr>
                <w:rFonts w:ascii="Calibri" w:hAnsi="Calibri" w:cs="Calibri"/>
                <w:sz w:val="18"/>
                <w:szCs w:val="18"/>
              </w:rPr>
              <w:t> </w:t>
            </w:r>
            <w:r w:rsidRPr="00634E4C">
              <w:rPr>
                <w:rFonts w:asciiTheme="majorHAnsi" w:hAnsiTheme="majorHAnsi"/>
                <w:sz w:val="18"/>
              </w:rPr>
              <w:t>146</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DF7D562"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1</w:t>
            </w:r>
            <w:r w:rsidRPr="005D0955">
              <w:rPr>
                <w:rFonts w:ascii="Calibri" w:hAnsi="Calibri" w:cs="Calibri"/>
                <w:sz w:val="18"/>
                <w:szCs w:val="18"/>
              </w:rPr>
              <w:t> </w:t>
            </w:r>
            <w:r w:rsidRPr="00634E4C">
              <w:rPr>
                <w:rFonts w:asciiTheme="majorHAnsi" w:hAnsiTheme="majorHAnsi"/>
                <w:sz w:val="18"/>
              </w:rPr>
              <w:t>134</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7C1E5DF"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1</w:t>
            </w:r>
            <w:r w:rsidRPr="005D0955">
              <w:rPr>
                <w:rFonts w:ascii="Calibri" w:hAnsi="Calibri" w:cs="Calibri"/>
                <w:sz w:val="18"/>
                <w:szCs w:val="18"/>
              </w:rPr>
              <w:t> </w:t>
            </w:r>
            <w:r w:rsidRPr="00634E4C">
              <w:rPr>
                <w:rFonts w:asciiTheme="majorHAnsi" w:hAnsiTheme="majorHAnsi"/>
                <w:sz w:val="18"/>
              </w:rPr>
              <w:t>114</w:t>
            </w:r>
          </w:p>
        </w:tc>
        <w:tc>
          <w:tcPr>
            <w:tcW w:w="7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49C6A9E"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1</w:t>
            </w:r>
            <w:r w:rsidRPr="005D0955">
              <w:rPr>
                <w:rFonts w:ascii="Calibri" w:hAnsi="Calibri" w:cs="Calibri"/>
                <w:sz w:val="18"/>
                <w:szCs w:val="18"/>
              </w:rPr>
              <w:t> </w:t>
            </w:r>
            <w:r w:rsidRPr="00634E4C">
              <w:rPr>
                <w:rFonts w:asciiTheme="majorHAnsi" w:hAnsiTheme="majorHAnsi"/>
                <w:sz w:val="18"/>
              </w:rPr>
              <w:t>054</w:t>
            </w:r>
          </w:p>
        </w:tc>
      </w:tr>
      <w:tr w:rsidR="00920B68" w:rsidRPr="00364545" w14:paraId="6AEE3E34" w14:textId="77777777" w:rsidTr="00920B68">
        <w:trPr>
          <w:trHeight w:val="347"/>
        </w:trPr>
        <w:tc>
          <w:tcPr>
            <w:tcW w:w="1405" w:type="dxa"/>
            <w:tcBorders>
              <w:top w:val="single" w:sz="2" w:space="0" w:color="000000"/>
              <w:left w:val="single" w:sz="2" w:space="0" w:color="000000"/>
              <w:bottom w:val="single" w:sz="2" w:space="0" w:color="000000"/>
              <w:right w:val="single" w:sz="2" w:space="0" w:color="000000"/>
            </w:tcBorders>
          </w:tcPr>
          <w:p w14:paraId="0A12FB71" w14:textId="77777777" w:rsidR="00920B68" w:rsidRPr="00364545" w:rsidRDefault="00920B68" w:rsidP="00920B68">
            <w:pPr>
              <w:spacing w:line="259" w:lineRule="auto"/>
            </w:pPr>
            <w:r w:rsidRPr="00364545">
              <w:rPr>
                <w:sz w:val="18"/>
              </w:rPr>
              <w:t xml:space="preserve">Waste </w:t>
            </w:r>
          </w:p>
        </w:tc>
        <w:tc>
          <w:tcPr>
            <w:tcW w:w="773" w:type="dxa"/>
            <w:tcBorders>
              <w:top w:val="single" w:sz="2" w:space="0" w:color="000000"/>
              <w:left w:val="single" w:sz="2" w:space="0" w:color="000000"/>
              <w:bottom w:val="single" w:sz="2" w:space="0" w:color="000000"/>
              <w:right w:val="single" w:sz="2" w:space="0" w:color="000000"/>
            </w:tcBorders>
            <w:vAlign w:val="center"/>
          </w:tcPr>
          <w:p w14:paraId="1544DA85"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14318</w:t>
            </w:r>
          </w:p>
        </w:tc>
        <w:tc>
          <w:tcPr>
            <w:tcW w:w="773" w:type="dxa"/>
            <w:tcBorders>
              <w:top w:val="single" w:sz="2" w:space="0" w:color="000000"/>
              <w:left w:val="single" w:sz="2" w:space="0" w:color="000000"/>
              <w:bottom w:val="single" w:sz="2" w:space="0" w:color="000000"/>
              <w:right w:val="single" w:sz="2" w:space="0" w:color="000000"/>
            </w:tcBorders>
            <w:vAlign w:val="center"/>
          </w:tcPr>
          <w:p w14:paraId="0D7FEA3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17099</w:t>
            </w:r>
          </w:p>
        </w:tc>
        <w:tc>
          <w:tcPr>
            <w:tcW w:w="773" w:type="dxa"/>
            <w:tcBorders>
              <w:top w:val="single" w:sz="2" w:space="0" w:color="000000"/>
              <w:left w:val="single" w:sz="2" w:space="0" w:color="000000"/>
              <w:bottom w:val="single" w:sz="2" w:space="0" w:color="000000"/>
              <w:right w:val="single" w:sz="2" w:space="0" w:color="000000"/>
            </w:tcBorders>
            <w:vAlign w:val="center"/>
          </w:tcPr>
          <w:p w14:paraId="7F485DBF"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18602</w:t>
            </w:r>
          </w:p>
        </w:tc>
        <w:tc>
          <w:tcPr>
            <w:tcW w:w="773" w:type="dxa"/>
            <w:tcBorders>
              <w:top w:val="single" w:sz="2" w:space="0" w:color="000000"/>
              <w:left w:val="single" w:sz="2" w:space="0" w:color="000000"/>
              <w:bottom w:val="single" w:sz="2" w:space="0" w:color="000000"/>
              <w:right w:val="single" w:sz="2" w:space="0" w:color="000000"/>
            </w:tcBorders>
            <w:vAlign w:val="center"/>
          </w:tcPr>
          <w:p w14:paraId="16416392"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19129</w:t>
            </w:r>
          </w:p>
        </w:tc>
        <w:tc>
          <w:tcPr>
            <w:tcW w:w="773" w:type="dxa"/>
            <w:tcBorders>
              <w:top w:val="single" w:sz="2" w:space="0" w:color="000000"/>
              <w:left w:val="single" w:sz="2" w:space="0" w:color="000000"/>
              <w:bottom w:val="single" w:sz="2" w:space="0" w:color="000000"/>
              <w:right w:val="single" w:sz="2" w:space="0" w:color="000000"/>
            </w:tcBorders>
            <w:vAlign w:val="center"/>
          </w:tcPr>
          <w:p w14:paraId="6595A331"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18487</w:t>
            </w:r>
          </w:p>
        </w:tc>
        <w:tc>
          <w:tcPr>
            <w:tcW w:w="774" w:type="dxa"/>
            <w:tcBorders>
              <w:top w:val="single" w:sz="2" w:space="0" w:color="000000"/>
              <w:left w:val="single" w:sz="2" w:space="0" w:color="000000"/>
              <w:bottom w:val="single" w:sz="2" w:space="0" w:color="000000"/>
              <w:right w:val="single" w:sz="2" w:space="0" w:color="000000"/>
            </w:tcBorders>
            <w:vAlign w:val="center"/>
          </w:tcPr>
          <w:p w14:paraId="38A26FC2"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15753</w:t>
            </w:r>
          </w:p>
        </w:tc>
        <w:tc>
          <w:tcPr>
            <w:tcW w:w="773" w:type="dxa"/>
            <w:tcBorders>
              <w:top w:val="single" w:sz="2" w:space="0" w:color="000000"/>
              <w:left w:val="single" w:sz="2" w:space="0" w:color="000000"/>
              <w:bottom w:val="single" w:sz="2" w:space="0" w:color="000000"/>
              <w:right w:val="single" w:sz="2" w:space="0" w:color="000000"/>
            </w:tcBorders>
            <w:vAlign w:val="center"/>
          </w:tcPr>
          <w:p w14:paraId="4AA640F7"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15830</w:t>
            </w:r>
          </w:p>
        </w:tc>
        <w:tc>
          <w:tcPr>
            <w:tcW w:w="773" w:type="dxa"/>
            <w:tcBorders>
              <w:top w:val="single" w:sz="2" w:space="0" w:color="000000"/>
              <w:left w:val="single" w:sz="2" w:space="0" w:color="000000"/>
              <w:bottom w:val="single" w:sz="2" w:space="0" w:color="000000"/>
              <w:right w:val="single" w:sz="2" w:space="0" w:color="000000"/>
            </w:tcBorders>
            <w:vAlign w:val="center"/>
          </w:tcPr>
          <w:p w14:paraId="67171540"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12</w:t>
            </w:r>
            <w:r w:rsidRPr="005D0955">
              <w:rPr>
                <w:rFonts w:ascii="Calibri" w:hAnsi="Calibri" w:cs="Calibri"/>
                <w:sz w:val="18"/>
                <w:szCs w:val="18"/>
              </w:rPr>
              <w:t> </w:t>
            </w:r>
            <w:r w:rsidRPr="00634E4C">
              <w:rPr>
                <w:rFonts w:asciiTheme="majorHAnsi" w:hAnsiTheme="majorHAnsi"/>
                <w:sz w:val="18"/>
              </w:rPr>
              <w:t>056</w:t>
            </w:r>
          </w:p>
        </w:tc>
        <w:tc>
          <w:tcPr>
            <w:tcW w:w="773" w:type="dxa"/>
            <w:tcBorders>
              <w:top w:val="single" w:sz="2" w:space="0" w:color="000000"/>
              <w:left w:val="single" w:sz="2" w:space="0" w:color="000000"/>
              <w:bottom w:val="single" w:sz="2" w:space="0" w:color="000000"/>
              <w:right w:val="single" w:sz="2" w:space="0" w:color="000000"/>
            </w:tcBorders>
            <w:vAlign w:val="center"/>
          </w:tcPr>
          <w:p w14:paraId="7B972A10"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9</w:t>
            </w:r>
            <w:r w:rsidRPr="005D0955">
              <w:rPr>
                <w:rFonts w:ascii="Calibri" w:hAnsi="Calibri" w:cs="Calibri"/>
                <w:sz w:val="18"/>
                <w:szCs w:val="18"/>
              </w:rPr>
              <w:t> </w:t>
            </w:r>
            <w:r w:rsidRPr="00634E4C">
              <w:rPr>
                <w:rFonts w:asciiTheme="majorHAnsi" w:hAnsiTheme="majorHAnsi"/>
                <w:sz w:val="18"/>
              </w:rPr>
              <w:t>982</w:t>
            </w:r>
          </w:p>
        </w:tc>
        <w:tc>
          <w:tcPr>
            <w:tcW w:w="773" w:type="dxa"/>
            <w:tcBorders>
              <w:top w:val="single" w:sz="2" w:space="0" w:color="000000"/>
              <w:left w:val="single" w:sz="2" w:space="0" w:color="000000"/>
              <w:bottom w:val="single" w:sz="2" w:space="0" w:color="000000"/>
              <w:right w:val="single" w:sz="2" w:space="0" w:color="000000"/>
            </w:tcBorders>
            <w:vAlign w:val="center"/>
          </w:tcPr>
          <w:p w14:paraId="7135A4A4"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8</w:t>
            </w:r>
            <w:r w:rsidRPr="005D0955">
              <w:rPr>
                <w:rFonts w:ascii="Calibri" w:hAnsi="Calibri" w:cs="Calibri"/>
                <w:sz w:val="18"/>
                <w:szCs w:val="18"/>
              </w:rPr>
              <w:t> </w:t>
            </w:r>
            <w:r w:rsidRPr="00634E4C">
              <w:rPr>
                <w:rFonts w:asciiTheme="majorHAnsi" w:hAnsiTheme="majorHAnsi"/>
                <w:sz w:val="18"/>
              </w:rPr>
              <w:t>631</w:t>
            </w:r>
          </w:p>
        </w:tc>
        <w:tc>
          <w:tcPr>
            <w:tcW w:w="773" w:type="dxa"/>
            <w:tcBorders>
              <w:top w:val="single" w:sz="2" w:space="0" w:color="000000"/>
              <w:left w:val="single" w:sz="2" w:space="0" w:color="000000"/>
              <w:bottom w:val="single" w:sz="2" w:space="0" w:color="000000"/>
              <w:right w:val="single" w:sz="2" w:space="0" w:color="000000"/>
            </w:tcBorders>
            <w:vAlign w:val="center"/>
          </w:tcPr>
          <w:p w14:paraId="31FA1918"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7</w:t>
            </w:r>
            <w:r w:rsidRPr="005D0955">
              <w:rPr>
                <w:rFonts w:ascii="Calibri" w:hAnsi="Calibri" w:cs="Calibri"/>
                <w:sz w:val="18"/>
                <w:szCs w:val="18"/>
              </w:rPr>
              <w:t> </w:t>
            </w:r>
            <w:r w:rsidRPr="00634E4C">
              <w:rPr>
                <w:rFonts w:asciiTheme="majorHAnsi" w:hAnsiTheme="majorHAnsi"/>
                <w:sz w:val="18"/>
              </w:rPr>
              <w:t>443</w:t>
            </w:r>
          </w:p>
        </w:tc>
        <w:tc>
          <w:tcPr>
            <w:tcW w:w="774" w:type="dxa"/>
            <w:tcBorders>
              <w:top w:val="single" w:sz="2" w:space="0" w:color="000000"/>
              <w:left w:val="single" w:sz="2" w:space="0" w:color="000000"/>
              <w:bottom w:val="single" w:sz="2" w:space="0" w:color="000000"/>
              <w:right w:val="single" w:sz="2" w:space="0" w:color="000000"/>
            </w:tcBorders>
            <w:vAlign w:val="center"/>
          </w:tcPr>
          <w:p w14:paraId="62A18EC0"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880</w:t>
            </w:r>
          </w:p>
        </w:tc>
      </w:tr>
      <w:tr w:rsidR="00920B68" w:rsidRPr="00364545" w14:paraId="3B04277D" w14:textId="77777777" w:rsidTr="00920B68">
        <w:trPr>
          <w:trHeight w:val="344"/>
        </w:trPr>
        <w:tc>
          <w:tcPr>
            <w:tcW w:w="1405" w:type="dxa"/>
            <w:tcBorders>
              <w:top w:val="single" w:sz="2" w:space="0" w:color="000000"/>
              <w:left w:val="single" w:sz="2" w:space="0" w:color="000000"/>
              <w:bottom w:val="single" w:sz="2" w:space="0" w:color="000000"/>
              <w:right w:val="single" w:sz="2" w:space="0" w:color="000000"/>
            </w:tcBorders>
            <w:shd w:val="clear" w:color="auto" w:fill="ECE6E2"/>
          </w:tcPr>
          <w:p w14:paraId="50D544A7" w14:textId="77777777" w:rsidR="00920B68" w:rsidRPr="00364545" w:rsidRDefault="00920B68" w:rsidP="00920B68">
            <w:pPr>
              <w:spacing w:line="259" w:lineRule="auto"/>
            </w:pPr>
            <w:r w:rsidRPr="00364545">
              <w:rPr>
                <w:b/>
                <w:sz w:val="18"/>
              </w:rPr>
              <w:t xml:space="preserve">Ensemble (hors UTCF) </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0B7ACF0"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69161</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7226BD"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70383</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344F94D"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68603</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81CD43E"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63632</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5071D20"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61663</w:t>
            </w:r>
          </w:p>
        </w:tc>
        <w:tc>
          <w:tcPr>
            <w:tcW w:w="7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F51CDC"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57862</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260DB4C" w14:textId="77777777" w:rsidR="00920B68" w:rsidRPr="005D0955" w:rsidRDefault="00920B68" w:rsidP="00920B68">
            <w:pPr>
              <w:spacing w:line="259" w:lineRule="auto"/>
              <w:ind w:left="14"/>
              <w:jc w:val="center"/>
              <w:rPr>
                <w:rFonts w:asciiTheme="majorHAnsi" w:hAnsiTheme="majorHAnsi"/>
                <w:b/>
                <w:sz w:val="18"/>
                <w:szCs w:val="18"/>
              </w:rPr>
            </w:pPr>
            <w:r w:rsidRPr="005D0955">
              <w:rPr>
                <w:rFonts w:asciiTheme="majorHAnsi" w:hAnsiTheme="majorHAnsi"/>
                <w:sz w:val="18"/>
                <w:szCs w:val="18"/>
              </w:rPr>
              <w:t>55740</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8C9AF00"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52</w:t>
            </w:r>
            <w:r w:rsidRPr="005D0955">
              <w:rPr>
                <w:rFonts w:ascii="Calibri" w:hAnsi="Calibri" w:cs="Calibri"/>
                <w:b/>
                <w:sz w:val="18"/>
                <w:szCs w:val="18"/>
              </w:rPr>
              <w:t> </w:t>
            </w:r>
            <w:r w:rsidRPr="00634E4C">
              <w:rPr>
                <w:rFonts w:asciiTheme="majorHAnsi" w:hAnsiTheme="majorHAnsi"/>
                <w:b/>
                <w:sz w:val="18"/>
              </w:rPr>
              <w:t>531</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C4B7C47"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47</w:t>
            </w:r>
            <w:r w:rsidRPr="005D0955">
              <w:rPr>
                <w:rFonts w:ascii="Calibri" w:hAnsi="Calibri" w:cs="Calibri"/>
                <w:b/>
                <w:sz w:val="18"/>
                <w:szCs w:val="18"/>
              </w:rPr>
              <w:t> </w:t>
            </w:r>
            <w:r w:rsidRPr="00634E4C">
              <w:rPr>
                <w:rFonts w:asciiTheme="majorHAnsi" w:hAnsiTheme="majorHAnsi"/>
                <w:b/>
                <w:sz w:val="18"/>
              </w:rPr>
              <w:t>947</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6EB8225"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44</w:t>
            </w:r>
            <w:r w:rsidRPr="005D0955">
              <w:rPr>
                <w:rFonts w:ascii="Calibri" w:hAnsi="Calibri" w:cs="Calibri"/>
                <w:b/>
                <w:sz w:val="18"/>
                <w:szCs w:val="18"/>
              </w:rPr>
              <w:t> </w:t>
            </w:r>
            <w:r w:rsidRPr="00634E4C">
              <w:rPr>
                <w:rFonts w:asciiTheme="majorHAnsi" w:hAnsiTheme="majorHAnsi"/>
                <w:b/>
                <w:sz w:val="18"/>
              </w:rPr>
              <w:t>507</w:t>
            </w:r>
          </w:p>
        </w:tc>
        <w:tc>
          <w:tcPr>
            <w:tcW w:w="7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3EC6A76"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41</w:t>
            </w:r>
            <w:r w:rsidRPr="005D0955">
              <w:rPr>
                <w:rFonts w:ascii="Calibri" w:hAnsi="Calibri" w:cs="Calibri"/>
                <w:b/>
                <w:sz w:val="18"/>
                <w:szCs w:val="18"/>
              </w:rPr>
              <w:t> </w:t>
            </w:r>
            <w:r w:rsidRPr="00634E4C">
              <w:rPr>
                <w:rFonts w:asciiTheme="majorHAnsi" w:hAnsiTheme="majorHAnsi"/>
                <w:b/>
                <w:sz w:val="18"/>
              </w:rPr>
              <w:t>496</w:t>
            </w:r>
          </w:p>
        </w:tc>
        <w:tc>
          <w:tcPr>
            <w:tcW w:w="7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BCDA00"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32</w:t>
            </w:r>
            <w:r w:rsidRPr="005D0955">
              <w:rPr>
                <w:rFonts w:ascii="Calibri" w:hAnsi="Calibri" w:cs="Calibri"/>
                <w:b/>
                <w:sz w:val="18"/>
                <w:szCs w:val="18"/>
              </w:rPr>
              <w:t> </w:t>
            </w:r>
            <w:r w:rsidRPr="00634E4C">
              <w:rPr>
                <w:rFonts w:asciiTheme="majorHAnsi" w:hAnsiTheme="majorHAnsi"/>
                <w:b/>
                <w:sz w:val="18"/>
              </w:rPr>
              <w:t>465</w:t>
            </w:r>
          </w:p>
        </w:tc>
      </w:tr>
      <w:tr w:rsidR="00920B68" w:rsidRPr="00364545" w14:paraId="199215E8" w14:textId="77777777" w:rsidTr="00920B68">
        <w:trPr>
          <w:trHeight w:val="346"/>
        </w:trPr>
        <w:tc>
          <w:tcPr>
            <w:tcW w:w="1405" w:type="dxa"/>
            <w:tcBorders>
              <w:top w:val="single" w:sz="2" w:space="0" w:color="000000"/>
              <w:left w:val="single" w:sz="2" w:space="0" w:color="000000"/>
              <w:bottom w:val="single" w:sz="2" w:space="0" w:color="000000"/>
              <w:right w:val="single" w:sz="2" w:space="0" w:color="000000"/>
            </w:tcBorders>
          </w:tcPr>
          <w:p w14:paraId="296BB90F" w14:textId="77777777" w:rsidR="00920B68" w:rsidRPr="00364545" w:rsidRDefault="00920B68" w:rsidP="00920B68">
            <w:pPr>
              <w:spacing w:line="259" w:lineRule="auto"/>
            </w:pPr>
            <w:r w:rsidRPr="00364545">
              <w:rPr>
                <w:b/>
                <w:sz w:val="18"/>
              </w:rPr>
              <w:t xml:space="preserve">Ensemble (avec UTCF) </w:t>
            </w:r>
          </w:p>
        </w:tc>
        <w:tc>
          <w:tcPr>
            <w:tcW w:w="773" w:type="dxa"/>
            <w:tcBorders>
              <w:top w:val="single" w:sz="2" w:space="0" w:color="000000"/>
              <w:left w:val="single" w:sz="2" w:space="0" w:color="000000"/>
              <w:bottom w:val="single" w:sz="2" w:space="0" w:color="000000"/>
              <w:right w:val="single" w:sz="2" w:space="0" w:color="000000"/>
            </w:tcBorders>
            <w:vAlign w:val="center"/>
          </w:tcPr>
          <w:p w14:paraId="24A73557"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70094</w:t>
            </w:r>
          </w:p>
        </w:tc>
        <w:tc>
          <w:tcPr>
            <w:tcW w:w="773" w:type="dxa"/>
            <w:tcBorders>
              <w:top w:val="single" w:sz="2" w:space="0" w:color="000000"/>
              <w:left w:val="single" w:sz="2" w:space="0" w:color="000000"/>
              <w:bottom w:val="single" w:sz="2" w:space="0" w:color="000000"/>
              <w:right w:val="single" w:sz="2" w:space="0" w:color="000000"/>
            </w:tcBorders>
            <w:vAlign w:val="center"/>
          </w:tcPr>
          <w:p w14:paraId="3DB6099F"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74053</w:t>
            </w:r>
          </w:p>
        </w:tc>
        <w:tc>
          <w:tcPr>
            <w:tcW w:w="773" w:type="dxa"/>
            <w:tcBorders>
              <w:top w:val="single" w:sz="2" w:space="0" w:color="000000"/>
              <w:left w:val="single" w:sz="2" w:space="0" w:color="000000"/>
              <w:bottom w:val="single" w:sz="2" w:space="0" w:color="000000"/>
              <w:right w:val="single" w:sz="2" w:space="0" w:color="000000"/>
            </w:tcBorders>
            <w:vAlign w:val="center"/>
          </w:tcPr>
          <w:p w14:paraId="0B9BE963"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70296</w:t>
            </w:r>
          </w:p>
        </w:tc>
        <w:tc>
          <w:tcPr>
            <w:tcW w:w="773" w:type="dxa"/>
            <w:tcBorders>
              <w:top w:val="single" w:sz="2" w:space="0" w:color="000000"/>
              <w:left w:val="single" w:sz="2" w:space="0" w:color="000000"/>
              <w:bottom w:val="single" w:sz="2" w:space="0" w:color="000000"/>
              <w:right w:val="single" w:sz="2" w:space="0" w:color="000000"/>
            </w:tcBorders>
            <w:vAlign w:val="center"/>
          </w:tcPr>
          <w:p w14:paraId="77553F85"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64820</w:t>
            </w:r>
          </w:p>
        </w:tc>
        <w:tc>
          <w:tcPr>
            <w:tcW w:w="773" w:type="dxa"/>
            <w:tcBorders>
              <w:top w:val="single" w:sz="2" w:space="0" w:color="000000"/>
              <w:left w:val="single" w:sz="2" w:space="0" w:color="000000"/>
              <w:bottom w:val="single" w:sz="2" w:space="0" w:color="000000"/>
              <w:right w:val="single" w:sz="2" w:space="0" w:color="000000"/>
            </w:tcBorders>
            <w:vAlign w:val="center"/>
          </w:tcPr>
          <w:p w14:paraId="1C72D93D"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62793</w:t>
            </w:r>
          </w:p>
        </w:tc>
        <w:tc>
          <w:tcPr>
            <w:tcW w:w="774" w:type="dxa"/>
            <w:tcBorders>
              <w:top w:val="single" w:sz="2" w:space="0" w:color="000000"/>
              <w:left w:val="single" w:sz="2" w:space="0" w:color="000000"/>
              <w:bottom w:val="single" w:sz="2" w:space="0" w:color="000000"/>
              <w:right w:val="single" w:sz="2" w:space="0" w:color="000000"/>
            </w:tcBorders>
            <w:vAlign w:val="center"/>
          </w:tcPr>
          <w:p w14:paraId="7D04BFD0"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58940</w:t>
            </w:r>
          </w:p>
        </w:tc>
        <w:tc>
          <w:tcPr>
            <w:tcW w:w="773" w:type="dxa"/>
            <w:tcBorders>
              <w:top w:val="single" w:sz="2" w:space="0" w:color="000000"/>
              <w:left w:val="single" w:sz="2" w:space="0" w:color="000000"/>
              <w:bottom w:val="single" w:sz="2" w:space="0" w:color="000000"/>
              <w:right w:val="single" w:sz="2" w:space="0" w:color="000000"/>
            </w:tcBorders>
            <w:vAlign w:val="center"/>
          </w:tcPr>
          <w:p w14:paraId="3A3F99C8" w14:textId="77777777" w:rsidR="00920B68" w:rsidRPr="005D0955" w:rsidRDefault="00920B68" w:rsidP="00920B68">
            <w:pPr>
              <w:spacing w:line="259" w:lineRule="auto"/>
              <w:ind w:left="14"/>
              <w:jc w:val="center"/>
              <w:rPr>
                <w:rFonts w:asciiTheme="majorHAnsi" w:hAnsiTheme="majorHAnsi"/>
                <w:b/>
                <w:sz w:val="18"/>
                <w:szCs w:val="18"/>
              </w:rPr>
            </w:pPr>
            <w:r w:rsidRPr="005D0955">
              <w:rPr>
                <w:rFonts w:asciiTheme="majorHAnsi" w:hAnsiTheme="majorHAnsi"/>
                <w:sz w:val="18"/>
                <w:szCs w:val="18"/>
              </w:rPr>
              <w:t>56877</w:t>
            </w:r>
          </w:p>
        </w:tc>
        <w:tc>
          <w:tcPr>
            <w:tcW w:w="773" w:type="dxa"/>
            <w:tcBorders>
              <w:top w:val="single" w:sz="2" w:space="0" w:color="000000"/>
              <w:left w:val="single" w:sz="2" w:space="0" w:color="000000"/>
              <w:bottom w:val="single" w:sz="2" w:space="0" w:color="000000"/>
              <w:right w:val="single" w:sz="2" w:space="0" w:color="000000"/>
            </w:tcBorders>
            <w:vAlign w:val="center"/>
          </w:tcPr>
          <w:p w14:paraId="34FB5404"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53</w:t>
            </w:r>
            <w:r w:rsidRPr="005D0955">
              <w:rPr>
                <w:rFonts w:ascii="Calibri" w:hAnsi="Calibri" w:cs="Calibri"/>
                <w:b/>
                <w:sz w:val="18"/>
                <w:szCs w:val="18"/>
              </w:rPr>
              <w:t> </w:t>
            </w:r>
            <w:r w:rsidRPr="00634E4C">
              <w:rPr>
                <w:rFonts w:asciiTheme="majorHAnsi" w:hAnsiTheme="majorHAnsi"/>
                <w:b/>
                <w:sz w:val="18"/>
              </w:rPr>
              <w:t>671</w:t>
            </w:r>
          </w:p>
        </w:tc>
        <w:tc>
          <w:tcPr>
            <w:tcW w:w="773" w:type="dxa"/>
            <w:tcBorders>
              <w:top w:val="single" w:sz="2" w:space="0" w:color="000000"/>
              <w:left w:val="single" w:sz="2" w:space="0" w:color="000000"/>
              <w:bottom w:val="single" w:sz="2" w:space="0" w:color="000000"/>
              <w:right w:val="single" w:sz="2" w:space="0" w:color="000000"/>
            </w:tcBorders>
            <w:vAlign w:val="center"/>
          </w:tcPr>
          <w:p w14:paraId="28D2E66F"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49</w:t>
            </w:r>
            <w:r w:rsidRPr="005D0955">
              <w:rPr>
                <w:rFonts w:ascii="Calibri" w:hAnsi="Calibri" w:cs="Calibri"/>
                <w:b/>
                <w:sz w:val="18"/>
                <w:szCs w:val="18"/>
              </w:rPr>
              <w:t> </w:t>
            </w:r>
            <w:r w:rsidRPr="00634E4C">
              <w:rPr>
                <w:rFonts w:asciiTheme="majorHAnsi" w:hAnsiTheme="majorHAnsi"/>
                <w:b/>
                <w:sz w:val="18"/>
              </w:rPr>
              <w:t>093</w:t>
            </w:r>
          </w:p>
        </w:tc>
        <w:tc>
          <w:tcPr>
            <w:tcW w:w="773" w:type="dxa"/>
            <w:tcBorders>
              <w:top w:val="single" w:sz="2" w:space="0" w:color="000000"/>
              <w:left w:val="single" w:sz="2" w:space="0" w:color="000000"/>
              <w:bottom w:val="single" w:sz="2" w:space="0" w:color="000000"/>
              <w:right w:val="single" w:sz="2" w:space="0" w:color="000000"/>
            </w:tcBorders>
            <w:vAlign w:val="center"/>
          </w:tcPr>
          <w:p w14:paraId="3DDF0704"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45</w:t>
            </w:r>
            <w:r w:rsidRPr="005D0955">
              <w:rPr>
                <w:rFonts w:ascii="Calibri" w:hAnsi="Calibri" w:cs="Calibri"/>
                <w:b/>
                <w:sz w:val="18"/>
                <w:szCs w:val="18"/>
              </w:rPr>
              <w:t> </w:t>
            </w:r>
            <w:r w:rsidRPr="00634E4C">
              <w:rPr>
                <w:rFonts w:asciiTheme="majorHAnsi" w:hAnsiTheme="majorHAnsi"/>
                <w:b/>
                <w:sz w:val="18"/>
              </w:rPr>
              <w:t>641</w:t>
            </w:r>
          </w:p>
        </w:tc>
        <w:tc>
          <w:tcPr>
            <w:tcW w:w="773" w:type="dxa"/>
            <w:tcBorders>
              <w:top w:val="single" w:sz="2" w:space="0" w:color="000000"/>
              <w:left w:val="single" w:sz="2" w:space="0" w:color="000000"/>
              <w:bottom w:val="single" w:sz="2" w:space="0" w:color="000000"/>
              <w:right w:val="single" w:sz="2" w:space="0" w:color="000000"/>
            </w:tcBorders>
            <w:vAlign w:val="center"/>
          </w:tcPr>
          <w:p w14:paraId="301D045D"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42</w:t>
            </w:r>
            <w:r w:rsidRPr="005D0955">
              <w:rPr>
                <w:rFonts w:ascii="Calibri" w:hAnsi="Calibri" w:cs="Calibri"/>
                <w:b/>
                <w:sz w:val="18"/>
                <w:szCs w:val="18"/>
              </w:rPr>
              <w:t> </w:t>
            </w:r>
            <w:r w:rsidRPr="00634E4C">
              <w:rPr>
                <w:rFonts w:asciiTheme="majorHAnsi" w:hAnsiTheme="majorHAnsi"/>
                <w:b/>
                <w:sz w:val="18"/>
              </w:rPr>
              <w:t>610</w:t>
            </w:r>
          </w:p>
        </w:tc>
        <w:tc>
          <w:tcPr>
            <w:tcW w:w="774" w:type="dxa"/>
            <w:tcBorders>
              <w:top w:val="single" w:sz="2" w:space="0" w:color="000000"/>
              <w:left w:val="single" w:sz="2" w:space="0" w:color="000000"/>
              <w:bottom w:val="single" w:sz="2" w:space="0" w:color="000000"/>
              <w:right w:val="single" w:sz="2" w:space="0" w:color="000000"/>
            </w:tcBorders>
            <w:vAlign w:val="center"/>
          </w:tcPr>
          <w:p w14:paraId="643D2A71"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33</w:t>
            </w:r>
            <w:r w:rsidRPr="005D0955">
              <w:rPr>
                <w:rFonts w:ascii="Calibri" w:hAnsi="Calibri" w:cs="Calibri"/>
                <w:b/>
                <w:sz w:val="18"/>
                <w:szCs w:val="18"/>
              </w:rPr>
              <w:t> </w:t>
            </w:r>
            <w:r w:rsidRPr="00634E4C">
              <w:rPr>
                <w:rFonts w:asciiTheme="majorHAnsi" w:hAnsiTheme="majorHAnsi"/>
                <w:b/>
                <w:sz w:val="18"/>
              </w:rPr>
              <w:t>519</w:t>
            </w:r>
          </w:p>
        </w:tc>
      </w:tr>
    </w:tbl>
    <w:p w14:paraId="145F2B7E" w14:textId="77777777" w:rsidR="00920B68" w:rsidRPr="00364545" w:rsidRDefault="00920B68" w:rsidP="00920B68">
      <w:pPr>
        <w:pStyle w:val="Caption"/>
      </w:pPr>
      <w:r w:rsidRPr="00364545">
        <w:t xml:space="preserve">Table </w:t>
      </w:r>
      <w:fldSimple w:instr=" SEQ Tableau \* ARABIC ">
        <w:r w:rsidRPr="00364545">
          <w:rPr>
            <w:noProof/>
          </w:rPr>
          <w:t>27</w:t>
        </w:r>
      </w:fldSimple>
      <w:r w:rsidRPr="00364545">
        <w:t>: CH</w:t>
      </w:r>
      <w:r w:rsidRPr="00364545">
        <w:rPr>
          <w:vertAlign w:val="subscript"/>
        </w:rPr>
        <w:t>4</w:t>
      </w:r>
      <w:r w:rsidRPr="00364545">
        <w:t xml:space="preserve"> emissions projections (in ktCO</w:t>
      </w:r>
      <w:r w:rsidRPr="00364545">
        <w:rPr>
          <w:vertAlign w:val="subscript"/>
        </w:rPr>
        <w:t>2e</w:t>
      </w:r>
      <w:r w:rsidRPr="00364545">
        <w:t>) in the Kyoto scope in the AMS 2018 scenario (with additional measures)</w:t>
      </w:r>
    </w:p>
    <w:p w14:paraId="22143BD2" w14:textId="77777777" w:rsidR="00920B68" w:rsidRPr="00364545" w:rsidRDefault="00920B68" w:rsidP="00920B68">
      <w:pPr>
        <w:pStyle w:val="Caption"/>
      </w:pPr>
      <w:r w:rsidRPr="00364545">
        <w:t>Source: U</w:t>
      </w:r>
      <w:r>
        <w:t>NFCCC inventory, Citepa/MTE, 2022</w:t>
      </w:r>
      <w:r w:rsidRPr="00364545">
        <w:t xml:space="preserve"> submission and MTE emission projections, 2018</w:t>
      </w:r>
    </w:p>
    <w:p w14:paraId="7D479FDB" w14:textId="77777777" w:rsidR="00920B68" w:rsidRPr="00364545" w:rsidRDefault="00920B68" w:rsidP="00920B68"/>
    <w:p w14:paraId="3FCC9A15" w14:textId="77777777" w:rsidR="00920B68" w:rsidRPr="00364545" w:rsidRDefault="00920B68" w:rsidP="00920B68"/>
    <w:tbl>
      <w:tblPr>
        <w:tblStyle w:val="TableGrid0"/>
        <w:tblW w:w="9934" w:type="dxa"/>
        <w:tblInd w:w="10" w:type="dxa"/>
        <w:tblCellMar>
          <w:top w:w="39" w:type="dxa"/>
          <w:left w:w="28" w:type="dxa"/>
          <w:bottom w:w="2" w:type="dxa"/>
        </w:tblCellMar>
        <w:tblLook w:val="04A0" w:firstRow="1" w:lastRow="0" w:firstColumn="1" w:lastColumn="0" w:noHBand="0" w:noVBand="1"/>
      </w:tblPr>
      <w:tblGrid>
        <w:gridCol w:w="1401"/>
        <w:gridCol w:w="723"/>
        <w:gridCol w:w="723"/>
        <w:gridCol w:w="724"/>
        <w:gridCol w:w="725"/>
        <w:gridCol w:w="724"/>
        <w:gridCol w:w="724"/>
        <w:gridCol w:w="568"/>
        <w:gridCol w:w="724"/>
        <w:gridCol w:w="725"/>
        <w:gridCol w:w="724"/>
        <w:gridCol w:w="724"/>
        <w:gridCol w:w="725"/>
      </w:tblGrid>
      <w:tr w:rsidR="00920B68" w:rsidRPr="00364545" w14:paraId="46A29289" w14:textId="77777777" w:rsidTr="00920B68">
        <w:trPr>
          <w:trHeight w:val="460"/>
        </w:trPr>
        <w:tc>
          <w:tcPr>
            <w:tcW w:w="1401"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73FE57B" w14:textId="77777777" w:rsidR="00920B68" w:rsidRPr="00364545" w:rsidRDefault="00920B68" w:rsidP="00920B68">
            <w:pPr>
              <w:spacing w:line="259" w:lineRule="auto"/>
            </w:pPr>
            <w:r w:rsidRPr="00364545">
              <w:t>AMS 18 – N</w:t>
            </w:r>
            <w:r w:rsidRPr="00364545">
              <w:rPr>
                <w:vertAlign w:val="subscript"/>
              </w:rPr>
              <w:t>2</w:t>
            </w:r>
            <w:r w:rsidRPr="00364545">
              <w:t xml:space="preserve">O </w:t>
            </w:r>
          </w:p>
        </w:tc>
        <w:tc>
          <w:tcPr>
            <w:tcW w:w="723"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9536EF5" w14:textId="77777777" w:rsidR="00920B68" w:rsidRPr="00364545" w:rsidRDefault="00920B68" w:rsidP="00920B68">
            <w:pPr>
              <w:spacing w:line="259" w:lineRule="auto"/>
              <w:ind w:right="30"/>
              <w:jc w:val="center"/>
            </w:pPr>
            <w:r w:rsidRPr="00364545">
              <w:rPr>
                <w:b/>
                <w:color w:val="FFFFFF"/>
                <w:sz w:val="18"/>
              </w:rPr>
              <w:t>1990</w:t>
            </w:r>
          </w:p>
        </w:tc>
        <w:tc>
          <w:tcPr>
            <w:tcW w:w="723"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0D48D95" w14:textId="77777777" w:rsidR="00920B68" w:rsidRPr="00364545" w:rsidRDefault="00920B68" w:rsidP="00920B68">
            <w:pPr>
              <w:spacing w:line="259" w:lineRule="auto"/>
              <w:ind w:right="30"/>
              <w:jc w:val="center"/>
              <w:rPr>
                <w:b/>
                <w:color w:val="FFFFFF"/>
                <w:sz w:val="18"/>
              </w:rPr>
            </w:pPr>
            <w:r w:rsidRPr="00364545">
              <w:rPr>
                <w:b/>
                <w:color w:val="FFFFFF"/>
                <w:sz w:val="18"/>
              </w:rPr>
              <w:t>1995</w:t>
            </w:r>
          </w:p>
        </w:tc>
        <w:tc>
          <w:tcPr>
            <w:tcW w:w="72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5489281" w14:textId="77777777" w:rsidR="00920B68" w:rsidRPr="00364545" w:rsidRDefault="00920B68" w:rsidP="00920B68">
            <w:pPr>
              <w:spacing w:line="259" w:lineRule="auto"/>
              <w:ind w:right="30"/>
              <w:jc w:val="center"/>
              <w:rPr>
                <w:b/>
                <w:color w:val="FFFFFF"/>
                <w:sz w:val="18"/>
              </w:rPr>
            </w:pPr>
            <w:r w:rsidRPr="00364545">
              <w:rPr>
                <w:b/>
                <w:color w:val="FFFFFF"/>
                <w:sz w:val="18"/>
              </w:rPr>
              <w:t>2000</w:t>
            </w:r>
          </w:p>
        </w:tc>
        <w:tc>
          <w:tcPr>
            <w:tcW w:w="72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6C291EA0" w14:textId="77777777" w:rsidR="00920B68" w:rsidRPr="00364545" w:rsidRDefault="00920B68" w:rsidP="00920B68">
            <w:pPr>
              <w:spacing w:line="259" w:lineRule="auto"/>
              <w:ind w:right="30"/>
              <w:jc w:val="center"/>
              <w:rPr>
                <w:b/>
                <w:color w:val="FFFFFF"/>
                <w:sz w:val="18"/>
              </w:rPr>
            </w:pPr>
            <w:r w:rsidRPr="00364545">
              <w:rPr>
                <w:b/>
                <w:color w:val="FFFFFF"/>
                <w:sz w:val="18"/>
              </w:rPr>
              <w:t>2005</w:t>
            </w:r>
          </w:p>
        </w:tc>
        <w:tc>
          <w:tcPr>
            <w:tcW w:w="72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088D012" w14:textId="77777777" w:rsidR="00920B68" w:rsidRPr="00364545" w:rsidRDefault="00920B68" w:rsidP="00920B68">
            <w:pPr>
              <w:spacing w:line="259" w:lineRule="auto"/>
              <w:ind w:right="30"/>
              <w:jc w:val="center"/>
              <w:rPr>
                <w:b/>
                <w:color w:val="FFFFFF"/>
                <w:sz w:val="18"/>
              </w:rPr>
            </w:pPr>
            <w:r w:rsidRPr="00364545">
              <w:rPr>
                <w:b/>
                <w:color w:val="FFFFFF"/>
                <w:sz w:val="18"/>
              </w:rPr>
              <w:t>2010</w:t>
            </w:r>
          </w:p>
        </w:tc>
        <w:tc>
          <w:tcPr>
            <w:tcW w:w="72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BA30467" w14:textId="77777777" w:rsidR="00920B68" w:rsidRPr="00364545" w:rsidRDefault="00920B68" w:rsidP="00920B68">
            <w:pPr>
              <w:spacing w:line="259" w:lineRule="auto"/>
              <w:ind w:right="30"/>
              <w:jc w:val="center"/>
              <w:rPr>
                <w:b/>
                <w:color w:val="FFFFFF"/>
                <w:sz w:val="18"/>
              </w:rPr>
            </w:pPr>
            <w:r w:rsidRPr="00364545">
              <w:rPr>
                <w:b/>
                <w:color w:val="FFFFFF"/>
                <w:sz w:val="18"/>
              </w:rPr>
              <w:t>2015</w:t>
            </w:r>
          </w:p>
        </w:tc>
        <w:tc>
          <w:tcPr>
            <w:tcW w:w="568"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7ECB04B" w14:textId="77777777" w:rsidR="00920B68" w:rsidRPr="00364545" w:rsidRDefault="00920B68" w:rsidP="00920B68">
            <w:pPr>
              <w:spacing w:line="259" w:lineRule="auto"/>
              <w:ind w:right="30"/>
              <w:jc w:val="center"/>
              <w:rPr>
                <w:b/>
                <w:color w:val="FFFFFF"/>
                <w:sz w:val="18"/>
              </w:rPr>
            </w:pPr>
            <w:r>
              <w:rPr>
                <w:b/>
                <w:color w:val="FFFFFF"/>
                <w:sz w:val="18"/>
              </w:rPr>
              <w:t>2019</w:t>
            </w:r>
          </w:p>
        </w:tc>
        <w:tc>
          <w:tcPr>
            <w:tcW w:w="72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E342086" w14:textId="77777777" w:rsidR="00920B68" w:rsidRPr="00364545" w:rsidRDefault="00920B68" w:rsidP="00920B68">
            <w:pPr>
              <w:spacing w:line="259" w:lineRule="auto"/>
              <w:ind w:right="30"/>
              <w:jc w:val="center"/>
              <w:rPr>
                <w:b/>
                <w:color w:val="FFFFFF"/>
                <w:sz w:val="18"/>
              </w:rPr>
            </w:pPr>
            <w:r w:rsidRPr="00364545">
              <w:rPr>
                <w:b/>
                <w:color w:val="FFFFFF"/>
                <w:sz w:val="18"/>
              </w:rPr>
              <w:t>2020</w:t>
            </w:r>
          </w:p>
        </w:tc>
        <w:tc>
          <w:tcPr>
            <w:tcW w:w="72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0D08CCC" w14:textId="77777777" w:rsidR="00920B68" w:rsidRPr="00364545" w:rsidRDefault="00920B68" w:rsidP="00920B68">
            <w:pPr>
              <w:spacing w:line="259" w:lineRule="auto"/>
              <w:ind w:right="30"/>
              <w:jc w:val="center"/>
              <w:rPr>
                <w:b/>
                <w:color w:val="FFFFFF"/>
                <w:sz w:val="18"/>
              </w:rPr>
            </w:pPr>
            <w:r w:rsidRPr="00364545">
              <w:rPr>
                <w:b/>
                <w:color w:val="FFFFFF"/>
                <w:sz w:val="18"/>
              </w:rPr>
              <w:t>2025</w:t>
            </w:r>
          </w:p>
        </w:tc>
        <w:tc>
          <w:tcPr>
            <w:tcW w:w="72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BB638F6" w14:textId="77777777" w:rsidR="00920B68" w:rsidRPr="00364545" w:rsidRDefault="00920B68" w:rsidP="00920B68">
            <w:pPr>
              <w:spacing w:line="259" w:lineRule="auto"/>
              <w:ind w:right="30"/>
              <w:jc w:val="center"/>
              <w:rPr>
                <w:b/>
                <w:color w:val="FFFFFF"/>
                <w:sz w:val="18"/>
              </w:rPr>
            </w:pPr>
            <w:r w:rsidRPr="00364545">
              <w:rPr>
                <w:b/>
                <w:color w:val="FFFFFF"/>
                <w:sz w:val="18"/>
              </w:rPr>
              <w:t>2030</w:t>
            </w:r>
          </w:p>
        </w:tc>
        <w:tc>
          <w:tcPr>
            <w:tcW w:w="72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18B420D1" w14:textId="77777777" w:rsidR="00920B68" w:rsidRPr="00364545" w:rsidRDefault="00920B68" w:rsidP="00920B68">
            <w:pPr>
              <w:spacing w:line="259" w:lineRule="auto"/>
              <w:ind w:right="30"/>
              <w:jc w:val="center"/>
              <w:rPr>
                <w:b/>
                <w:color w:val="FFFFFF"/>
                <w:sz w:val="18"/>
              </w:rPr>
            </w:pPr>
            <w:r w:rsidRPr="00364545">
              <w:rPr>
                <w:b/>
                <w:color w:val="FFFFFF"/>
                <w:sz w:val="18"/>
              </w:rPr>
              <w:t>2035</w:t>
            </w:r>
          </w:p>
        </w:tc>
        <w:tc>
          <w:tcPr>
            <w:tcW w:w="72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15BB7AF" w14:textId="77777777" w:rsidR="00920B68" w:rsidRPr="00364545" w:rsidRDefault="00920B68" w:rsidP="00920B68">
            <w:pPr>
              <w:spacing w:line="259" w:lineRule="auto"/>
              <w:ind w:right="30"/>
              <w:jc w:val="center"/>
              <w:rPr>
                <w:b/>
                <w:color w:val="FFFFFF"/>
                <w:sz w:val="18"/>
              </w:rPr>
            </w:pPr>
            <w:r w:rsidRPr="00364545">
              <w:rPr>
                <w:b/>
                <w:color w:val="FFFFFF"/>
                <w:sz w:val="18"/>
              </w:rPr>
              <w:t>2050</w:t>
            </w:r>
          </w:p>
        </w:tc>
      </w:tr>
      <w:tr w:rsidR="00920B68" w:rsidRPr="00364545" w14:paraId="1A634849" w14:textId="77777777" w:rsidTr="00920B68">
        <w:trPr>
          <w:trHeight w:val="344"/>
        </w:trPr>
        <w:tc>
          <w:tcPr>
            <w:tcW w:w="1401" w:type="dxa"/>
            <w:tcBorders>
              <w:top w:val="single" w:sz="2" w:space="0" w:color="000000"/>
              <w:left w:val="single" w:sz="2" w:space="0" w:color="000000"/>
              <w:bottom w:val="single" w:sz="2" w:space="0" w:color="000000"/>
              <w:right w:val="single" w:sz="2" w:space="0" w:color="000000"/>
            </w:tcBorders>
          </w:tcPr>
          <w:p w14:paraId="65DC6311" w14:textId="77777777" w:rsidR="00920B68" w:rsidRPr="00364545" w:rsidRDefault="00920B68" w:rsidP="00920B68">
            <w:pPr>
              <w:spacing w:line="259" w:lineRule="auto"/>
            </w:pPr>
            <w:r w:rsidRPr="00364545">
              <w:rPr>
                <w:sz w:val="18"/>
              </w:rPr>
              <w:t xml:space="preserve">Energy </w:t>
            </w:r>
          </w:p>
        </w:tc>
        <w:tc>
          <w:tcPr>
            <w:tcW w:w="723" w:type="dxa"/>
            <w:tcBorders>
              <w:top w:val="single" w:sz="2" w:space="0" w:color="000000"/>
              <w:left w:val="single" w:sz="2" w:space="0" w:color="000000"/>
              <w:bottom w:val="single" w:sz="2" w:space="0" w:color="000000"/>
              <w:right w:val="single" w:sz="2" w:space="0" w:color="000000"/>
            </w:tcBorders>
            <w:vAlign w:val="center"/>
          </w:tcPr>
          <w:p w14:paraId="52D16016"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3433</w:t>
            </w:r>
          </w:p>
        </w:tc>
        <w:tc>
          <w:tcPr>
            <w:tcW w:w="723" w:type="dxa"/>
            <w:tcBorders>
              <w:top w:val="single" w:sz="2" w:space="0" w:color="000000"/>
              <w:left w:val="single" w:sz="2" w:space="0" w:color="000000"/>
              <w:bottom w:val="single" w:sz="2" w:space="0" w:color="000000"/>
              <w:right w:val="single" w:sz="2" w:space="0" w:color="000000"/>
            </w:tcBorders>
            <w:vAlign w:val="center"/>
          </w:tcPr>
          <w:p w14:paraId="45600ED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4046</w:t>
            </w:r>
          </w:p>
        </w:tc>
        <w:tc>
          <w:tcPr>
            <w:tcW w:w="724" w:type="dxa"/>
            <w:tcBorders>
              <w:top w:val="single" w:sz="2" w:space="0" w:color="000000"/>
              <w:left w:val="single" w:sz="2" w:space="0" w:color="000000"/>
              <w:bottom w:val="single" w:sz="2" w:space="0" w:color="000000"/>
              <w:right w:val="single" w:sz="2" w:space="0" w:color="000000"/>
            </w:tcBorders>
            <w:vAlign w:val="center"/>
          </w:tcPr>
          <w:p w14:paraId="11257E89"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3900</w:t>
            </w:r>
          </w:p>
        </w:tc>
        <w:tc>
          <w:tcPr>
            <w:tcW w:w="725" w:type="dxa"/>
            <w:tcBorders>
              <w:top w:val="single" w:sz="2" w:space="0" w:color="000000"/>
              <w:left w:val="single" w:sz="2" w:space="0" w:color="000000"/>
              <w:bottom w:val="single" w:sz="2" w:space="0" w:color="000000"/>
              <w:right w:val="single" w:sz="2" w:space="0" w:color="000000"/>
            </w:tcBorders>
            <w:vAlign w:val="center"/>
          </w:tcPr>
          <w:p w14:paraId="667404FD"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4183</w:t>
            </w:r>
          </w:p>
        </w:tc>
        <w:tc>
          <w:tcPr>
            <w:tcW w:w="724" w:type="dxa"/>
            <w:tcBorders>
              <w:top w:val="single" w:sz="2" w:space="0" w:color="000000"/>
              <w:left w:val="single" w:sz="2" w:space="0" w:color="000000"/>
              <w:bottom w:val="single" w:sz="2" w:space="0" w:color="000000"/>
              <w:right w:val="single" w:sz="2" w:space="0" w:color="000000"/>
            </w:tcBorders>
            <w:vAlign w:val="center"/>
          </w:tcPr>
          <w:p w14:paraId="0BF05919"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3638</w:t>
            </w:r>
          </w:p>
        </w:tc>
        <w:tc>
          <w:tcPr>
            <w:tcW w:w="724" w:type="dxa"/>
            <w:tcBorders>
              <w:top w:val="single" w:sz="2" w:space="0" w:color="000000"/>
              <w:left w:val="single" w:sz="2" w:space="0" w:color="000000"/>
              <w:bottom w:val="single" w:sz="2" w:space="0" w:color="000000"/>
              <w:right w:val="single" w:sz="2" w:space="0" w:color="000000"/>
            </w:tcBorders>
            <w:vAlign w:val="center"/>
          </w:tcPr>
          <w:p w14:paraId="1E96B8E0"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3731</w:t>
            </w:r>
          </w:p>
        </w:tc>
        <w:tc>
          <w:tcPr>
            <w:tcW w:w="568" w:type="dxa"/>
            <w:tcBorders>
              <w:top w:val="single" w:sz="2" w:space="0" w:color="000000"/>
              <w:left w:val="single" w:sz="2" w:space="0" w:color="000000"/>
              <w:bottom w:val="single" w:sz="2" w:space="0" w:color="000000"/>
              <w:right w:val="single" w:sz="2" w:space="0" w:color="000000"/>
            </w:tcBorders>
            <w:vAlign w:val="center"/>
          </w:tcPr>
          <w:p w14:paraId="173F23F9"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3537</w:t>
            </w:r>
          </w:p>
        </w:tc>
        <w:tc>
          <w:tcPr>
            <w:tcW w:w="724" w:type="dxa"/>
            <w:tcBorders>
              <w:top w:val="single" w:sz="2" w:space="0" w:color="000000"/>
              <w:left w:val="single" w:sz="2" w:space="0" w:color="000000"/>
              <w:bottom w:val="single" w:sz="2" w:space="0" w:color="000000"/>
              <w:right w:val="single" w:sz="2" w:space="0" w:color="000000"/>
            </w:tcBorders>
            <w:vAlign w:val="center"/>
          </w:tcPr>
          <w:p w14:paraId="6C53BC94"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932</w:t>
            </w:r>
          </w:p>
        </w:tc>
        <w:tc>
          <w:tcPr>
            <w:tcW w:w="725" w:type="dxa"/>
            <w:tcBorders>
              <w:top w:val="single" w:sz="2" w:space="0" w:color="000000"/>
              <w:left w:val="single" w:sz="2" w:space="0" w:color="000000"/>
              <w:bottom w:val="single" w:sz="2" w:space="0" w:color="000000"/>
              <w:right w:val="single" w:sz="2" w:space="0" w:color="000000"/>
            </w:tcBorders>
            <w:vAlign w:val="center"/>
          </w:tcPr>
          <w:p w14:paraId="637671A6"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501</w:t>
            </w:r>
          </w:p>
        </w:tc>
        <w:tc>
          <w:tcPr>
            <w:tcW w:w="724" w:type="dxa"/>
            <w:tcBorders>
              <w:top w:val="single" w:sz="2" w:space="0" w:color="000000"/>
              <w:left w:val="single" w:sz="2" w:space="0" w:color="000000"/>
              <w:bottom w:val="single" w:sz="2" w:space="0" w:color="000000"/>
              <w:right w:val="single" w:sz="2" w:space="0" w:color="000000"/>
            </w:tcBorders>
            <w:vAlign w:val="center"/>
          </w:tcPr>
          <w:p w14:paraId="51F2DF1F"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118</w:t>
            </w:r>
          </w:p>
        </w:tc>
        <w:tc>
          <w:tcPr>
            <w:tcW w:w="724" w:type="dxa"/>
            <w:tcBorders>
              <w:top w:val="single" w:sz="2" w:space="0" w:color="000000"/>
              <w:left w:val="single" w:sz="2" w:space="0" w:color="000000"/>
              <w:bottom w:val="single" w:sz="2" w:space="0" w:color="000000"/>
              <w:right w:val="single" w:sz="2" w:space="0" w:color="000000"/>
            </w:tcBorders>
            <w:vAlign w:val="center"/>
          </w:tcPr>
          <w:p w14:paraId="6D667EBA"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2</w:t>
            </w:r>
            <w:r w:rsidRPr="005D0955">
              <w:rPr>
                <w:rFonts w:ascii="Calibri" w:hAnsi="Calibri" w:cs="Calibri"/>
                <w:sz w:val="18"/>
                <w:szCs w:val="18"/>
              </w:rPr>
              <w:t> </w:t>
            </w:r>
            <w:r w:rsidRPr="00634E4C">
              <w:rPr>
                <w:rFonts w:asciiTheme="majorHAnsi" w:hAnsiTheme="majorHAnsi"/>
                <w:sz w:val="18"/>
              </w:rPr>
              <w:t>613</w:t>
            </w:r>
          </w:p>
        </w:tc>
        <w:tc>
          <w:tcPr>
            <w:tcW w:w="725" w:type="dxa"/>
            <w:tcBorders>
              <w:top w:val="single" w:sz="2" w:space="0" w:color="000000"/>
              <w:left w:val="single" w:sz="2" w:space="0" w:color="000000"/>
              <w:bottom w:val="single" w:sz="2" w:space="0" w:color="000000"/>
              <w:right w:val="single" w:sz="2" w:space="0" w:color="000000"/>
            </w:tcBorders>
            <w:vAlign w:val="center"/>
          </w:tcPr>
          <w:p w14:paraId="101896F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1</w:t>
            </w:r>
            <w:r w:rsidRPr="005D0955">
              <w:rPr>
                <w:rFonts w:ascii="Calibri" w:hAnsi="Calibri" w:cs="Calibri"/>
                <w:sz w:val="18"/>
                <w:szCs w:val="18"/>
              </w:rPr>
              <w:t> </w:t>
            </w:r>
            <w:r w:rsidRPr="00634E4C">
              <w:rPr>
                <w:rFonts w:asciiTheme="majorHAnsi" w:hAnsiTheme="majorHAnsi"/>
                <w:sz w:val="18"/>
              </w:rPr>
              <w:t>100</w:t>
            </w:r>
          </w:p>
        </w:tc>
      </w:tr>
      <w:tr w:rsidR="00920B68" w:rsidRPr="00364545" w14:paraId="28BA4EE3" w14:textId="77777777" w:rsidTr="00920B68">
        <w:trPr>
          <w:trHeight w:val="419"/>
        </w:trPr>
        <w:tc>
          <w:tcPr>
            <w:tcW w:w="1401" w:type="dxa"/>
            <w:tcBorders>
              <w:top w:val="single" w:sz="2" w:space="0" w:color="000000"/>
              <w:left w:val="single" w:sz="2" w:space="0" w:color="000000"/>
              <w:bottom w:val="single" w:sz="2" w:space="0" w:color="000000"/>
              <w:right w:val="single" w:sz="2" w:space="0" w:color="000000"/>
            </w:tcBorders>
            <w:shd w:val="clear" w:color="auto" w:fill="ECE6E2"/>
          </w:tcPr>
          <w:p w14:paraId="6DD8DCDA" w14:textId="77777777" w:rsidR="00920B68" w:rsidRPr="00364545" w:rsidRDefault="00920B68" w:rsidP="00920B68">
            <w:pPr>
              <w:spacing w:line="259" w:lineRule="auto"/>
            </w:pPr>
            <w:r w:rsidRPr="00364545">
              <w:rPr>
                <w:sz w:val="18"/>
              </w:rPr>
              <w:t xml:space="preserve">Industrial processes, solvents and other products </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39D8A36"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23831</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DCC0C90"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25932</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80ACD13"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11924</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6A26CC"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6760</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05F323B"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2287</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16DE44"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1291</w:t>
            </w:r>
          </w:p>
        </w:tc>
        <w:tc>
          <w:tcPr>
            <w:tcW w:w="56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B59D8ED"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918</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0E3F09D"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984</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927BD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893</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5A4F764"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778</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4B37179"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761</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3150700"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712</w:t>
            </w:r>
          </w:p>
        </w:tc>
      </w:tr>
      <w:tr w:rsidR="00920B68" w:rsidRPr="00364545" w14:paraId="77649D87" w14:textId="77777777" w:rsidTr="00920B68">
        <w:trPr>
          <w:trHeight w:val="347"/>
        </w:trPr>
        <w:tc>
          <w:tcPr>
            <w:tcW w:w="1401" w:type="dxa"/>
            <w:tcBorders>
              <w:top w:val="single" w:sz="2" w:space="0" w:color="000000"/>
              <w:left w:val="single" w:sz="2" w:space="0" w:color="000000"/>
              <w:bottom w:val="single" w:sz="2" w:space="0" w:color="000000"/>
              <w:right w:val="single" w:sz="2" w:space="0" w:color="000000"/>
            </w:tcBorders>
          </w:tcPr>
          <w:p w14:paraId="0E7123AC" w14:textId="77777777" w:rsidR="00920B68" w:rsidRPr="00364545" w:rsidRDefault="00920B68" w:rsidP="00920B68">
            <w:pPr>
              <w:spacing w:line="259" w:lineRule="auto"/>
            </w:pPr>
            <w:r w:rsidRPr="00364545">
              <w:rPr>
                <w:sz w:val="18"/>
              </w:rPr>
              <w:t xml:space="preserve">Agriculture (excluding energy) </w:t>
            </w:r>
          </w:p>
        </w:tc>
        <w:tc>
          <w:tcPr>
            <w:tcW w:w="723" w:type="dxa"/>
            <w:tcBorders>
              <w:top w:val="single" w:sz="2" w:space="0" w:color="000000"/>
              <w:left w:val="single" w:sz="2" w:space="0" w:color="000000"/>
              <w:bottom w:val="single" w:sz="2" w:space="0" w:color="000000"/>
              <w:right w:val="single" w:sz="2" w:space="0" w:color="000000"/>
            </w:tcBorders>
            <w:vAlign w:val="center"/>
          </w:tcPr>
          <w:p w14:paraId="257242B8"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36691</w:t>
            </w:r>
          </w:p>
        </w:tc>
        <w:tc>
          <w:tcPr>
            <w:tcW w:w="723" w:type="dxa"/>
            <w:tcBorders>
              <w:top w:val="single" w:sz="2" w:space="0" w:color="000000"/>
              <w:left w:val="single" w:sz="2" w:space="0" w:color="000000"/>
              <w:bottom w:val="single" w:sz="2" w:space="0" w:color="000000"/>
              <w:right w:val="single" w:sz="2" w:space="0" w:color="000000"/>
            </w:tcBorders>
            <w:vAlign w:val="center"/>
          </w:tcPr>
          <w:p w14:paraId="2B766064"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35162</w:t>
            </w:r>
          </w:p>
        </w:tc>
        <w:tc>
          <w:tcPr>
            <w:tcW w:w="724" w:type="dxa"/>
            <w:tcBorders>
              <w:top w:val="single" w:sz="2" w:space="0" w:color="000000"/>
              <w:left w:val="single" w:sz="2" w:space="0" w:color="000000"/>
              <w:bottom w:val="single" w:sz="2" w:space="0" w:color="000000"/>
              <w:right w:val="single" w:sz="2" w:space="0" w:color="000000"/>
            </w:tcBorders>
            <w:vAlign w:val="center"/>
          </w:tcPr>
          <w:p w14:paraId="775CA41B"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37106</w:t>
            </w:r>
          </w:p>
        </w:tc>
        <w:tc>
          <w:tcPr>
            <w:tcW w:w="725" w:type="dxa"/>
            <w:tcBorders>
              <w:top w:val="single" w:sz="2" w:space="0" w:color="000000"/>
              <w:left w:val="single" w:sz="2" w:space="0" w:color="000000"/>
              <w:bottom w:val="single" w:sz="2" w:space="0" w:color="000000"/>
              <w:right w:val="single" w:sz="2" w:space="0" w:color="000000"/>
            </w:tcBorders>
            <w:vAlign w:val="center"/>
          </w:tcPr>
          <w:p w14:paraId="3810A076"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34680</w:t>
            </w:r>
          </w:p>
        </w:tc>
        <w:tc>
          <w:tcPr>
            <w:tcW w:w="724" w:type="dxa"/>
            <w:tcBorders>
              <w:top w:val="single" w:sz="2" w:space="0" w:color="000000"/>
              <w:left w:val="single" w:sz="2" w:space="0" w:color="000000"/>
              <w:bottom w:val="single" w:sz="2" w:space="0" w:color="000000"/>
              <w:right w:val="single" w:sz="2" w:space="0" w:color="000000"/>
            </w:tcBorders>
            <w:vAlign w:val="center"/>
          </w:tcPr>
          <w:p w14:paraId="70E8A40F"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33892</w:t>
            </w:r>
          </w:p>
        </w:tc>
        <w:tc>
          <w:tcPr>
            <w:tcW w:w="724" w:type="dxa"/>
            <w:tcBorders>
              <w:top w:val="single" w:sz="2" w:space="0" w:color="000000"/>
              <w:left w:val="single" w:sz="2" w:space="0" w:color="000000"/>
              <w:bottom w:val="single" w:sz="2" w:space="0" w:color="000000"/>
              <w:right w:val="single" w:sz="2" w:space="0" w:color="000000"/>
            </w:tcBorders>
            <w:vAlign w:val="center"/>
          </w:tcPr>
          <w:p w14:paraId="27EAC172"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34263</w:t>
            </w:r>
          </w:p>
        </w:tc>
        <w:tc>
          <w:tcPr>
            <w:tcW w:w="568" w:type="dxa"/>
            <w:tcBorders>
              <w:top w:val="single" w:sz="2" w:space="0" w:color="000000"/>
              <w:left w:val="single" w:sz="2" w:space="0" w:color="000000"/>
              <w:bottom w:val="single" w:sz="2" w:space="0" w:color="000000"/>
              <w:right w:val="single" w:sz="2" w:space="0" w:color="000000"/>
            </w:tcBorders>
            <w:vAlign w:val="center"/>
          </w:tcPr>
          <w:p w14:paraId="740BFEC3"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33020</w:t>
            </w:r>
          </w:p>
        </w:tc>
        <w:tc>
          <w:tcPr>
            <w:tcW w:w="724" w:type="dxa"/>
            <w:tcBorders>
              <w:top w:val="single" w:sz="2" w:space="0" w:color="000000"/>
              <w:left w:val="single" w:sz="2" w:space="0" w:color="000000"/>
              <w:bottom w:val="single" w:sz="2" w:space="0" w:color="000000"/>
              <w:right w:val="single" w:sz="2" w:space="0" w:color="000000"/>
            </w:tcBorders>
            <w:vAlign w:val="center"/>
          </w:tcPr>
          <w:p w14:paraId="0B39829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34</w:t>
            </w:r>
            <w:r w:rsidRPr="005D0955">
              <w:rPr>
                <w:rFonts w:ascii="Calibri" w:hAnsi="Calibri" w:cs="Calibri"/>
                <w:sz w:val="18"/>
                <w:szCs w:val="18"/>
              </w:rPr>
              <w:t> </w:t>
            </w:r>
            <w:r w:rsidRPr="00634E4C">
              <w:rPr>
                <w:rFonts w:asciiTheme="majorHAnsi" w:hAnsiTheme="majorHAnsi"/>
                <w:sz w:val="18"/>
              </w:rPr>
              <w:t>579</w:t>
            </w:r>
          </w:p>
        </w:tc>
        <w:tc>
          <w:tcPr>
            <w:tcW w:w="725" w:type="dxa"/>
            <w:tcBorders>
              <w:top w:val="single" w:sz="2" w:space="0" w:color="000000"/>
              <w:left w:val="single" w:sz="2" w:space="0" w:color="000000"/>
              <w:bottom w:val="single" w:sz="2" w:space="0" w:color="000000"/>
              <w:right w:val="single" w:sz="2" w:space="0" w:color="000000"/>
            </w:tcBorders>
            <w:vAlign w:val="center"/>
          </w:tcPr>
          <w:p w14:paraId="3852B4BE"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32</w:t>
            </w:r>
            <w:r w:rsidRPr="005D0955">
              <w:rPr>
                <w:rFonts w:ascii="Calibri" w:hAnsi="Calibri" w:cs="Calibri"/>
                <w:sz w:val="18"/>
                <w:szCs w:val="18"/>
              </w:rPr>
              <w:t> </w:t>
            </w:r>
            <w:r w:rsidRPr="00634E4C">
              <w:rPr>
                <w:rFonts w:asciiTheme="majorHAnsi" w:hAnsiTheme="majorHAnsi"/>
                <w:sz w:val="18"/>
              </w:rPr>
              <w:t>471</w:t>
            </w:r>
          </w:p>
        </w:tc>
        <w:tc>
          <w:tcPr>
            <w:tcW w:w="724" w:type="dxa"/>
            <w:tcBorders>
              <w:top w:val="single" w:sz="2" w:space="0" w:color="000000"/>
              <w:left w:val="single" w:sz="2" w:space="0" w:color="000000"/>
              <w:bottom w:val="single" w:sz="2" w:space="0" w:color="000000"/>
              <w:right w:val="single" w:sz="2" w:space="0" w:color="000000"/>
            </w:tcBorders>
            <w:vAlign w:val="center"/>
          </w:tcPr>
          <w:p w14:paraId="57EC9C1D"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30</w:t>
            </w:r>
            <w:r w:rsidRPr="005D0955">
              <w:rPr>
                <w:rFonts w:ascii="Calibri" w:hAnsi="Calibri" w:cs="Calibri"/>
                <w:sz w:val="18"/>
                <w:szCs w:val="18"/>
              </w:rPr>
              <w:t> </w:t>
            </w:r>
            <w:r w:rsidRPr="00634E4C">
              <w:rPr>
                <w:rFonts w:asciiTheme="majorHAnsi" w:hAnsiTheme="majorHAnsi"/>
                <w:sz w:val="18"/>
              </w:rPr>
              <w:t>826</w:t>
            </w:r>
          </w:p>
        </w:tc>
        <w:tc>
          <w:tcPr>
            <w:tcW w:w="724" w:type="dxa"/>
            <w:tcBorders>
              <w:top w:val="single" w:sz="2" w:space="0" w:color="000000"/>
              <w:left w:val="single" w:sz="2" w:space="0" w:color="000000"/>
              <w:bottom w:val="single" w:sz="2" w:space="0" w:color="000000"/>
              <w:right w:val="single" w:sz="2" w:space="0" w:color="000000"/>
            </w:tcBorders>
            <w:vAlign w:val="center"/>
          </w:tcPr>
          <w:p w14:paraId="2B2DDC2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29</w:t>
            </w:r>
            <w:r w:rsidRPr="005D0955">
              <w:rPr>
                <w:rFonts w:ascii="Calibri" w:hAnsi="Calibri" w:cs="Calibri"/>
                <w:sz w:val="18"/>
                <w:szCs w:val="18"/>
              </w:rPr>
              <w:t> </w:t>
            </w:r>
            <w:r w:rsidRPr="00634E4C">
              <w:rPr>
                <w:rFonts w:asciiTheme="majorHAnsi" w:hAnsiTheme="majorHAnsi"/>
                <w:sz w:val="18"/>
              </w:rPr>
              <w:t>519</w:t>
            </w:r>
          </w:p>
        </w:tc>
        <w:tc>
          <w:tcPr>
            <w:tcW w:w="725" w:type="dxa"/>
            <w:tcBorders>
              <w:top w:val="single" w:sz="2" w:space="0" w:color="000000"/>
              <w:left w:val="single" w:sz="2" w:space="0" w:color="000000"/>
              <w:bottom w:val="single" w:sz="2" w:space="0" w:color="000000"/>
              <w:right w:val="single" w:sz="2" w:space="0" w:color="000000"/>
            </w:tcBorders>
            <w:vAlign w:val="center"/>
          </w:tcPr>
          <w:p w14:paraId="19629E6E"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20</w:t>
            </w:r>
            <w:r w:rsidRPr="005D0955">
              <w:rPr>
                <w:rFonts w:ascii="Calibri" w:hAnsi="Calibri" w:cs="Calibri"/>
                <w:sz w:val="18"/>
                <w:szCs w:val="18"/>
              </w:rPr>
              <w:t> </w:t>
            </w:r>
            <w:r w:rsidRPr="00634E4C">
              <w:rPr>
                <w:rFonts w:asciiTheme="majorHAnsi" w:hAnsiTheme="majorHAnsi"/>
                <w:sz w:val="18"/>
              </w:rPr>
              <w:t>246</w:t>
            </w:r>
          </w:p>
        </w:tc>
      </w:tr>
      <w:tr w:rsidR="00920B68" w:rsidRPr="00364545" w14:paraId="1642CF8B" w14:textId="77777777" w:rsidTr="00920B68">
        <w:trPr>
          <w:trHeight w:val="342"/>
        </w:trPr>
        <w:tc>
          <w:tcPr>
            <w:tcW w:w="1401" w:type="dxa"/>
            <w:tcBorders>
              <w:top w:val="single" w:sz="2" w:space="0" w:color="000000"/>
              <w:left w:val="single" w:sz="2" w:space="0" w:color="000000"/>
              <w:bottom w:val="single" w:sz="2" w:space="0" w:color="000000"/>
              <w:right w:val="single" w:sz="2" w:space="0" w:color="000000"/>
            </w:tcBorders>
            <w:shd w:val="clear" w:color="auto" w:fill="ECE6E2"/>
          </w:tcPr>
          <w:p w14:paraId="69FC2D64" w14:textId="77777777" w:rsidR="00920B68" w:rsidRPr="00364545" w:rsidRDefault="00920B68" w:rsidP="00920B68">
            <w:pPr>
              <w:spacing w:line="259" w:lineRule="auto"/>
            </w:pPr>
            <w:r w:rsidRPr="00364545">
              <w:rPr>
                <w:sz w:val="18"/>
              </w:rPr>
              <w:t xml:space="preserve">LULUCF </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A663E28"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3226</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F6B3C6E"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3246</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FA0EC5"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3193</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71567FE"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2971</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B435F9A"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3216</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2B7791B"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2944</w:t>
            </w:r>
          </w:p>
        </w:tc>
        <w:tc>
          <w:tcPr>
            <w:tcW w:w="56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3ADB27D"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2867</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9A5294B"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083</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02E11D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085</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26E4428"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082</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39AC7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076</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9932E8"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3</w:t>
            </w:r>
            <w:r w:rsidRPr="005D0955">
              <w:rPr>
                <w:rFonts w:ascii="Calibri" w:hAnsi="Calibri" w:cs="Calibri"/>
                <w:sz w:val="18"/>
                <w:szCs w:val="18"/>
              </w:rPr>
              <w:t> </w:t>
            </w:r>
            <w:r w:rsidRPr="00634E4C">
              <w:rPr>
                <w:rFonts w:asciiTheme="majorHAnsi" w:hAnsiTheme="majorHAnsi"/>
                <w:sz w:val="18"/>
              </w:rPr>
              <w:t>059</w:t>
            </w:r>
          </w:p>
        </w:tc>
      </w:tr>
      <w:tr w:rsidR="00920B68" w:rsidRPr="00364545" w14:paraId="20A978FF" w14:textId="77777777" w:rsidTr="00920B68">
        <w:trPr>
          <w:trHeight w:val="347"/>
        </w:trPr>
        <w:tc>
          <w:tcPr>
            <w:tcW w:w="1401" w:type="dxa"/>
            <w:tcBorders>
              <w:top w:val="single" w:sz="2" w:space="0" w:color="000000"/>
              <w:left w:val="single" w:sz="2" w:space="0" w:color="000000"/>
              <w:bottom w:val="single" w:sz="2" w:space="0" w:color="000000"/>
              <w:right w:val="single" w:sz="2" w:space="0" w:color="000000"/>
            </w:tcBorders>
          </w:tcPr>
          <w:p w14:paraId="1C20B222" w14:textId="77777777" w:rsidR="00920B68" w:rsidRPr="00364545" w:rsidRDefault="00920B68" w:rsidP="00920B68">
            <w:pPr>
              <w:spacing w:line="259" w:lineRule="auto"/>
            </w:pPr>
            <w:r w:rsidRPr="00364545">
              <w:rPr>
                <w:sz w:val="18"/>
              </w:rPr>
              <w:t xml:space="preserve">Waste </w:t>
            </w:r>
          </w:p>
        </w:tc>
        <w:tc>
          <w:tcPr>
            <w:tcW w:w="723" w:type="dxa"/>
            <w:tcBorders>
              <w:top w:val="single" w:sz="2" w:space="0" w:color="000000"/>
              <w:left w:val="single" w:sz="2" w:space="0" w:color="000000"/>
              <w:bottom w:val="single" w:sz="2" w:space="0" w:color="000000"/>
              <w:right w:val="single" w:sz="2" w:space="0" w:color="000000"/>
            </w:tcBorders>
            <w:vAlign w:val="center"/>
          </w:tcPr>
          <w:p w14:paraId="2D5E8364"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771</w:t>
            </w:r>
          </w:p>
        </w:tc>
        <w:tc>
          <w:tcPr>
            <w:tcW w:w="723" w:type="dxa"/>
            <w:tcBorders>
              <w:top w:val="single" w:sz="2" w:space="0" w:color="000000"/>
              <w:left w:val="single" w:sz="2" w:space="0" w:color="000000"/>
              <w:bottom w:val="single" w:sz="2" w:space="0" w:color="000000"/>
              <w:right w:val="single" w:sz="2" w:space="0" w:color="000000"/>
            </w:tcBorders>
            <w:vAlign w:val="center"/>
          </w:tcPr>
          <w:p w14:paraId="1DE36048"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796</w:t>
            </w:r>
          </w:p>
        </w:tc>
        <w:tc>
          <w:tcPr>
            <w:tcW w:w="724" w:type="dxa"/>
            <w:tcBorders>
              <w:top w:val="single" w:sz="2" w:space="0" w:color="000000"/>
              <w:left w:val="single" w:sz="2" w:space="0" w:color="000000"/>
              <w:bottom w:val="single" w:sz="2" w:space="0" w:color="000000"/>
              <w:right w:val="single" w:sz="2" w:space="0" w:color="000000"/>
            </w:tcBorders>
            <w:vAlign w:val="center"/>
          </w:tcPr>
          <w:p w14:paraId="36F1728A"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750</w:t>
            </w:r>
          </w:p>
        </w:tc>
        <w:tc>
          <w:tcPr>
            <w:tcW w:w="725" w:type="dxa"/>
            <w:tcBorders>
              <w:top w:val="single" w:sz="2" w:space="0" w:color="000000"/>
              <w:left w:val="single" w:sz="2" w:space="0" w:color="000000"/>
              <w:bottom w:val="single" w:sz="2" w:space="0" w:color="000000"/>
              <w:right w:val="single" w:sz="2" w:space="0" w:color="000000"/>
            </w:tcBorders>
            <w:vAlign w:val="center"/>
          </w:tcPr>
          <w:p w14:paraId="67C3DD70"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684</w:t>
            </w:r>
          </w:p>
        </w:tc>
        <w:tc>
          <w:tcPr>
            <w:tcW w:w="724" w:type="dxa"/>
            <w:tcBorders>
              <w:top w:val="single" w:sz="2" w:space="0" w:color="000000"/>
              <w:left w:val="single" w:sz="2" w:space="0" w:color="000000"/>
              <w:bottom w:val="single" w:sz="2" w:space="0" w:color="000000"/>
              <w:right w:val="single" w:sz="2" w:space="0" w:color="000000"/>
            </w:tcBorders>
            <w:vAlign w:val="center"/>
          </w:tcPr>
          <w:p w14:paraId="60131290"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661</w:t>
            </w:r>
          </w:p>
        </w:tc>
        <w:tc>
          <w:tcPr>
            <w:tcW w:w="724" w:type="dxa"/>
            <w:tcBorders>
              <w:top w:val="single" w:sz="2" w:space="0" w:color="000000"/>
              <w:left w:val="single" w:sz="2" w:space="0" w:color="000000"/>
              <w:bottom w:val="single" w:sz="2" w:space="0" w:color="000000"/>
              <w:right w:val="single" w:sz="2" w:space="0" w:color="000000"/>
            </w:tcBorders>
            <w:vAlign w:val="center"/>
          </w:tcPr>
          <w:p w14:paraId="56BC0856" w14:textId="77777777" w:rsidR="00920B68" w:rsidRPr="00634E4C" w:rsidRDefault="00920B68" w:rsidP="00920B68">
            <w:pPr>
              <w:spacing w:line="259" w:lineRule="auto"/>
              <w:ind w:left="14"/>
              <w:jc w:val="center"/>
              <w:rPr>
                <w:rFonts w:asciiTheme="majorHAnsi" w:hAnsiTheme="majorHAnsi"/>
                <w:sz w:val="18"/>
              </w:rPr>
            </w:pPr>
            <w:r w:rsidRPr="005D0955">
              <w:rPr>
                <w:rFonts w:asciiTheme="majorHAnsi" w:hAnsiTheme="majorHAnsi"/>
                <w:sz w:val="18"/>
                <w:szCs w:val="18"/>
              </w:rPr>
              <w:t>610</w:t>
            </w:r>
          </w:p>
        </w:tc>
        <w:tc>
          <w:tcPr>
            <w:tcW w:w="568" w:type="dxa"/>
            <w:tcBorders>
              <w:top w:val="single" w:sz="2" w:space="0" w:color="000000"/>
              <w:left w:val="single" w:sz="2" w:space="0" w:color="000000"/>
              <w:bottom w:val="single" w:sz="2" w:space="0" w:color="000000"/>
              <w:right w:val="single" w:sz="2" w:space="0" w:color="000000"/>
            </w:tcBorders>
            <w:vAlign w:val="center"/>
          </w:tcPr>
          <w:p w14:paraId="0698A5E9" w14:textId="77777777" w:rsidR="00920B68" w:rsidRPr="005D0955" w:rsidRDefault="00920B68" w:rsidP="00920B68">
            <w:pPr>
              <w:spacing w:line="259" w:lineRule="auto"/>
              <w:ind w:left="14"/>
              <w:jc w:val="center"/>
              <w:rPr>
                <w:rFonts w:asciiTheme="majorHAnsi" w:hAnsiTheme="majorHAnsi"/>
                <w:sz w:val="18"/>
                <w:szCs w:val="18"/>
              </w:rPr>
            </w:pPr>
            <w:r w:rsidRPr="005D0955">
              <w:rPr>
                <w:rFonts w:asciiTheme="majorHAnsi" w:hAnsiTheme="majorHAnsi"/>
                <w:sz w:val="18"/>
                <w:szCs w:val="18"/>
              </w:rPr>
              <w:t>597</w:t>
            </w:r>
          </w:p>
        </w:tc>
        <w:tc>
          <w:tcPr>
            <w:tcW w:w="724" w:type="dxa"/>
            <w:tcBorders>
              <w:top w:val="single" w:sz="2" w:space="0" w:color="000000"/>
              <w:left w:val="single" w:sz="2" w:space="0" w:color="000000"/>
              <w:bottom w:val="single" w:sz="2" w:space="0" w:color="000000"/>
              <w:right w:val="single" w:sz="2" w:space="0" w:color="000000"/>
            </w:tcBorders>
            <w:vAlign w:val="center"/>
          </w:tcPr>
          <w:p w14:paraId="292186E1"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773</w:t>
            </w:r>
          </w:p>
        </w:tc>
        <w:tc>
          <w:tcPr>
            <w:tcW w:w="725" w:type="dxa"/>
            <w:tcBorders>
              <w:top w:val="single" w:sz="2" w:space="0" w:color="000000"/>
              <w:left w:val="single" w:sz="2" w:space="0" w:color="000000"/>
              <w:bottom w:val="single" w:sz="2" w:space="0" w:color="000000"/>
              <w:right w:val="single" w:sz="2" w:space="0" w:color="000000"/>
            </w:tcBorders>
            <w:vAlign w:val="center"/>
          </w:tcPr>
          <w:p w14:paraId="0640382A"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828</w:t>
            </w:r>
          </w:p>
        </w:tc>
        <w:tc>
          <w:tcPr>
            <w:tcW w:w="724" w:type="dxa"/>
            <w:tcBorders>
              <w:top w:val="single" w:sz="2" w:space="0" w:color="000000"/>
              <w:left w:val="single" w:sz="2" w:space="0" w:color="000000"/>
              <w:bottom w:val="single" w:sz="2" w:space="0" w:color="000000"/>
              <w:right w:val="single" w:sz="2" w:space="0" w:color="000000"/>
            </w:tcBorders>
            <w:vAlign w:val="center"/>
          </w:tcPr>
          <w:p w14:paraId="68B74F3D"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837</w:t>
            </w:r>
          </w:p>
        </w:tc>
        <w:tc>
          <w:tcPr>
            <w:tcW w:w="724" w:type="dxa"/>
            <w:tcBorders>
              <w:top w:val="single" w:sz="2" w:space="0" w:color="000000"/>
              <w:left w:val="single" w:sz="2" w:space="0" w:color="000000"/>
              <w:bottom w:val="single" w:sz="2" w:space="0" w:color="000000"/>
              <w:right w:val="single" w:sz="2" w:space="0" w:color="000000"/>
            </w:tcBorders>
            <w:vAlign w:val="center"/>
          </w:tcPr>
          <w:p w14:paraId="5B67C8E6"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827</w:t>
            </w:r>
          </w:p>
        </w:tc>
        <w:tc>
          <w:tcPr>
            <w:tcW w:w="725" w:type="dxa"/>
            <w:tcBorders>
              <w:top w:val="single" w:sz="2" w:space="0" w:color="000000"/>
              <w:left w:val="single" w:sz="2" w:space="0" w:color="000000"/>
              <w:bottom w:val="single" w:sz="2" w:space="0" w:color="000000"/>
              <w:right w:val="single" w:sz="2" w:space="0" w:color="000000"/>
            </w:tcBorders>
            <w:vAlign w:val="center"/>
          </w:tcPr>
          <w:p w14:paraId="3793156B" w14:textId="77777777" w:rsidR="00920B68" w:rsidRPr="00634E4C" w:rsidRDefault="00920B68" w:rsidP="00920B68">
            <w:pPr>
              <w:spacing w:line="259" w:lineRule="auto"/>
              <w:ind w:left="14"/>
              <w:jc w:val="center"/>
              <w:rPr>
                <w:rFonts w:asciiTheme="majorHAnsi" w:hAnsiTheme="majorHAnsi"/>
                <w:sz w:val="18"/>
              </w:rPr>
            </w:pPr>
            <w:r w:rsidRPr="00634E4C">
              <w:rPr>
                <w:rFonts w:asciiTheme="majorHAnsi" w:hAnsiTheme="majorHAnsi"/>
                <w:sz w:val="18"/>
              </w:rPr>
              <w:t>798</w:t>
            </w:r>
          </w:p>
        </w:tc>
      </w:tr>
      <w:tr w:rsidR="00920B68" w:rsidRPr="00364545" w14:paraId="6B1C8B30" w14:textId="77777777" w:rsidTr="00920B68">
        <w:trPr>
          <w:trHeight w:val="344"/>
        </w:trPr>
        <w:tc>
          <w:tcPr>
            <w:tcW w:w="1401" w:type="dxa"/>
            <w:tcBorders>
              <w:top w:val="single" w:sz="2" w:space="0" w:color="000000"/>
              <w:left w:val="single" w:sz="2" w:space="0" w:color="000000"/>
              <w:bottom w:val="single" w:sz="2" w:space="0" w:color="000000"/>
              <w:right w:val="single" w:sz="2" w:space="0" w:color="000000"/>
            </w:tcBorders>
            <w:shd w:val="clear" w:color="auto" w:fill="ECE6E2"/>
          </w:tcPr>
          <w:p w14:paraId="2093A149" w14:textId="77777777" w:rsidR="00920B68" w:rsidRPr="00364545" w:rsidRDefault="00920B68" w:rsidP="00920B68">
            <w:pPr>
              <w:spacing w:line="259" w:lineRule="auto"/>
            </w:pPr>
            <w:r w:rsidRPr="00364545">
              <w:rPr>
                <w:b/>
                <w:sz w:val="18"/>
              </w:rPr>
              <w:t xml:space="preserve">Ensemble (hors UTCF) </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A9F2E68"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64725</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7C43129"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65937</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9EC285"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53681</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1992CE0"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46307</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C5B6EEE"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40478</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BB8D54"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39895</w:t>
            </w:r>
          </w:p>
        </w:tc>
        <w:tc>
          <w:tcPr>
            <w:tcW w:w="56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829CCCC" w14:textId="77777777" w:rsidR="00920B68" w:rsidRPr="005D0955" w:rsidRDefault="00920B68" w:rsidP="00920B68">
            <w:pPr>
              <w:spacing w:line="259" w:lineRule="auto"/>
              <w:ind w:left="14"/>
              <w:jc w:val="center"/>
              <w:rPr>
                <w:rFonts w:asciiTheme="majorHAnsi" w:hAnsiTheme="majorHAnsi"/>
                <w:b/>
                <w:sz w:val="18"/>
                <w:szCs w:val="18"/>
              </w:rPr>
            </w:pPr>
            <w:r w:rsidRPr="005D0955">
              <w:rPr>
                <w:rFonts w:asciiTheme="majorHAnsi" w:hAnsiTheme="majorHAnsi"/>
                <w:sz w:val="18"/>
                <w:szCs w:val="18"/>
              </w:rPr>
              <w:t>38071</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6A27C8F"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40</w:t>
            </w:r>
            <w:r w:rsidRPr="005D0955">
              <w:rPr>
                <w:rFonts w:ascii="Calibri" w:hAnsi="Calibri" w:cs="Calibri"/>
                <w:b/>
                <w:sz w:val="18"/>
                <w:szCs w:val="18"/>
              </w:rPr>
              <w:t> </w:t>
            </w:r>
            <w:r w:rsidRPr="00634E4C">
              <w:rPr>
                <w:rFonts w:asciiTheme="majorHAnsi" w:hAnsiTheme="majorHAnsi"/>
                <w:b/>
                <w:sz w:val="18"/>
              </w:rPr>
              <w:t>268</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2915A9C"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37</w:t>
            </w:r>
            <w:r w:rsidRPr="005D0955">
              <w:rPr>
                <w:rFonts w:ascii="Calibri" w:hAnsi="Calibri" w:cs="Calibri"/>
                <w:b/>
                <w:sz w:val="18"/>
                <w:szCs w:val="18"/>
              </w:rPr>
              <w:t> </w:t>
            </w:r>
            <w:r w:rsidRPr="00634E4C">
              <w:rPr>
                <w:rFonts w:asciiTheme="majorHAnsi" w:hAnsiTheme="majorHAnsi"/>
                <w:b/>
                <w:sz w:val="18"/>
              </w:rPr>
              <w:t>693</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D4DD249"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35</w:t>
            </w:r>
            <w:r w:rsidRPr="005D0955">
              <w:rPr>
                <w:rFonts w:ascii="Calibri" w:hAnsi="Calibri" w:cs="Calibri"/>
                <w:b/>
                <w:sz w:val="18"/>
                <w:szCs w:val="18"/>
              </w:rPr>
              <w:t> </w:t>
            </w:r>
            <w:r w:rsidRPr="00634E4C">
              <w:rPr>
                <w:rFonts w:asciiTheme="majorHAnsi" w:hAnsiTheme="majorHAnsi"/>
                <w:b/>
                <w:sz w:val="18"/>
              </w:rPr>
              <w:t>559</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D891C86"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33</w:t>
            </w:r>
            <w:r w:rsidRPr="005D0955">
              <w:rPr>
                <w:rFonts w:ascii="Calibri" w:hAnsi="Calibri" w:cs="Calibri"/>
                <w:b/>
                <w:sz w:val="18"/>
                <w:szCs w:val="18"/>
              </w:rPr>
              <w:t> </w:t>
            </w:r>
            <w:r w:rsidRPr="00634E4C">
              <w:rPr>
                <w:rFonts w:asciiTheme="majorHAnsi" w:hAnsiTheme="majorHAnsi"/>
                <w:b/>
                <w:sz w:val="18"/>
              </w:rPr>
              <w:t>721</w:t>
            </w:r>
          </w:p>
        </w:tc>
        <w:tc>
          <w:tcPr>
            <w:tcW w:w="7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01830FF"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22</w:t>
            </w:r>
            <w:r w:rsidRPr="005D0955">
              <w:rPr>
                <w:rFonts w:ascii="Calibri" w:hAnsi="Calibri" w:cs="Calibri"/>
                <w:b/>
                <w:sz w:val="18"/>
                <w:szCs w:val="18"/>
              </w:rPr>
              <w:t> </w:t>
            </w:r>
            <w:r w:rsidRPr="00634E4C">
              <w:rPr>
                <w:rFonts w:asciiTheme="majorHAnsi" w:hAnsiTheme="majorHAnsi"/>
                <w:b/>
                <w:sz w:val="18"/>
              </w:rPr>
              <w:t>856</w:t>
            </w:r>
          </w:p>
        </w:tc>
      </w:tr>
      <w:tr w:rsidR="00920B68" w:rsidRPr="00364545" w14:paraId="10646A8B" w14:textId="77777777" w:rsidTr="00920B68">
        <w:trPr>
          <w:trHeight w:val="346"/>
        </w:trPr>
        <w:tc>
          <w:tcPr>
            <w:tcW w:w="1401" w:type="dxa"/>
            <w:tcBorders>
              <w:top w:val="single" w:sz="2" w:space="0" w:color="000000"/>
              <w:left w:val="single" w:sz="2" w:space="0" w:color="000000"/>
              <w:bottom w:val="single" w:sz="2" w:space="0" w:color="000000"/>
              <w:right w:val="single" w:sz="2" w:space="0" w:color="000000"/>
            </w:tcBorders>
          </w:tcPr>
          <w:p w14:paraId="4114A7A6" w14:textId="77777777" w:rsidR="00920B68" w:rsidRPr="00364545" w:rsidRDefault="00920B68" w:rsidP="00920B68">
            <w:pPr>
              <w:spacing w:line="259" w:lineRule="auto"/>
            </w:pPr>
            <w:r w:rsidRPr="00364545">
              <w:rPr>
                <w:b/>
                <w:sz w:val="18"/>
              </w:rPr>
              <w:t xml:space="preserve">Ensemble (avec UTCF) </w:t>
            </w:r>
          </w:p>
        </w:tc>
        <w:tc>
          <w:tcPr>
            <w:tcW w:w="723" w:type="dxa"/>
            <w:tcBorders>
              <w:top w:val="single" w:sz="2" w:space="0" w:color="000000"/>
              <w:left w:val="single" w:sz="2" w:space="0" w:color="000000"/>
              <w:bottom w:val="single" w:sz="2" w:space="0" w:color="000000"/>
              <w:right w:val="single" w:sz="2" w:space="0" w:color="000000"/>
            </w:tcBorders>
            <w:vAlign w:val="center"/>
          </w:tcPr>
          <w:p w14:paraId="507064D8"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67951</w:t>
            </w:r>
          </w:p>
        </w:tc>
        <w:tc>
          <w:tcPr>
            <w:tcW w:w="723" w:type="dxa"/>
            <w:tcBorders>
              <w:top w:val="single" w:sz="2" w:space="0" w:color="000000"/>
              <w:left w:val="single" w:sz="2" w:space="0" w:color="000000"/>
              <w:bottom w:val="single" w:sz="2" w:space="0" w:color="000000"/>
              <w:right w:val="single" w:sz="2" w:space="0" w:color="000000"/>
            </w:tcBorders>
            <w:vAlign w:val="center"/>
          </w:tcPr>
          <w:p w14:paraId="02D98EA2"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69183</w:t>
            </w:r>
          </w:p>
        </w:tc>
        <w:tc>
          <w:tcPr>
            <w:tcW w:w="724" w:type="dxa"/>
            <w:tcBorders>
              <w:top w:val="single" w:sz="2" w:space="0" w:color="000000"/>
              <w:left w:val="single" w:sz="2" w:space="0" w:color="000000"/>
              <w:bottom w:val="single" w:sz="2" w:space="0" w:color="000000"/>
              <w:right w:val="single" w:sz="2" w:space="0" w:color="000000"/>
            </w:tcBorders>
            <w:vAlign w:val="center"/>
          </w:tcPr>
          <w:p w14:paraId="6F41A05C"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56873</w:t>
            </w:r>
          </w:p>
        </w:tc>
        <w:tc>
          <w:tcPr>
            <w:tcW w:w="725" w:type="dxa"/>
            <w:tcBorders>
              <w:top w:val="single" w:sz="2" w:space="0" w:color="000000"/>
              <w:left w:val="single" w:sz="2" w:space="0" w:color="000000"/>
              <w:bottom w:val="single" w:sz="2" w:space="0" w:color="000000"/>
              <w:right w:val="single" w:sz="2" w:space="0" w:color="000000"/>
            </w:tcBorders>
            <w:vAlign w:val="center"/>
          </w:tcPr>
          <w:p w14:paraId="43B1DC84"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49279</w:t>
            </w:r>
          </w:p>
        </w:tc>
        <w:tc>
          <w:tcPr>
            <w:tcW w:w="724" w:type="dxa"/>
            <w:tcBorders>
              <w:top w:val="single" w:sz="2" w:space="0" w:color="000000"/>
              <w:left w:val="single" w:sz="2" w:space="0" w:color="000000"/>
              <w:bottom w:val="single" w:sz="2" w:space="0" w:color="000000"/>
              <w:right w:val="single" w:sz="2" w:space="0" w:color="000000"/>
            </w:tcBorders>
            <w:vAlign w:val="center"/>
          </w:tcPr>
          <w:p w14:paraId="19657E82"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43694</w:t>
            </w:r>
          </w:p>
        </w:tc>
        <w:tc>
          <w:tcPr>
            <w:tcW w:w="724" w:type="dxa"/>
            <w:tcBorders>
              <w:top w:val="single" w:sz="2" w:space="0" w:color="000000"/>
              <w:left w:val="single" w:sz="2" w:space="0" w:color="000000"/>
              <w:bottom w:val="single" w:sz="2" w:space="0" w:color="000000"/>
              <w:right w:val="single" w:sz="2" w:space="0" w:color="000000"/>
            </w:tcBorders>
            <w:vAlign w:val="center"/>
          </w:tcPr>
          <w:p w14:paraId="65B310CC" w14:textId="77777777" w:rsidR="00920B68" w:rsidRPr="00634E4C" w:rsidRDefault="00920B68" w:rsidP="00920B68">
            <w:pPr>
              <w:spacing w:line="259" w:lineRule="auto"/>
              <w:ind w:left="14"/>
              <w:jc w:val="center"/>
              <w:rPr>
                <w:rFonts w:asciiTheme="majorHAnsi" w:hAnsiTheme="majorHAnsi"/>
                <w:b/>
                <w:sz w:val="18"/>
              </w:rPr>
            </w:pPr>
            <w:r w:rsidRPr="005D0955">
              <w:rPr>
                <w:rFonts w:asciiTheme="majorHAnsi" w:hAnsiTheme="majorHAnsi"/>
                <w:sz w:val="18"/>
                <w:szCs w:val="18"/>
              </w:rPr>
              <w:t>42840</w:t>
            </w:r>
          </w:p>
        </w:tc>
        <w:tc>
          <w:tcPr>
            <w:tcW w:w="568" w:type="dxa"/>
            <w:tcBorders>
              <w:top w:val="single" w:sz="2" w:space="0" w:color="000000"/>
              <w:left w:val="single" w:sz="2" w:space="0" w:color="000000"/>
              <w:bottom w:val="single" w:sz="2" w:space="0" w:color="000000"/>
              <w:right w:val="single" w:sz="2" w:space="0" w:color="000000"/>
            </w:tcBorders>
            <w:vAlign w:val="center"/>
          </w:tcPr>
          <w:p w14:paraId="21985E91" w14:textId="77777777" w:rsidR="00920B68" w:rsidRPr="005D0955" w:rsidRDefault="00920B68" w:rsidP="00920B68">
            <w:pPr>
              <w:spacing w:line="259" w:lineRule="auto"/>
              <w:ind w:left="14"/>
              <w:jc w:val="center"/>
              <w:rPr>
                <w:rFonts w:asciiTheme="majorHAnsi" w:hAnsiTheme="majorHAnsi"/>
                <w:b/>
                <w:sz w:val="18"/>
                <w:szCs w:val="18"/>
              </w:rPr>
            </w:pPr>
            <w:r w:rsidRPr="005D0955">
              <w:rPr>
                <w:rFonts w:asciiTheme="majorHAnsi" w:hAnsiTheme="majorHAnsi"/>
                <w:sz w:val="18"/>
                <w:szCs w:val="18"/>
              </w:rPr>
              <w:t>40939</w:t>
            </w:r>
          </w:p>
        </w:tc>
        <w:tc>
          <w:tcPr>
            <w:tcW w:w="724" w:type="dxa"/>
            <w:tcBorders>
              <w:top w:val="single" w:sz="2" w:space="0" w:color="000000"/>
              <w:left w:val="single" w:sz="2" w:space="0" w:color="000000"/>
              <w:bottom w:val="single" w:sz="2" w:space="0" w:color="000000"/>
              <w:right w:val="single" w:sz="2" w:space="0" w:color="000000"/>
            </w:tcBorders>
            <w:vAlign w:val="center"/>
          </w:tcPr>
          <w:p w14:paraId="6D70AF33"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43</w:t>
            </w:r>
            <w:r w:rsidRPr="005D0955">
              <w:rPr>
                <w:rFonts w:ascii="Calibri" w:hAnsi="Calibri" w:cs="Calibri"/>
                <w:b/>
                <w:sz w:val="18"/>
                <w:szCs w:val="18"/>
              </w:rPr>
              <w:t> </w:t>
            </w:r>
            <w:r w:rsidRPr="00634E4C">
              <w:rPr>
                <w:rFonts w:asciiTheme="majorHAnsi" w:hAnsiTheme="majorHAnsi"/>
                <w:b/>
                <w:sz w:val="18"/>
              </w:rPr>
              <w:t>352</w:t>
            </w:r>
          </w:p>
        </w:tc>
        <w:tc>
          <w:tcPr>
            <w:tcW w:w="725" w:type="dxa"/>
            <w:tcBorders>
              <w:top w:val="single" w:sz="2" w:space="0" w:color="000000"/>
              <w:left w:val="single" w:sz="2" w:space="0" w:color="000000"/>
              <w:bottom w:val="single" w:sz="2" w:space="0" w:color="000000"/>
              <w:right w:val="single" w:sz="2" w:space="0" w:color="000000"/>
            </w:tcBorders>
            <w:vAlign w:val="center"/>
          </w:tcPr>
          <w:p w14:paraId="16FE1F28"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40</w:t>
            </w:r>
            <w:r w:rsidRPr="005D0955">
              <w:rPr>
                <w:rFonts w:ascii="Calibri" w:hAnsi="Calibri" w:cs="Calibri"/>
                <w:b/>
                <w:sz w:val="18"/>
                <w:szCs w:val="18"/>
              </w:rPr>
              <w:t> </w:t>
            </w:r>
            <w:r w:rsidRPr="00634E4C">
              <w:rPr>
                <w:rFonts w:asciiTheme="majorHAnsi" w:hAnsiTheme="majorHAnsi"/>
                <w:b/>
                <w:sz w:val="18"/>
              </w:rPr>
              <w:t>778</w:t>
            </w:r>
          </w:p>
        </w:tc>
        <w:tc>
          <w:tcPr>
            <w:tcW w:w="724" w:type="dxa"/>
            <w:tcBorders>
              <w:top w:val="single" w:sz="2" w:space="0" w:color="000000"/>
              <w:left w:val="single" w:sz="2" w:space="0" w:color="000000"/>
              <w:bottom w:val="single" w:sz="2" w:space="0" w:color="000000"/>
              <w:right w:val="single" w:sz="2" w:space="0" w:color="000000"/>
            </w:tcBorders>
            <w:vAlign w:val="center"/>
          </w:tcPr>
          <w:p w14:paraId="2DFDFD1A"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38</w:t>
            </w:r>
            <w:r w:rsidRPr="005D0955">
              <w:rPr>
                <w:rFonts w:ascii="Calibri" w:hAnsi="Calibri" w:cs="Calibri"/>
                <w:b/>
                <w:sz w:val="18"/>
                <w:szCs w:val="18"/>
              </w:rPr>
              <w:t> </w:t>
            </w:r>
            <w:r w:rsidRPr="00634E4C">
              <w:rPr>
                <w:rFonts w:asciiTheme="majorHAnsi" w:hAnsiTheme="majorHAnsi"/>
                <w:b/>
                <w:sz w:val="18"/>
              </w:rPr>
              <w:t>641</w:t>
            </w:r>
          </w:p>
        </w:tc>
        <w:tc>
          <w:tcPr>
            <w:tcW w:w="724" w:type="dxa"/>
            <w:tcBorders>
              <w:top w:val="single" w:sz="2" w:space="0" w:color="000000"/>
              <w:left w:val="single" w:sz="2" w:space="0" w:color="000000"/>
              <w:bottom w:val="single" w:sz="2" w:space="0" w:color="000000"/>
              <w:right w:val="single" w:sz="2" w:space="0" w:color="000000"/>
            </w:tcBorders>
            <w:vAlign w:val="center"/>
          </w:tcPr>
          <w:p w14:paraId="03E3916F"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36</w:t>
            </w:r>
            <w:r w:rsidRPr="005D0955">
              <w:rPr>
                <w:rFonts w:ascii="Calibri" w:hAnsi="Calibri" w:cs="Calibri"/>
                <w:b/>
                <w:sz w:val="18"/>
                <w:szCs w:val="18"/>
              </w:rPr>
              <w:t> </w:t>
            </w:r>
            <w:r w:rsidRPr="00634E4C">
              <w:rPr>
                <w:rFonts w:asciiTheme="majorHAnsi" w:hAnsiTheme="majorHAnsi"/>
                <w:b/>
                <w:sz w:val="18"/>
              </w:rPr>
              <w:t>797</w:t>
            </w:r>
          </w:p>
        </w:tc>
        <w:tc>
          <w:tcPr>
            <w:tcW w:w="725" w:type="dxa"/>
            <w:tcBorders>
              <w:top w:val="single" w:sz="2" w:space="0" w:color="000000"/>
              <w:left w:val="single" w:sz="2" w:space="0" w:color="000000"/>
              <w:bottom w:val="single" w:sz="2" w:space="0" w:color="000000"/>
              <w:right w:val="single" w:sz="2" w:space="0" w:color="000000"/>
            </w:tcBorders>
            <w:vAlign w:val="center"/>
          </w:tcPr>
          <w:p w14:paraId="4C4F11A3" w14:textId="77777777" w:rsidR="00920B68" w:rsidRPr="00634E4C" w:rsidRDefault="00920B68" w:rsidP="00920B68">
            <w:pPr>
              <w:spacing w:line="259" w:lineRule="auto"/>
              <w:ind w:left="14"/>
              <w:jc w:val="center"/>
              <w:rPr>
                <w:rFonts w:asciiTheme="majorHAnsi" w:hAnsiTheme="majorHAnsi"/>
                <w:b/>
                <w:sz w:val="18"/>
              </w:rPr>
            </w:pPr>
            <w:r w:rsidRPr="00634E4C">
              <w:rPr>
                <w:rFonts w:asciiTheme="majorHAnsi" w:hAnsiTheme="majorHAnsi"/>
                <w:b/>
                <w:sz w:val="18"/>
              </w:rPr>
              <w:t>25</w:t>
            </w:r>
            <w:r w:rsidRPr="005D0955">
              <w:rPr>
                <w:rFonts w:ascii="Calibri" w:hAnsi="Calibri" w:cs="Calibri"/>
                <w:b/>
                <w:sz w:val="18"/>
                <w:szCs w:val="18"/>
              </w:rPr>
              <w:t> </w:t>
            </w:r>
            <w:r w:rsidRPr="00634E4C">
              <w:rPr>
                <w:rFonts w:asciiTheme="majorHAnsi" w:hAnsiTheme="majorHAnsi"/>
                <w:b/>
                <w:sz w:val="18"/>
              </w:rPr>
              <w:t>914</w:t>
            </w:r>
          </w:p>
        </w:tc>
      </w:tr>
    </w:tbl>
    <w:p w14:paraId="7757FF2E" w14:textId="77777777" w:rsidR="00920B68" w:rsidRPr="00364545" w:rsidRDefault="00920B68" w:rsidP="00920B68">
      <w:pPr>
        <w:pStyle w:val="Caption"/>
      </w:pPr>
      <w:r w:rsidRPr="00364545">
        <w:t xml:space="preserve">Table </w:t>
      </w:r>
      <w:fldSimple w:instr=" SEQ Tableau \* ARABIC ">
        <w:r w:rsidRPr="00364545">
          <w:rPr>
            <w:noProof/>
          </w:rPr>
          <w:t>28</w:t>
        </w:r>
      </w:fldSimple>
      <w:r w:rsidRPr="00364545">
        <w:t>: N</w:t>
      </w:r>
      <w:r w:rsidRPr="00364545">
        <w:rPr>
          <w:vertAlign w:val="subscript"/>
        </w:rPr>
        <w:t>2</w:t>
      </w:r>
      <w:r w:rsidRPr="00364545">
        <w:t>O emissions projections (in ktCO</w:t>
      </w:r>
      <w:r w:rsidRPr="00364545">
        <w:rPr>
          <w:vertAlign w:val="subscript"/>
        </w:rPr>
        <w:t>2e</w:t>
      </w:r>
      <w:r w:rsidRPr="00364545">
        <w:t>) in the Kyoto scope in the AMS 2018 scenario (with additional measures)</w:t>
      </w:r>
    </w:p>
    <w:p w14:paraId="05E579C1" w14:textId="77777777" w:rsidR="00920B68" w:rsidRPr="00364545" w:rsidRDefault="00920B68" w:rsidP="00920B68">
      <w:pPr>
        <w:pStyle w:val="Caption"/>
      </w:pPr>
      <w:r w:rsidRPr="00364545">
        <w:t>Source: UN</w:t>
      </w:r>
      <w:r>
        <w:t>FCCC inventory, Citepa/MTE, 2022</w:t>
      </w:r>
      <w:r w:rsidRPr="00364545">
        <w:t xml:space="preserve"> submission and MTE emission projections, 2018</w:t>
      </w:r>
    </w:p>
    <w:p w14:paraId="4F7CA645" w14:textId="77777777" w:rsidR="00920B68" w:rsidRPr="00364545" w:rsidRDefault="00920B68" w:rsidP="00920B68"/>
    <w:p w14:paraId="7C039801" w14:textId="77777777" w:rsidR="00920B68" w:rsidRPr="00364545" w:rsidRDefault="00920B68" w:rsidP="00920B68"/>
    <w:tbl>
      <w:tblPr>
        <w:tblStyle w:val="TableGrid0"/>
        <w:tblW w:w="9934" w:type="dxa"/>
        <w:tblInd w:w="10" w:type="dxa"/>
        <w:tblCellMar>
          <w:top w:w="39" w:type="dxa"/>
          <w:left w:w="28" w:type="dxa"/>
          <w:bottom w:w="2" w:type="dxa"/>
        </w:tblCellMar>
        <w:tblLook w:val="04A0" w:firstRow="1" w:lastRow="0" w:firstColumn="1" w:lastColumn="0" w:noHBand="0" w:noVBand="1"/>
      </w:tblPr>
      <w:tblGrid>
        <w:gridCol w:w="1323"/>
        <w:gridCol w:w="724"/>
        <w:gridCol w:w="713"/>
        <w:gridCol w:w="718"/>
        <w:gridCol w:w="740"/>
        <w:gridCol w:w="740"/>
        <w:gridCol w:w="736"/>
        <w:gridCol w:w="622"/>
        <w:gridCol w:w="735"/>
        <w:gridCol w:w="723"/>
        <w:gridCol w:w="718"/>
        <w:gridCol w:w="723"/>
        <w:gridCol w:w="719"/>
      </w:tblGrid>
      <w:tr w:rsidR="00920B68" w:rsidRPr="00364545" w14:paraId="218B294E" w14:textId="77777777" w:rsidTr="00920B68">
        <w:trPr>
          <w:trHeight w:val="402"/>
        </w:trPr>
        <w:tc>
          <w:tcPr>
            <w:tcW w:w="1323" w:type="dxa"/>
            <w:tcBorders>
              <w:top w:val="single" w:sz="2" w:space="0" w:color="000000"/>
              <w:left w:val="single" w:sz="2" w:space="0" w:color="000000"/>
              <w:bottom w:val="single" w:sz="2" w:space="0" w:color="000000"/>
              <w:right w:val="single" w:sz="2" w:space="0" w:color="000000"/>
            </w:tcBorders>
            <w:shd w:val="clear" w:color="auto" w:fill="6D2A78"/>
          </w:tcPr>
          <w:p w14:paraId="30EB50A1" w14:textId="77777777" w:rsidR="00920B68" w:rsidRPr="00364545" w:rsidRDefault="00920B68" w:rsidP="00920B68">
            <w:pPr>
              <w:spacing w:line="259" w:lineRule="auto"/>
            </w:pPr>
            <w:r w:rsidRPr="00364545">
              <w:t>AMS 18 - HFC</w:t>
            </w:r>
          </w:p>
        </w:tc>
        <w:tc>
          <w:tcPr>
            <w:tcW w:w="724"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4E810A7A" w14:textId="77777777" w:rsidR="00920B68" w:rsidRPr="00364545" w:rsidRDefault="00920B68" w:rsidP="00920B68">
            <w:pPr>
              <w:spacing w:line="259" w:lineRule="auto"/>
              <w:ind w:right="30"/>
              <w:jc w:val="center"/>
            </w:pPr>
            <w:r w:rsidRPr="00364545">
              <w:rPr>
                <w:b/>
                <w:color w:val="FFFFFF"/>
                <w:sz w:val="18"/>
              </w:rPr>
              <w:t>1990</w:t>
            </w:r>
          </w:p>
        </w:tc>
        <w:tc>
          <w:tcPr>
            <w:tcW w:w="713"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477BC9EE" w14:textId="77777777" w:rsidR="00920B68" w:rsidRPr="00364545" w:rsidRDefault="00920B68" w:rsidP="00920B68">
            <w:pPr>
              <w:spacing w:line="259" w:lineRule="auto"/>
              <w:ind w:right="27"/>
              <w:jc w:val="center"/>
              <w:rPr>
                <w:b/>
                <w:color w:val="FFFFFF"/>
                <w:sz w:val="18"/>
              </w:rPr>
            </w:pPr>
            <w:r w:rsidRPr="00364545">
              <w:rPr>
                <w:b/>
                <w:color w:val="FFFFFF"/>
                <w:sz w:val="18"/>
              </w:rPr>
              <w:t>1995</w:t>
            </w:r>
          </w:p>
        </w:tc>
        <w:tc>
          <w:tcPr>
            <w:tcW w:w="718"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2FE809B" w14:textId="77777777" w:rsidR="00920B68" w:rsidRPr="00364545" w:rsidRDefault="00920B68" w:rsidP="00920B68">
            <w:pPr>
              <w:spacing w:line="259" w:lineRule="auto"/>
              <w:ind w:right="27"/>
              <w:jc w:val="center"/>
            </w:pPr>
            <w:r w:rsidRPr="00364545">
              <w:rPr>
                <w:b/>
                <w:color w:val="FFFFFF"/>
                <w:sz w:val="18"/>
              </w:rPr>
              <w:t>2000</w:t>
            </w:r>
          </w:p>
        </w:tc>
        <w:tc>
          <w:tcPr>
            <w:tcW w:w="740"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898AFA6" w14:textId="77777777" w:rsidR="00920B68" w:rsidRPr="00364545" w:rsidRDefault="00920B68" w:rsidP="00920B68">
            <w:pPr>
              <w:spacing w:line="259" w:lineRule="auto"/>
              <w:ind w:right="30"/>
              <w:jc w:val="center"/>
            </w:pPr>
            <w:r w:rsidRPr="00364545">
              <w:rPr>
                <w:b/>
                <w:color w:val="FFFFFF"/>
                <w:sz w:val="18"/>
              </w:rPr>
              <w:t>2005</w:t>
            </w:r>
          </w:p>
        </w:tc>
        <w:tc>
          <w:tcPr>
            <w:tcW w:w="740"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0497382B" w14:textId="77777777" w:rsidR="00920B68" w:rsidRPr="00364545" w:rsidRDefault="00920B68" w:rsidP="00920B68">
            <w:pPr>
              <w:spacing w:line="259" w:lineRule="auto"/>
              <w:ind w:right="27"/>
              <w:jc w:val="center"/>
            </w:pPr>
            <w:r w:rsidRPr="00364545">
              <w:rPr>
                <w:b/>
                <w:color w:val="FFFFFF"/>
                <w:sz w:val="18"/>
              </w:rPr>
              <w:t>2010</w:t>
            </w:r>
          </w:p>
        </w:tc>
        <w:tc>
          <w:tcPr>
            <w:tcW w:w="736"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38527A53" w14:textId="77777777" w:rsidR="00920B68" w:rsidRPr="00364545" w:rsidRDefault="00920B68" w:rsidP="00920B68">
            <w:pPr>
              <w:spacing w:line="259" w:lineRule="auto"/>
              <w:ind w:right="30"/>
              <w:jc w:val="center"/>
            </w:pPr>
            <w:r w:rsidRPr="00364545">
              <w:rPr>
                <w:b/>
                <w:color w:val="FFFFFF"/>
                <w:sz w:val="18"/>
              </w:rPr>
              <w:t>2015</w:t>
            </w:r>
          </w:p>
        </w:tc>
        <w:tc>
          <w:tcPr>
            <w:tcW w:w="622"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4F2B9E8A" w14:textId="77777777" w:rsidR="00920B68" w:rsidRPr="00364545" w:rsidRDefault="00920B68" w:rsidP="00920B68">
            <w:pPr>
              <w:spacing w:line="259" w:lineRule="auto"/>
              <w:ind w:right="27"/>
              <w:jc w:val="center"/>
              <w:rPr>
                <w:b/>
                <w:color w:val="FFFFFF"/>
                <w:sz w:val="18"/>
              </w:rPr>
            </w:pPr>
            <w:r>
              <w:rPr>
                <w:b/>
                <w:color w:val="FFFFFF"/>
                <w:sz w:val="18"/>
              </w:rPr>
              <w:t>2019</w:t>
            </w:r>
          </w:p>
        </w:tc>
        <w:tc>
          <w:tcPr>
            <w:tcW w:w="735"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76DEC8C" w14:textId="77777777" w:rsidR="00920B68" w:rsidRPr="00364545" w:rsidRDefault="00920B68" w:rsidP="00920B68">
            <w:pPr>
              <w:spacing w:line="259" w:lineRule="auto"/>
              <w:ind w:right="27"/>
              <w:jc w:val="center"/>
            </w:pPr>
            <w:r w:rsidRPr="00364545">
              <w:rPr>
                <w:b/>
                <w:color w:val="FFFFFF"/>
                <w:sz w:val="18"/>
              </w:rPr>
              <w:t>2020</w:t>
            </w:r>
          </w:p>
        </w:tc>
        <w:tc>
          <w:tcPr>
            <w:tcW w:w="723"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2F189D96" w14:textId="77777777" w:rsidR="00920B68" w:rsidRPr="00364545" w:rsidRDefault="00920B68" w:rsidP="00920B68">
            <w:pPr>
              <w:spacing w:line="259" w:lineRule="auto"/>
              <w:ind w:right="30"/>
              <w:jc w:val="center"/>
            </w:pPr>
            <w:r w:rsidRPr="00364545">
              <w:rPr>
                <w:b/>
                <w:color w:val="FFFFFF"/>
                <w:sz w:val="18"/>
              </w:rPr>
              <w:t>2025</w:t>
            </w:r>
          </w:p>
        </w:tc>
        <w:tc>
          <w:tcPr>
            <w:tcW w:w="718"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E625E74" w14:textId="77777777" w:rsidR="00920B68" w:rsidRPr="00364545" w:rsidRDefault="00920B68" w:rsidP="00920B68">
            <w:pPr>
              <w:spacing w:line="259" w:lineRule="auto"/>
              <w:ind w:right="27"/>
              <w:jc w:val="center"/>
            </w:pPr>
            <w:r w:rsidRPr="00364545">
              <w:rPr>
                <w:b/>
                <w:color w:val="FFFFFF"/>
                <w:sz w:val="18"/>
              </w:rPr>
              <w:t>2030</w:t>
            </w:r>
          </w:p>
        </w:tc>
        <w:tc>
          <w:tcPr>
            <w:tcW w:w="723"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7ECE759B" w14:textId="77777777" w:rsidR="00920B68" w:rsidRPr="00364545" w:rsidRDefault="00920B68" w:rsidP="00920B68">
            <w:pPr>
              <w:spacing w:line="259" w:lineRule="auto"/>
              <w:ind w:right="28"/>
              <w:jc w:val="center"/>
            </w:pPr>
            <w:r w:rsidRPr="00364545">
              <w:rPr>
                <w:b/>
                <w:color w:val="FFFFFF"/>
                <w:sz w:val="18"/>
              </w:rPr>
              <w:t>2035</w:t>
            </w:r>
          </w:p>
        </w:tc>
        <w:tc>
          <w:tcPr>
            <w:tcW w:w="719" w:type="dxa"/>
            <w:tcBorders>
              <w:top w:val="single" w:sz="2" w:space="0" w:color="000000"/>
              <w:left w:val="single" w:sz="2" w:space="0" w:color="000000"/>
              <w:bottom w:val="single" w:sz="2" w:space="0" w:color="000000"/>
              <w:right w:val="single" w:sz="2" w:space="0" w:color="000000"/>
            </w:tcBorders>
            <w:shd w:val="clear" w:color="auto" w:fill="6D2A78"/>
            <w:vAlign w:val="center"/>
          </w:tcPr>
          <w:p w14:paraId="5182C9F9" w14:textId="77777777" w:rsidR="00920B68" w:rsidRPr="00364545" w:rsidRDefault="00920B68" w:rsidP="00920B68">
            <w:pPr>
              <w:spacing w:line="259" w:lineRule="auto"/>
              <w:ind w:right="28"/>
              <w:jc w:val="center"/>
              <w:rPr>
                <w:b/>
                <w:color w:val="FFFFFF"/>
                <w:sz w:val="18"/>
              </w:rPr>
            </w:pPr>
            <w:r w:rsidRPr="00364545">
              <w:rPr>
                <w:b/>
                <w:color w:val="FFFFFF"/>
                <w:sz w:val="18"/>
              </w:rPr>
              <w:t>2050</w:t>
            </w:r>
          </w:p>
        </w:tc>
      </w:tr>
      <w:tr w:rsidR="00920B68" w:rsidRPr="00364545" w14:paraId="147F0848" w14:textId="77777777" w:rsidTr="00920B68">
        <w:trPr>
          <w:trHeight w:val="344"/>
        </w:trPr>
        <w:tc>
          <w:tcPr>
            <w:tcW w:w="1323" w:type="dxa"/>
            <w:tcBorders>
              <w:top w:val="single" w:sz="2" w:space="0" w:color="000000"/>
              <w:left w:val="single" w:sz="2" w:space="0" w:color="000000"/>
              <w:bottom w:val="single" w:sz="2" w:space="0" w:color="000000"/>
              <w:right w:val="single" w:sz="2" w:space="0" w:color="000000"/>
            </w:tcBorders>
          </w:tcPr>
          <w:p w14:paraId="72BC52A0" w14:textId="77777777" w:rsidR="00920B68" w:rsidRPr="00364545" w:rsidRDefault="00920B68" w:rsidP="00920B68">
            <w:pPr>
              <w:spacing w:line="259" w:lineRule="auto"/>
            </w:pPr>
            <w:r w:rsidRPr="00364545">
              <w:rPr>
                <w:sz w:val="18"/>
              </w:rPr>
              <w:t xml:space="preserve">Energy </w:t>
            </w:r>
          </w:p>
        </w:tc>
        <w:tc>
          <w:tcPr>
            <w:tcW w:w="724" w:type="dxa"/>
            <w:tcBorders>
              <w:top w:val="single" w:sz="2" w:space="0" w:color="000000"/>
              <w:left w:val="single" w:sz="2" w:space="0" w:color="000000"/>
              <w:bottom w:val="single" w:sz="2" w:space="0" w:color="000000"/>
              <w:right w:val="single" w:sz="2" w:space="0" w:color="000000"/>
            </w:tcBorders>
            <w:vAlign w:val="center"/>
          </w:tcPr>
          <w:p w14:paraId="3DBAB44B"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3" w:type="dxa"/>
            <w:tcBorders>
              <w:top w:val="single" w:sz="2" w:space="0" w:color="000000"/>
              <w:left w:val="single" w:sz="2" w:space="0" w:color="000000"/>
              <w:bottom w:val="single" w:sz="2" w:space="0" w:color="000000"/>
              <w:right w:val="single" w:sz="2" w:space="0" w:color="000000"/>
            </w:tcBorders>
            <w:vAlign w:val="center"/>
          </w:tcPr>
          <w:p w14:paraId="3EA377F0"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vAlign w:val="center"/>
          </w:tcPr>
          <w:p w14:paraId="203D1219"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vAlign w:val="center"/>
          </w:tcPr>
          <w:p w14:paraId="61EC0FBD"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vAlign w:val="center"/>
          </w:tcPr>
          <w:p w14:paraId="3824AA84"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6" w:type="dxa"/>
            <w:tcBorders>
              <w:top w:val="single" w:sz="2" w:space="0" w:color="000000"/>
              <w:left w:val="single" w:sz="2" w:space="0" w:color="000000"/>
              <w:bottom w:val="single" w:sz="2" w:space="0" w:color="000000"/>
              <w:right w:val="single" w:sz="2" w:space="0" w:color="000000"/>
            </w:tcBorders>
            <w:vAlign w:val="center"/>
          </w:tcPr>
          <w:p w14:paraId="71AE5029"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622" w:type="dxa"/>
            <w:tcBorders>
              <w:top w:val="single" w:sz="2" w:space="0" w:color="000000"/>
              <w:left w:val="single" w:sz="2" w:space="0" w:color="000000"/>
              <w:bottom w:val="single" w:sz="2" w:space="0" w:color="000000"/>
              <w:right w:val="single" w:sz="2" w:space="0" w:color="000000"/>
            </w:tcBorders>
            <w:vAlign w:val="center"/>
          </w:tcPr>
          <w:p w14:paraId="4746164D"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5" w:type="dxa"/>
            <w:tcBorders>
              <w:top w:val="single" w:sz="2" w:space="0" w:color="000000"/>
              <w:left w:val="single" w:sz="2" w:space="0" w:color="000000"/>
              <w:bottom w:val="single" w:sz="2" w:space="0" w:color="000000"/>
              <w:right w:val="single" w:sz="2" w:space="0" w:color="000000"/>
            </w:tcBorders>
            <w:vAlign w:val="center"/>
          </w:tcPr>
          <w:p w14:paraId="66D266E8"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30C2B171"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vAlign w:val="center"/>
          </w:tcPr>
          <w:p w14:paraId="381E09C1"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7368F273"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9" w:type="dxa"/>
            <w:tcBorders>
              <w:top w:val="single" w:sz="2" w:space="0" w:color="000000"/>
              <w:left w:val="single" w:sz="2" w:space="0" w:color="000000"/>
              <w:bottom w:val="single" w:sz="2" w:space="0" w:color="000000"/>
              <w:right w:val="single" w:sz="2" w:space="0" w:color="000000"/>
            </w:tcBorders>
            <w:vAlign w:val="center"/>
          </w:tcPr>
          <w:p w14:paraId="1C2A0E9B" w14:textId="77777777" w:rsidR="00920B68" w:rsidRPr="005D0955" w:rsidRDefault="00920B68" w:rsidP="00920B68">
            <w:pPr>
              <w:spacing w:line="259" w:lineRule="auto"/>
              <w:ind w:right="29"/>
              <w:jc w:val="center"/>
              <w:rPr>
                <w:rFonts w:asciiTheme="majorHAnsi" w:hAnsiTheme="majorHAnsi"/>
                <w:sz w:val="18"/>
                <w:szCs w:val="18"/>
              </w:rPr>
            </w:pPr>
            <w:r w:rsidRPr="005D0955">
              <w:rPr>
                <w:rFonts w:asciiTheme="majorHAnsi" w:hAnsiTheme="majorHAnsi"/>
                <w:sz w:val="18"/>
                <w:szCs w:val="18"/>
              </w:rPr>
              <w:t>0</w:t>
            </w:r>
          </w:p>
        </w:tc>
      </w:tr>
      <w:tr w:rsidR="00920B68" w:rsidRPr="00364545" w14:paraId="11E6EFDE" w14:textId="77777777" w:rsidTr="00920B68">
        <w:trPr>
          <w:trHeight w:val="419"/>
        </w:trPr>
        <w:tc>
          <w:tcPr>
            <w:tcW w:w="1323" w:type="dxa"/>
            <w:tcBorders>
              <w:top w:val="single" w:sz="2" w:space="0" w:color="000000"/>
              <w:left w:val="single" w:sz="2" w:space="0" w:color="000000"/>
              <w:bottom w:val="single" w:sz="2" w:space="0" w:color="000000"/>
              <w:right w:val="single" w:sz="2" w:space="0" w:color="000000"/>
            </w:tcBorders>
            <w:shd w:val="clear" w:color="auto" w:fill="ECE6E2"/>
          </w:tcPr>
          <w:p w14:paraId="686D7FEE" w14:textId="77777777" w:rsidR="00920B68" w:rsidRPr="00364545" w:rsidRDefault="00920B68" w:rsidP="00920B68">
            <w:pPr>
              <w:spacing w:line="259" w:lineRule="auto"/>
            </w:pPr>
            <w:r w:rsidRPr="00364545">
              <w:rPr>
                <w:sz w:val="18"/>
              </w:rPr>
              <w:t xml:space="preserve">Industrial processes, solvents and other products </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BD1BC21" w14:textId="77777777" w:rsidR="00920B68" w:rsidRPr="00634E4C" w:rsidRDefault="00920B68" w:rsidP="00920B68">
            <w:pPr>
              <w:spacing w:line="259" w:lineRule="auto"/>
              <w:ind w:right="29"/>
              <w:jc w:val="center"/>
              <w:rPr>
                <w:rFonts w:asciiTheme="majorHAnsi" w:hAnsiTheme="majorHAnsi"/>
                <w:sz w:val="18"/>
              </w:rPr>
            </w:pPr>
            <w:r w:rsidRPr="005D0955">
              <w:rPr>
                <w:rFonts w:asciiTheme="majorHAnsi" w:hAnsiTheme="majorHAnsi"/>
                <w:sz w:val="18"/>
                <w:szCs w:val="18"/>
              </w:rPr>
              <w:t>4402</w:t>
            </w:r>
          </w:p>
        </w:tc>
        <w:tc>
          <w:tcPr>
            <w:tcW w:w="71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82B22B1" w14:textId="77777777" w:rsidR="00920B68" w:rsidRPr="00634E4C" w:rsidRDefault="00920B68" w:rsidP="00920B68">
            <w:pPr>
              <w:spacing w:line="259" w:lineRule="auto"/>
              <w:ind w:right="29"/>
              <w:jc w:val="center"/>
              <w:rPr>
                <w:rFonts w:asciiTheme="majorHAnsi" w:hAnsiTheme="majorHAnsi"/>
                <w:sz w:val="18"/>
              </w:rPr>
            </w:pPr>
            <w:r w:rsidRPr="005D0955">
              <w:rPr>
                <w:rFonts w:asciiTheme="majorHAnsi" w:hAnsiTheme="majorHAnsi"/>
                <w:sz w:val="18"/>
                <w:szCs w:val="18"/>
              </w:rPr>
              <w:t>1702</w:t>
            </w:r>
          </w:p>
        </w:tc>
        <w:tc>
          <w:tcPr>
            <w:tcW w:w="71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9DEBEF0" w14:textId="77777777" w:rsidR="00920B68" w:rsidRPr="00634E4C" w:rsidRDefault="00920B68" w:rsidP="00920B68">
            <w:pPr>
              <w:spacing w:line="259" w:lineRule="auto"/>
              <w:ind w:right="29"/>
              <w:jc w:val="center"/>
              <w:rPr>
                <w:rFonts w:asciiTheme="majorHAnsi" w:hAnsiTheme="majorHAnsi"/>
                <w:sz w:val="18"/>
              </w:rPr>
            </w:pPr>
            <w:r w:rsidRPr="005D0955">
              <w:rPr>
                <w:rFonts w:asciiTheme="majorHAnsi" w:hAnsiTheme="majorHAnsi"/>
                <w:sz w:val="18"/>
                <w:szCs w:val="18"/>
              </w:rPr>
              <w:t>6736</w:t>
            </w:r>
          </w:p>
        </w:tc>
        <w:tc>
          <w:tcPr>
            <w:tcW w:w="74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4FC079" w14:textId="77777777" w:rsidR="00920B68" w:rsidRPr="00634E4C" w:rsidRDefault="00920B68" w:rsidP="00920B68">
            <w:pPr>
              <w:spacing w:line="259" w:lineRule="auto"/>
              <w:ind w:right="29"/>
              <w:jc w:val="center"/>
              <w:rPr>
                <w:rFonts w:asciiTheme="majorHAnsi" w:hAnsiTheme="majorHAnsi"/>
                <w:sz w:val="18"/>
              </w:rPr>
            </w:pPr>
            <w:r w:rsidRPr="005D0955">
              <w:rPr>
                <w:rFonts w:asciiTheme="majorHAnsi" w:hAnsiTheme="majorHAnsi"/>
                <w:sz w:val="18"/>
                <w:szCs w:val="18"/>
              </w:rPr>
              <w:t>12862</w:t>
            </w:r>
          </w:p>
        </w:tc>
        <w:tc>
          <w:tcPr>
            <w:tcW w:w="74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B97C024" w14:textId="77777777" w:rsidR="00920B68" w:rsidRPr="00634E4C" w:rsidRDefault="00920B68" w:rsidP="00920B68">
            <w:pPr>
              <w:spacing w:line="259" w:lineRule="auto"/>
              <w:ind w:right="29"/>
              <w:jc w:val="center"/>
              <w:rPr>
                <w:rFonts w:asciiTheme="majorHAnsi" w:hAnsiTheme="majorHAnsi"/>
                <w:sz w:val="18"/>
              </w:rPr>
            </w:pPr>
            <w:r w:rsidRPr="005D0955">
              <w:rPr>
                <w:rFonts w:asciiTheme="majorHAnsi" w:hAnsiTheme="majorHAnsi"/>
                <w:sz w:val="18"/>
                <w:szCs w:val="18"/>
              </w:rPr>
              <w:t>16930</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7B30B47" w14:textId="77777777" w:rsidR="00920B68" w:rsidRPr="00634E4C" w:rsidRDefault="00920B68" w:rsidP="00920B68">
            <w:pPr>
              <w:spacing w:line="259" w:lineRule="auto"/>
              <w:ind w:right="29"/>
              <w:jc w:val="center"/>
              <w:rPr>
                <w:rFonts w:asciiTheme="majorHAnsi" w:hAnsiTheme="majorHAnsi"/>
                <w:sz w:val="18"/>
              </w:rPr>
            </w:pPr>
            <w:r w:rsidRPr="005D0955">
              <w:rPr>
                <w:rFonts w:asciiTheme="majorHAnsi" w:hAnsiTheme="majorHAnsi"/>
                <w:sz w:val="18"/>
                <w:szCs w:val="18"/>
              </w:rPr>
              <w:t>17494</w:t>
            </w:r>
          </w:p>
        </w:tc>
        <w:tc>
          <w:tcPr>
            <w:tcW w:w="6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AC499B4" w14:textId="77777777" w:rsidR="00920B68" w:rsidRPr="005D0955" w:rsidRDefault="00920B68" w:rsidP="00920B68">
            <w:pPr>
              <w:spacing w:line="259" w:lineRule="auto"/>
              <w:ind w:right="29"/>
              <w:jc w:val="center"/>
              <w:rPr>
                <w:rFonts w:asciiTheme="majorHAnsi" w:hAnsiTheme="majorHAnsi"/>
                <w:sz w:val="18"/>
                <w:szCs w:val="18"/>
              </w:rPr>
            </w:pPr>
            <w:r w:rsidRPr="005D0955">
              <w:rPr>
                <w:rFonts w:asciiTheme="majorHAnsi" w:hAnsiTheme="majorHAnsi"/>
                <w:sz w:val="18"/>
                <w:szCs w:val="18"/>
              </w:rPr>
              <w:t>12992</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497258"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14</w:t>
            </w:r>
            <w:r w:rsidRPr="005D0955">
              <w:rPr>
                <w:rFonts w:ascii="Calibri" w:hAnsi="Calibri" w:cs="Calibri"/>
                <w:sz w:val="18"/>
                <w:szCs w:val="18"/>
              </w:rPr>
              <w:t> </w:t>
            </w:r>
            <w:r w:rsidRPr="00634E4C">
              <w:rPr>
                <w:rFonts w:asciiTheme="majorHAnsi" w:hAnsiTheme="majorHAnsi"/>
                <w:sz w:val="18"/>
              </w:rPr>
              <w:t>731</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3B47FA5"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7</w:t>
            </w:r>
            <w:r w:rsidRPr="005D0955">
              <w:rPr>
                <w:rFonts w:ascii="Calibri" w:hAnsi="Calibri" w:cs="Calibri"/>
                <w:sz w:val="18"/>
                <w:szCs w:val="18"/>
              </w:rPr>
              <w:t> </w:t>
            </w:r>
            <w:r w:rsidRPr="00634E4C">
              <w:rPr>
                <w:rFonts w:asciiTheme="majorHAnsi" w:hAnsiTheme="majorHAnsi"/>
                <w:sz w:val="18"/>
              </w:rPr>
              <w:t>995</w:t>
            </w:r>
          </w:p>
        </w:tc>
        <w:tc>
          <w:tcPr>
            <w:tcW w:w="71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E91C96F"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5</w:t>
            </w:r>
            <w:r w:rsidRPr="005D0955">
              <w:rPr>
                <w:rFonts w:ascii="Calibri" w:hAnsi="Calibri" w:cs="Calibri"/>
                <w:sz w:val="18"/>
                <w:szCs w:val="18"/>
              </w:rPr>
              <w:t> </w:t>
            </w:r>
            <w:r w:rsidRPr="00634E4C">
              <w:rPr>
                <w:rFonts w:asciiTheme="majorHAnsi" w:hAnsiTheme="majorHAnsi"/>
                <w:sz w:val="18"/>
              </w:rPr>
              <w:t>241</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9E9A820"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4</w:t>
            </w:r>
            <w:r w:rsidRPr="005D0955">
              <w:rPr>
                <w:rFonts w:ascii="Calibri" w:hAnsi="Calibri" w:cs="Calibri"/>
                <w:sz w:val="18"/>
                <w:szCs w:val="18"/>
              </w:rPr>
              <w:t> </w:t>
            </w:r>
            <w:r w:rsidRPr="00634E4C">
              <w:rPr>
                <w:rFonts w:asciiTheme="majorHAnsi" w:hAnsiTheme="majorHAnsi"/>
                <w:sz w:val="18"/>
              </w:rPr>
              <w:t>458</w:t>
            </w:r>
          </w:p>
        </w:tc>
        <w:tc>
          <w:tcPr>
            <w:tcW w:w="71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E3B6C1"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2</w:t>
            </w:r>
            <w:r w:rsidRPr="005D0955">
              <w:rPr>
                <w:rFonts w:ascii="Calibri" w:hAnsi="Calibri" w:cs="Calibri"/>
                <w:sz w:val="18"/>
                <w:szCs w:val="18"/>
              </w:rPr>
              <w:t> </w:t>
            </w:r>
            <w:r w:rsidRPr="00634E4C">
              <w:rPr>
                <w:rFonts w:asciiTheme="majorHAnsi" w:hAnsiTheme="majorHAnsi"/>
                <w:sz w:val="18"/>
              </w:rPr>
              <w:t>109</w:t>
            </w:r>
          </w:p>
        </w:tc>
      </w:tr>
      <w:tr w:rsidR="00920B68" w:rsidRPr="00364545" w14:paraId="395D7710" w14:textId="77777777" w:rsidTr="00920B68">
        <w:trPr>
          <w:trHeight w:val="347"/>
        </w:trPr>
        <w:tc>
          <w:tcPr>
            <w:tcW w:w="1323" w:type="dxa"/>
            <w:tcBorders>
              <w:top w:val="single" w:sz="2" w:space="0" w:color="000000"/>
              <w:left w:val="single" w:sz="2" w:space="0" w:color="000000"/>
              <w:bottom w:val="single" w:sz="2" w:space="0" w:color="000000"/>
              <w:right w:val="single" w:sz="2" w:space="0" w:color="000000"/>
            </w:tcBorders>
          </w:tcPr>
          <w:p w14:paraId="638CE4BF" w14:textId="77777777" w:rsidR="00920B68" w:rsidRPr="00364545" w:rsidRDefault="00920B68" w:rsidP="00920B68">
            <w:pPr>
              <w:spacing w:line="259" w:lineRule="auto"/>
            </w:pPr>
            <w:r w:rsidRPr="00364545">
              <w:rPr>
                <w:sz w:val="18"/>
              </w:rPr>
              <w:t xml:space="preserve">Agriculture (excluding energy) </w:t>
            </w:r>
          </w:p>
        </w:tc>
        <w:tc>
          <w:tcPr>
            <w:tcW w:w="724" w:type="dxa"/>
            <w:tcBorders>
              <w:top w:val="single" w:sz="2" w:space="0" w:color="000000"/>
              <w:left w:val="single" w:sz="2" w:space="0" w:color="000000"/>
              <w:bottom w:val="single" w:sz="2" w:space="0" w:color="000000"/>
              <w:right w:val="single" w:sz="2" w:space="0" w:color="000000"/>
            </w:tcBorders>
            <w:vAlign w:val="center"/>
          </w:tcPr>
          <w:p w14:paraId="2F307012"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3" w:type="dxa"/>
            <w:tcBorders>
              <w:top w:val="single" w:sz="2" w:space="0" w:color="000000"/>
              <w:left w:val="single" w:sz="2" w:space="0" w:color="000000"/>
              <w:bottom w:val="single" w:sz="2" w:space="0" w:color="000000"/>
              <w:right w:val="single" w:sz="2" w:space="0" w:color="000000"/>
            </w:tcBorders>
            <w:vAlign w:val="center"/>
          </w:tcPr>
          <w:p w14:paraId="70481F9A"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vAlign w:val="center"/>
          </w:tcPr>
          <w:p w14:paraId="19F15893"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vAlign w:val="center"/>
          </w:tcPr>
          <w:p w14:paraId="5ADFBC2B"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vAlign w:val="center"/>
          </w:tcPr>
          <w:p w14:paraId="5442A35F"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6" w:type="dxa"/>
            <w:tcBorders>
              <w:top w:val="single" w:sz="2" w:space="0" w:color="000000"/>
              <w:left w:val="single" w:sz="2" w:space="0" w:color="000000"/>
              <w:bottom w:val="single" w:sz="2" w:space="0" w:color="000000"/>
              <w:right w:val="single" w:sz="2" w:space="0" w:color="000000"/>
            </w:tcBorders>
            <w:vAlign w:val="center"/>
          </w:tcPr>
          <w:p w14:paraId="1B8266FB"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622" w:type="dxa"/>
            <w:tcBorders>
              <w:top w:val="single" w:sz="2" w:space="0" w:color="000000"/>
              <w:left w:val="single" w:sz="2" w:space="0" w:color="000000"/>
              <w:bottom w:val="single" w:sz="2" w:space="0" w:color="000000"/>
              <w:right w:val="single" w:sz="2" w:space="0" w:color="000000"/>
            </w:tcBorders>
            <w:vAlign w:val="center"/>
          </w:tcPr>
          <w:p w14:paraId="74B55B23"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5" w:type="dxa"/>
            <w:tcBorders>
              <w:top w:val="single" w:sz="2" w:space="0" w:color="000000"/>
              <w:left w:val="single" w:sz="2" w:space="0" w:color="000000"/>
              <w:bottom w:val="single" w:sz="2" w:space="0" w:color="000000"/>
              <w:right w:val="single" w:sz="2" w:space="0" w:color="000000"/>
            </w:tcBorders>
            <w:vAlign w:val="center"/>
          </w:tcPr>
          <w:p w14:paraId="6C763124"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0D4833C8"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vAlign w:val="center"/>
          </w:tcPr>
          <w:p w14:paraId="25F74352"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19DE5517"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9" w:type="dxa"/>
            <w:tcBorders>
              <w:top w:val="single" w:sz="2" w:space="0" w:color="000000"/>
              <w:left w:val="single" w:sz="2" w:space="0" w:color="000000"/>
              <w:bottom w:val="single" w:sz="2" w:space="0" w:color="000000"/>
              <w:right w:val="single" w:sz="2" w:space="0" w:color="000000"/>
            </w:tcBorders>
            <w:vAlign w:val="center"/>
          </w:tcPr>
          <w:p w14:paraId="017324F5" w14:textId="77777777" w:rsidR="00920B68" w:rsidRPr="005D0955" w:rsidRDefault="00920B68" w:rsidP="00920B68">
            <w:pPr>
              <w:spacing w:line="259" w:lineRule="auto"/>
              <w:ind w:right="29"/>
              <w:jc w:val="center"/>
              <w:rPr>
                <w:rFonts w:asciiTheme="majorHAnsi" w:hAnsiTheme="majorHAnsi"/>
                <w:sz w:val="18"/>
                <w:szCs w:val="18"/>
              </w:rPr>
            </w:pPr>
            <w:r w:rsidRPr="005D0955">
              <w:rPr>
                <w:rFonts w:asciiTheme="majorHAnsi" w:hAnsiTheme="majorHAnsi"/>
                <w:sz w:val="18"/>
                <w:szCs w:val="18"/>
              </w:rPr>
              <w:t>0</w:t>
            </w:r>
          </w:p>
        </w:tc>
      </w:tr>
      <w:tr w:rsidR="00920B68" w:rsidRPr="00364545" w14:paraId="68FA025B" w14:textId="77777777" w:rsidTr="00920B68">
        <w:trPr>
          <w:trHeight w:val="342"/>
        </w:trPr>
        <w:tc>
          <w:tcPr>
            <w:tcW w:w="1323" w:type="dxa"/>
            <w:tcBorders>
              <w:top w:val="single" w:sz="2" w:space="0" w:color="000000"/>
              <w:left w:val="single" w:sz="2" w:space="0" w:color="000000"/>
              <w:bottom w:val="single" w:sz="2" w:space="0" w:color="000000"/>
              <w:right w:val="single" w:sz="2" w:space="0" w:color="000000"/>
            </w:tcBorders>
            <w:shd w:val="clear" w:color="auto" w:fill="ECE6E2"/>
          </w:tcPr>
          <w:p w14:paraId="51AD7329" w14:textId="77777777" w:rsidR="00920B68" w:rsidRPr="00364545" w:rsidRDefault="00920B68" w:rsidP="00920B68">
            <w:pPr>
              <w:spacing w:line="259" w:lineRule="auto"/>
            </w:pPr>
            <w:r w:rsidRPr="00364545">
              <w:rPr>
                <w:sz w:val="18"/>
              </w:rPr>
              <w:t xml:space="preserve">LULUCF </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627C2BE"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669424"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04E0DDC"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D767029"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3B9BA6C"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731AE2F"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6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7F3F898"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94CFEA"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F8FEAE"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34F154D"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BF11EBD"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C35047E" w14:textId="77777777" w:rsidR="00920B68" w:rsidRPr="005D0955" w:rsidRDefault="00920B68" w:rsidP="00920B68">
            <w:pPr>
              <w:spacing w:line="259" w:lineRule="auto"/>
              <w:ind w:right="29"/>
              <w:jc w:val="center"/>
              <w:rPr>
                <w:rFonts w:asciiTheme="majorHAnsi" w:hAnsiTheme="majorHAnsi"/>
                <w:sz w:val="18"/>
                <w:szCs w:val="18"/>
              </w:rPr>
            </w:pPr>
            <w:r w:rsidRPr="005D0955">
              <w:rPr>
                <w:rFonts w:asciiTheme="majorHAnsi" w:hAnsiTheme="majorHAnsi"/>
                <w:sz w:val="18"/>
                <w:szCs w:val="18"/>
              </w:rPr>
              <w:t>0</w:t>
            </w:r>
          </w:p>
        </w:tc>
      </w:tr>
      <w:tr w:rsidR="00920B68" w:rsidRPr="00364545" w14:paraId="5B89117E" w14:textId="77777777" w:rsidTr="00920B68">
        <w:trPr>
          <w:trHeight w:val="347"/>
        </w:trPr>
        <w:tc>
          <w:tcPr>
            <w:tcW w:w="1323" w:type="dxa"/>
            <w:tcBorders>
              <w:top w:val="single" w:sz="2" w:space="0" w:color="000000"/>
              <w:left w:val="single" w:sz="2" w:space="0" w:color="000000"/>
              <w:bottom w:val="single" w:sz="2" w:space="0" w:color="000000"/>
              <w:right w:val="single" w:sz="2" w:space="0" w:color="000000"/>
            </w:tcBorders>
          </w:tcPr>
          <w:p w14:paraId="5A3939D2" w14:textId="77777777" w:rsidR="00920B68" w:rsidRPr="00364545" w:rsidRDefault="00920B68" w:rsidP="00920B68">
            <w:pPr>
              <w:spacing w:line="259" w:lineRule="auto"/>
            </w:pPr>
            <w:r w:rsidRPr="00364545">
              <w:rPr>
                <w:sz w:val="18"/>
              </w:rPr>
              <w:t xml:space="preserve">Waste </w:t>
            </w:r>
          </w:p>
        </w:tc>
        <w:tc>
          <w:tcPr>
            <w:tcW w:w="724" w:type="dxa"/>
            <w:tcBorders>
              <w:top w:val="single" w:sz="2" w:space="0" w:color="000000"/>
              <w:left w:val="single" w:sz="2" w:space="0" w:color="000000"/>
              <w:bottom w:val="single" w:sz="2" w:space="0" w:color="000000"/>
              <w:right w:val="single" w:sz="2" w:space="0" w:color="000000"/>
            </w:tcBorders>
            <w:vAlign w:val="center"/>
          </w:tcPr>
          <w:p w14:paraId="606C022E"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3" w:type="dxa"/>
            <w:tcBorders>
              <w:top w:val="single" w:sz="2" w:space="0" w:color="000000"/>
              <w:left w:val="single" w:sz="2" w:space="0" w:color="000000"/>
              <w:bottom w:val="single" w:sz="2" w:space="0" w:color="000000"/>
              <w:right w:val="single" w:sz="2" w:space="0" w:color="000000"/>
            </w:tcBorders>
            <w:vAlign w:val="center"/>
          </w:tcPr>
          <w:p w14:paraId="2A9C9732"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vAlign w:val="center"/>
          </w:tcPr>
          <w:p w14:paraId="54613600"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vAlign w:val="center"/>
          </w:tcPr>
          <w:p w14:paraId="306179DD"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40" w:type="dxa"/>
            <w:tcBorders>
              <w:top w:val="single" w:sz="2" w:space="0" w:color="000000"/>
              <w:left w:val="single" w:sz="2" w:space="0" w:color="000000"/>
              <w:bottom w:val="single" w:sz="2" w:space="0" w:color="000000"/>
              <w:right w:val="single" w:sz="2" w:space="0" w:color="000000"/>
            </w:tcBorders>
            <w:vAlign w:val="center"/>
          </w:tcPr>
          <w:p w14:paraId="268CE14A"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6" w:type="dxa"/>
            <w:tcBorders>
              <w:top w:val="single" w:sz="2" w:space="0" w:color="000000"/>
              <w:left w:val="single" w:sz="2" w:space="0" w:color="000000"/>
              <w:bottom w:val="single" w:sz="2" w:space="0" w:color="000000"/>
              <w:right w:val="single" w:sz="2" w:space="0" w:color="000000"/>
            </w:tcBorders>
            <w:vAlign w:val="center"/>
          </w:tcPr>
          <w:p w14:paraId="05AB8ABC"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622" w:type="dxa"/>
            <w:tcBorders>
              <w:top w:val="single" w:sz="2" w:space="0" w:color="000000"/>
              <w:left w:val="single" w:sz="2" w:space="0" w:color="000000"/>
              <w:bottom w:val="single" w:sz="2" w:space="0" w:color="000000"/>
              <w:right w:val="single" w:sz="2" w:space="0" w:color="000000"/>
            </w:tcBorders>
            <w:vAlign w:val="center"/>
          </w:tcPr>
          <w:p w14:paraId="20F60047"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35" w:type="dxa"/>
            <w:tcBorders>
              <w:top w:val="single" w:sz="2" w:space="0" w:color="000000"/>
              <w:left w:val="single" w:sz="2" w:space="0" w:color="000000"/>
              <w:bottom w:val="single" w:sz="2" w:space="0" w:color="000000"/>
              <w:right w:val="single" w:sz="2" w:space="0" w:color="000000"/>
            </w:tcBorders>
            <w:vAlign w:val="center"/>
          </w:tcPr>
          <w:p w14:paraId="18755D31"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6984D985"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8" w:type="dxa"/>
            <w:tcBorders>
              <w:top w:val="single" w:sz="2" w:space="0" w:color="000000"/>
              <w:left w:val="single" w:sz="2" w:space="0" w:color="000000"/>
              <w:bottom w:val="single" w:sz="2" w:space="0" w:color="000000"/>
              <w:right w:val="single" w:sz="2" w:space="0" w:color="000000"/>
            </w:tcBorders>
            <w:vAlign w:val="center"/>
          </w:tcPr>
          <w:p w14:paraId="2899B06A"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2B1197F8" w14:textId="77777777" w:rsidR="00920B68" w:rsidRPr="00634E4C" w:rsidRDefault="00920B68" w:rsidP="00920B68">
            <w:pPr>
              <w:spacing w:line="259" w:lineRule="auto"/>
              <w:ind w:right="29"/>
              <w:jc w:val="center"/>
              <w:rPr>
                <w:rFonts w:asciiTheme="majorHAnsi" w:hAnsiTheme="majorHAnsi"/>
                <w:sz w:val="18"/>
              </w:rPr>
            </w:pPr>
            <w:r w:rsidRPr="00634E4C">
              <w:rPr>
                <w:rFonts w:asciiTheme="majorHAnsi" w:hAnsiTheme="majorHAnsi"/>
                <w:sz w:val="18"/>
              </w:rPr>
              <w:t>0</w:t>
            </w:r>
          </w:p>
        </w:tc>
        <w:tc>
          <w:tcPr>
            <w:tcW w:w="719" w:type="dxa"/>
            <w:tcBorders>
              <w:top w:val="single" w:sz="2" w:space="0" w:color="000000"/>
              <w:left w:val="single" w:sz="2" w:space="0" w:color="000000"/>
              <w:bottom w:val="single" w:sz="2" w:space="0" w:color="000000"/>
              <w:right w:val="single" w:sz="2" w:space="0" w:color="000000"/>
            </w:tcBorders>
            <w:vAlign w:val="center"/>
          </w:tcPr>
          <w:p w14:paraId="5CFFC72E" w14:textId="77777777" w:rsidR="00920B68" w:rsidRPr="005D0955" w:rsidRDefault="00920B68" w:rsidP="00920B68">
            <w:pPr>
              <w:spacing w:line="259" w:lineRule="auto"/>
              <w:ind w:right="29"/>
              <w:jc w:val="center"/>
              <w:rPr>
                <w:rFonts w:asciiTheme="majorHAnsi" w:hAnsiTheme="majorHAnsi"/>
                <w:sz w:val="18"/>
                <w:szCs w:val="18"/>
              </w:rPr>
            </w:pPr>
            <w:r w:rsidRPr="005D0955">
              <w:rPr>
                <w:rFonts w:asciiTheme="majorHAnsi" w:hAnsiTheme="majorHAnsi"/>
                <w:sz w:val="18"/>
                <w:szCs w:val="18"/>
              </w:rPr>
              <w:t>0</w:t>
            </w:r>
          </w:p>
        </w:tc>
      </w:tr>
      <w:tr w:rsidR="00920B68" w:rsidRPr="00364545" w14:paraId="336A66AF" w14:textId="77777777" w:rsidTr="00920B68">
        <w:trPr>
          <w:trHeight w:val="344"/>
        </w:trPr>
        <w:tc>
          <w:tcPr>
            <w:tcW w:w="1323" w:type="dxa"/>
            <w:tcBorders>
              <w:top w:val="single" w:sz="2" w:space="0" w:color="000000"/>
              <w:left w:val="single" w:sz="2" w:space="0" w:color="000000"/>
              <w:bottom w:val="single" w:sz="2" w:space="0" w:color="000000"/>
              <w:right w:val="single" w:sz="2" w:space="0" w:color="000000"/>
            </w:tcBorders>
            <w:shd w:val="clear" w:color="auto" w:fill="ECE6E2"/>
          </w:tcPr>
          <w:p w14:paraId="3470EA30" w14:textId="77777777" w:rsidR="00920B68" w:rsidRPr="00364545" w:rsidRDefault="00920B68" w:rsidP="00920B68">
            <w:pPr>
              <w:spacing w:line="259" w:lineRule="auto"/>
            </w:pPr>
            <w:r w:rsidRPr="00364545">
              <w:rPr>
                <w:b/>
                <w:sz w:val="18"/>
              </w:rPr>
              <w:t xml:space="preserve">Ensemble (hors UTCF) </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D4FDFD"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4402</w:t>
            </w:r>
          </w:p>
        </w:tc>
        <w:tc>
          <w:tcPr>
            <w:tcW w:w="71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20C8DA"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1702</w:t>
            </w:r>
          </w:p>
        </w:tc>
        <w:tc>
          <w:tcPr>
            <w:tcW w:w="71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CC60312"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6736</w:t>
            </w:r>
          </w:p>
        </w:tc>
        <w:tc>
          <w:tcPr>
            <w:tcW w:w="74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370CC5E"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12862</w:t>
            </w:r>
          </w:p>
        </w:tc>
        <w:tc>
          <w:tcPr>
            <w:tcW w:w="74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95CEB52"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16930</w:t>
            </w:r>
          </w:p>
        </w:tc>
        <w:tc>
          <w:tcPr>
            <w:tcW w:w="73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BC72F8"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17494</w:t>
            </w:r>
          </w:p>
        </w:tc>
        <w:tc>
          <w:tcPr>
            <w:tcW w:w="6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4936731" w14:textId="77777777" w:rsidR="00920B68" w:rsidRPr="005D0955" w:rsidRDefault="00920B68" w:rsidP="00920B68">
            <w:pPr>
              <w:spacing w:line="259" w:lineRule="auto"/>
              <w:ind w:right="29"/>
              <w:jc w:val="center"/>
              <w:rPr>
                <w:rFonts w:asciiTheme="majorHAnsi" w:hAnsiTheme="majorHAnsi"/>
                <w:b/>
                <w:sz w:val="18"/>
                <w:szCs w:val="18"/>
              </w:rPr>
            </w:pPr>
            <w:r w:rsidRPr="005D0955">
              <w:rPr>
                <w:rFonts w:asciiTheme="majorHAnsi" w:hAnsiTheme="majorHAnsi"/>
                <w:sz w:val="18"/>
                <w:szCs w:val="18"/>
              </w:rPr>
              <w:t>12992</w:t>
            </w:r>
          </w:p>
        </w:tc>
        <w:tc>
          <w:tcPr>
            <w:tcW w:w="73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5EA8723"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14</w:t>
            </w:r>
            <w:r w:rsidRPr="005D0955">
              <w:rPr>
                <w:rFonts w:ascii="Calibri" w:hAnsi="Calibri" w:cs="Calibri"/>
                <w:b/>
                <w:sz w:val="18"/>
                <w:szCs w:val="18"/>
              </w:rPr>
              <w:t> </w:t>
            </w:r>
            <w:r w:rsidRPr="00634E4C">
              <w:rPr>
                <w:rFonts w:asciiTheme="majorHAnsi" w:hAnsiTheme="majorHAnsi"/>
                <w:b/>
                <w:sz w:val="18"/>
              </w:rPr>
              <w:t>731</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4F165E"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7</w:t>
            </w:r>
            <w:r w:rsidRPr="005D0955">
              <w:rPr>
                <w:rFonts w:ascii="Calibri" w:hAnsi="Calibri" w:cs="Calibri"/>
                <w:b/>
                <w:sz w:val="18"/>
                <w:szCs w:val="18"/>
              </w:rPr>
              <w:t> </w:t>
            </w:r>
            <w:r w:rsidRPr="00634E4C">
              <w:rPr>
                <w:rFonts w:asciiTheme="majorHAnsi" w:hAnsiTheme="majorHAnsi"/>
                <w:b/>
                <w:sz w:val="18"/>
              </w:rPr>
              <w:t>995</w:t>
            </w:r>
          </w:p>
        </w:tc>
        <w:tc>
          <w:tcPr>
            <w:tcW w:w="71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219E705"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5</w:t>
            </w:r>
            <w:r w:rsidRPr="005D0955">
              <w:rPr>
                <w:rFonts w:ascii="Calibri" w:hAnsi="Calibri" w:cs="Calibri"/>
                <w:b/>
                <w:sz w:val="18"/>
                <w:szCs w:val="18"/>
              </w:rPr>
              <w:t> </w:t>
            </w:r>
            <w:r w:rsidRPr="00634E4C">
              <w:rPr>
                <w:rFonts w:asciiTheme="majorHAnsi" w:hAnsiTheme="majorHAnsi"/>
                <w:b/>
                <w:sz w:val="18"/>
              </w:rPr>
              <w:t>241</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6C0809B"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4</w:t>
            </w:r>
            <w:r w:rsidRPr="005D0955">
              <w:rPr>
                <w:rFonts w:ascii="Calibri" w:hAnsi="Calibri" w:cs="Calibri"/>
                <w:b/>
                <w:sz w:val="18"/>
                <w:szCs w:val="18"/>
              </w:rPr>
              <w:t> </w:t>
            </w:r>
            <w:r w:rsidRPr="00634E4C">
              <w:rPr>
                <w:rFonts w:asciiTheme="majorHAnsi" w:hAnsiTheme="majorHAnsi"/>
                <w:b/>
                <w:sz w:val="18"/>
              </w:rPr>
              <w:t>458</w:t>
            </w:r>
          </w:p>
        </w:tc>
        <w:tc>
          <w:tcPr>
            <w:tcW w:w="719"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212B9B0"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2</w:t>
            </w:r>
            <w:r w:rsidRPr="005D0955">
              <w:rPr>
                <w:rFonts w:ascii="Calibri" w:hAnsi="Calibri" w:cs="Calibri"/>
                <w:b/>
                <w:sz w:val="18"/>
                <w:szCs w:val="18"/>
              </w:rPr>
              <w:t> </w:t>
            </w:r>
            <w:r w:rsidRPr="00634E4C">
              <w:rPr>
                <w:rFonts w:asciiTheme="majorHAnsi" w:hAnsiTheme="majorHAnsi"/>
                <w:b/>
                <w:sz w:val="18"/>
              </w:rPr>
              <w:t>109</w:t>
            </w:r>
          </w:p>
        </w:tc>
      </w:tr>
      <w:tr w:rsidR="00920B68" w:rsidRPr="00364545" w14:paraId="508950C1" w14:textId="77777777" w:rsidTr="00920B68">
        <w:trPr>
          <w:trHeight w:val="346"/>
        </w:trPr>
        <w:tc>
          <w:tcPr>
            <w:tcW w:w="1323" w:type="dxa"/>
            <w:tcBorders>
              <w:top w:val="single" w:sz="2" w:space="0" w:color="000000"/>
              <w:left w:val="single" w:sz="2" w:space="0" w:color="000000"/>
              <w:bottom w:val="single" w:sz="2" w:space="0" w:color="000000"/>
              <w:right w:val="single" w:sz="2" w:space="0" w:color="000000"/>
            </w:tcBorders>
          </w:tcPr>
          <w:p w14:paraId="13F227EF" w14:textId="77777777" w:rsidR="00920B68" w:rsidRPr="00364545" w:rsidRDefault="00920B68" w:rsidP="00920B68">
            <w:pPr>
              <w:spacing w:line="259" w:lineRule="auto"/>
            </w:pPr>
            <w:r w:rsidRPr="00364545">
              <w:rPr>
                <w:b/>
                <w:sz w:val="18"/>
              </w:rPr>
              <w:t xml:space="preserve">Ensemble (avec UTCF) </w:t>
            </w:r>
          </w:p>
        </w:tc>
        <w:tc>
          <w:tcPr>
            <w:tcW w:w="724" w:type="dxa"/>
            <w:tcBorders>
              <w:top w:val="single" w:sz="2" w:space="0" w:color="000000"/>
              <w:left w:val="single" w:sz="2" w:space="0" w:color="000000"/>
              <w:bottom w:val="single" w:sz="2" w:space="0" w:color="000000"/>
              <w:right w:val="single" w:sz="2" w:space="0" w:color="000000"/>
            </w:tcBorders>
            <w:vAlign w:val="center"/>
          </w:tcPr>
          <w:p w14:paraId="4BF2C5EE"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4402</w:t>
            </w:r>
          </w:p>
        </w:tc>
        <w:tc>
          <w:tcPr>
            <w:tcW w:w="713" w:type="dxa"/>
            <w:tcBorders>
              <w:top w:val="single" w:sz="2" w:space="0" w:color="000000"/>
              <w:left w:val="single" w:sz="2" w:space="0" w:color="000000"/>
              <w:bottom w:val="single" w:sz="2" w:space="0" w:color="000000"/>
              <w:right w:val="single" w:sz="2" w:space="0" w:color="000000"/>
            </w:tcBorders>
            <w:vAlign w:val="center"/>
          </w:tcPr>
          <w:p w14:paraId="3BA00797"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1702</w:t>
            </w:r>
          </w:p>
        </w:tc>
        <w:tc>
          <w:tcPr>
            <w:tcW w:w="718" w:type="dxa"/>
            <w:tcBorders>
              <w:top w:val="single" w:sz="2" w:space="0" w:color="000000"/>
              <w:left w:val="single" w:sz="2" w:space="0" w:color="000000"/>
              <w:bottom w:val="single" w:sz="2" w:space="0" w:color="000000"/>
              <w:right w:val="single" w:sz="2" w:space="0" w:color="000000"/>
            </w:tcBorders>
            <w:vAlign w:val="center"/>
          </w:tcPr>
          <w:p w14:paraId="054FF451"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6736</w:t>
            </w:r>
          </w:p>
        </w:tc>
        <w:tc>
          <w:tcPr>
            <w:tcW w:w="740" w:type="dxa"/>
            <w:tcBorders>
              <w:top w:val="single" w:sz="2" w:space="0" w:color="000000"/>
              <w:left w:val="single" w:sz="2" w:space="0" w:color="000000"/>
              <w:bottom w:val="single" w:sz="2" w:space="0" w:color="000000"/>
              <w:right w:val="single" w:sz="2" w:space="0" w:color="000000"/>
            </w:tcBorders>
            <w:vAlign w:val="center"/>
          </w:tcPr>
          <w:p w14:paraId="675C6D56"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12862</w:t>
            </w:r>
          </w:p>
        </w:tc>
        <w:tc>
          <w:tcPr>
            <w:tcW w:w="740" w:type="dxa"/>
            <w:tcBorders>
              <w:top w:val="single" w:sz="2" w:space="0" w:color="000000"/>
              <w:left w:val="single" w:sz="2" w:space="0" w:color="000000"/>
              <w:bottom w:val="single" w:sz="2" w:space="0" w:color="000000"/>
              <w:right w:val="single" w:sz="2" w:space="0" w:color="000000"/>
            </w:tcBorders>
            <w:vAlign w:val="center"/>
          </w:tcPr>
          <w:p w14:paraId="5FDB78FF"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16930</w:t>
            </w:r>
          </w:p>
        </w:tc>
        <w:tc>
          <w:tcPr>
            <w:tcW w:w="736" w:type="dxa"/>
            <w:tcBorders>
              <w:top w:val="single" w:sz="2" w:space="0" w:color="000000"/>
              <w:left w:val="single" w:sz="2" w:space="0" w:color="000000"/>
              <w:bottom w:val="single" w:sz="2" w:space="0" w:color="000000"/>
              <w:right w:val="single" w:sz="2" w:space="0" w:color="000000"/>
            </w:tcBorders>
            <w:vAlign w:val="center"/>
          </w:tcPr>
          <w:p w14:paraId="01BDB90A" w14:textId="77777777" w:rsidR="00920B68" w:rsidRPr="00634E4C" w:rsidRDefault="00920B68" w:rsidP="00920B68">
            <w:pPr>
              <w:spacing w:line="259" w:lineRule="auto"/>
              <w:ind w:right="29"/>
              <w:jc w:val="center"/>
              <w:rPr>
                <w:rFonts w:asciiTheme="majorHAnsi" w:hAnsiTheme="majorHAnsi"/>
                <w:b/>
                <w:sz w:val="18"/>
              </w:rPr>
            </w:pPr>
            <w:r w:rsidRPr="005D0955">
              <w:rPr>
                <w:rFonts w:asciiTheme="majorHAnsi" w:hAnsiTheme="majorHAnsi"/>
                <w:sz w:val="18"/>
                <w:szCs w:val="18"/>
              </w:rPr>
              <w:t>17494</w:t>
            </w:r>
          </w:p>
        </w:tc>
        <w:tc>
          <w:tcPr>
            <w:tcW w:w="622" w:type="dxa"/>
            <w:tcBorders>
              <w:top w:val="single" w:sz="2" w:space="0" w:color="000000"/>
              <w:left w:val="single" w:sz="2" w:space="0" w:color="000000"/>
              <w:bottom w:val="single" w:sz="2" w:space="0" w:color="000000"/>
              <w:right w:val="single" w:sz="2" w:space="0" w:color="000000"/>
            </w:tcBorders>
            <w:vAlign w:val="center"/>
          </w:tcPr>
          <w:p w14:paraId="66706569" w14:textId="77777777" w:rsidR="00920B68" w:rsidRPr="005D0955" w:rsidRDefault="00920B68" w:rsidP="00920B68">
            <w:pPr>
              <w:spacing w:line="259" w:lineRule="auto"/>
              <w:ind w:right="29"/>
              <w:jc w:val="center"/>
              <w:rPr>
                <w:rFonts w:asciiTheme="majorHAnsi" w:hAnsiTheme="majorHAnsi"/>
                <w:b/>
                <w:sz w:val="18"/>
                <w:szCs w:val="18"/>
              </w:rPr>
            </w:pPr>
            <w:r w:rsidRPr="005D0955">
              <w:rPr>
                <w:rFonts w:asciiTheme="majorHAnsi" w:hAnsiTheme="majorHAnsi"/>
                <w:sz w:val="18"/>
                <w:szCs w:val="18"/>
              </w:rPr>
              <w:t>12992</w:t>
            </w:r>
          </w:p>
        </w:tc>
        <w:tc>
          <w:tcPr>
            <w:tcW w:w="735" w:type="dxa"/>
            <w:tcBorders>
              <w:top w:val="single" w:sz="2" w:space="0" w:color="000000"/>
              <w:left w:val="single" w:sz="2" w:space="0" w:color="000000"/>
              <w:bottom w:val="single" w:sz="2" w:space="0" w:color="000000"/>
              <w:right w:val="single" w:sz="2" w:space="0" w:color="000000"/>
            </w:tcBorders>
            <w:vAlign w:val="center"/>
          </w:tcPr>
          <w:p w14:paraId="00EF5082"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14</w:t>
            </w:r>
            <w:r w:rsidRPr="005D0955">
              <w:rPr>
                <w:rFonts w:ascii="Calibri" w:hAnsi="Calibri" w:cs="Calibri"/>
                <w:b/>
                <w:sz w:val="18"/>
                <w:szCs w:val="18"/>
              </w:rPr>
              <w:t> </w:t>
            </w:r>
            <w:r w:rsidRPr="00634E4C">
              <w:rPr>
                <w:rFonts w:asciiTheme="majorHAnsi" w:hAnsiTheme="majorHAnsi"/>
                <w:b/>
                <w:sz w:val="18"/>
              </w:rPr>
              <w:t>731</w:t>
            </w:r>
          </w:p>
        </w:tc>
        <w:tc>
          <w:tcPr>
            <w:tcW w:w="723" w:type="dxa"/>
            <w:tcBorders>
              <w:top w:val="single" w:sz="2" w:space="0" w:color="000000"/>
              <w:left w:val="single" w:sz="2" w:space="0" w:color="000000"/>
              <w:bottom w:val="single" w:sz="2" w:space="0" w:color="000000"/>
              <w:right w:val="single" w:sz="2" w:space="0" w:color="000000"/>
            </w:tcBorders>
            <w:vAlign w:val="center"/>
          </w:tcPr>
          <w:p w14:paraId="77F029CB"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7</w:t>
            </w:r>
            <w:r w:rsidRPr="005D0955">
              <w:rPr>
                <w:rFonts w:ascii="Calibri" w:hAnsi="Calibri" w:cs="Calibri"/>
                <w:b/>
                <w:sz w:val="18"/>
                <w:szCs w:val="18"/>
              </w:rPr>
              <w:t> </w:t>
            </w:r>
            <w:r w:rsidRPr="00634E4C">
              <w:rPr>
                <w:rFonts w:asciiTheme="majorHAnsi" w:hAnsiTheme="majorHAnsi"/>
                <w:b/>
                <w:sz w:val="18"/>
              </w:rPr>
              <w:t>995</w:t>
            </w:r>
          </w:p>
        </w:tc>
        <w:tc>
          <w:tcPr>
            <w:tcW w:w="718" w:type="dxa"/>
            <w:tcBorders>
              <w:top w:val="single" w:sz="2" w:space="0" w:color="000000"/>
              <w:left w:val="single" w:sz="2" w:space="0" w:color="000000"/>
              <w:bottom w:val="single" w:sz="2" w:space="0" w:color="000000"/>
              <w:right w:val="single" w:sz="2" w:space="0" w:color="000000"/>
            </w:tcBorders>
            <w:vAlign w:val="center"/>
          </w:tcPr>
          <w:p w14:paraId="53805525"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5</w:t>
            </w:r>
            <w:r w:rsidRPr="005D0955">
              <w:rPr>
                <w:rFonts w:ascii="Calibri" w:hAnsi="Calibri" w:cs="Calibri"/>
                <w:b/>
                <w:sz w:val="18"/>
                <w:szCs w:val="18"/>
              </w:rPr>
              <w:t> </w:t>
            </w:r>
            <w:r w:rsidRPr="00634E4C">
              <w:rPr>
                <w:rFonts w:asciiTheme="majorHAnsi" w:hAnsiTheme="majorHAnsi"/>
                <w:b/>
                <w:sz w:val="18"/>
              </w:rPr>
              <w:t>241</w:t>
            </w:r>
          </w:p>
        </w:tc>
        <w:tc>
          <w:tcPr>
            <w:tcW w:w="723" w:type="dxa"/>
            <w:tcBorders>
              <w:top w:val="single" w:sz="2" w:space="0" w:color="000000"/>
              <w:left w:val="single" w:sz="2" w:space="0" w:color="000000"/>
              <w:bottom w:val="single" w:sz="2" w:space="0" w:color="000000"/>
              <w:right w:val="single" w:sz="2" w:space="0" w:color="000000"/>
            </w:tcBorders>
            <w:vAlign w:val="center"/>
          </w:tcPr>
          <w:p w14:paraId="7D4F5051"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4</w:t>
            </w:r>
            <w:r w:rsidRPr="005D0955">
              <w:rPr>
                <w:rFonts w:ascii="Calibri" w:hAnsi="Calibri" w:cs="Calibri"/>
                <w:b/>
                <w:sz w:val="18"/>
                <w:szCs w:val="18"/>
              </w:rPr>
              <w:t> </w:t>
            </w:r>
            <w:r w:rsidRPr="00634E4C">
              <w:rPr>
                <w:rFonts w:asciiTheme="majorHAnsi" w:hAnsiTheme="majorHAnsi"/>
                <w:b/>
                <w:sz w:val="18"/>
              </w:rPr>
              <w:t>458</w:t>
            </w:r>
          </w:p>
        </w:tc>
        <w:tc>
          <w:tcPr>
            <w:tcW w:w="719" w:type="dxa"/>
            <w:tcBorders>
              <w:top w:val="single" w:sz="2" w:space="0" w:color="000000"/>
              <w:left w:val="single" w:sz="2" w:space="0" w:color="000000"/>
              <w:bottom w:val="single" w:sz="2" w:space="0" w:color="000000"/>
              <w:right w:val="single" w:sz="2" w:space="0" w:color="000000"/>
            </w:tcBorders>
            <w:vAlign w:val="center"/>
          </w:tcPr>
          <w:p w14:paraId="66C9387F" w14:textId="77777777" w:rsidR="00920B68" w:rsidRPr="00634E4C" w:rsidRDefault="00920B68" w:rsidP="00920B68">
            <w:pPr>
              <w:spacing w:line="259" w:lineRule="auto"/>
              <w:ind w:right="29"/>
              <w:jc w:val="center"/>
              <w:rPr>
                <w:rFonts w:asciiTheme="majorHAnsi" w:hAnsiTheme="majorHAnsi"/>
                <w:b/>
                <w:sz w:val="18"/>
              </w:rPr>
            </w:pPr>
            <w:r w:rsidRPr="00634E4C">
              <w:rPr>
                <w:rFonts w:asciiTheme="majorHAnsi" w:hAnsiTheme="majorHAnsi"/>
                <w:b/>
                <w:sz w:val="18"/>
              </w:rPr>
              <w:t>2</w:t>
            </w:r>
            <w:r w:rsidRPr="005D0955">
              <w:rPr>
                <w:rFonts w:ascii="Calibri" w:hAnsi="Calibri" w:cs="Calibri"/>
                <w:b/>
                <w:sz w:val="18"/>
                <w:szCs w:val="18"/>
              </w:rPr>
              <w:t> </w:t>
            </w:r>
            <w:r w:rsidRPr="00634E4C">
              <w:rPr>
                <w:rFonts w:asciiTheme="majorHAnsi" w:hAnsiTheme="majorHAnsi"/>
                <w:b/>
                <w:sz w:val="18"/>
              </w:rPr>
              <w:t>109</w:t>
            </w:r>
          </w:p>
        </w:tc>
      </w:tr>
    </w:tbl>
    <w:p w14:paraId="3EEBD62D" w14:textId="77777777" w:rsidR="00920B68" w:rsidRPr="00364545" w:rsidRDefault="00920B68" w:rsidP="00920B68">
      <w:pPr>
        <w:pStyle w:val="Caption"/>
      </w:pPr>
      <w:r w:rsidRPr="00364545">
        <w:t xml:space="preserve">Table </w:t>
      </w:r>
      <w:fldSimple w:instr=" SEQ Tableau \* ARABIC ">
        <w:r w:rsidRPr="00364545">
          <w:rPr>
            <w:noProof/>
          </w:rPr>
          <w:t>29</w:t>
        </w:r>
      </w:fldSimple>
      <w:r w:rsidRPr="00364545">
        <w:t>: GHG emission projections (in ktCO</w:t>
      </w:r>
      <w:r w:rsidRPr="00364545">
        <w:rPr>
          <w:vertAlign w:val="subscript"/>
        </w:rPr>
        <w:t>2e</w:t>
      </w:r>
      <w:r w:rsidRPr="00364545">
        <w:t>) at the Kyoto scope in the AMS 2018 scenario (with additional measures)</w:t>
      </w:r>
    </w:p>
    <w:p w14:paraId="788462EC" w14:textId="77777777" w:rsidR="00920B68" w:rsidRPr="00364545" w:rsidRDefault="00920B68" w:rsidP="00920B68">
      <w:pPr>
        <w:pStyle w:val="Caption"/>
      </w:pPr>
      <w:r w:rsidRPr="00364545">
        <w:t>Source: UN</w:t>
      </w:r>
      <w:r>
        <w:t>FCCC inventory, Citepa/MTES, 2022</w:t>
      </w:r>
      <w:r w:rsidRPr="00364545">
        <w:t xml:space="preserve"> submission and MTES emission projections, 2018</w:t>
      </w:r>
    </w:p>
    <w:p w14:paraId="09D3EB21" w14:textId="77777777" w:rsidR="00920B68" w:rsidRPr="00364545" w:rsidRDefault="00920B68" w:rsidP="00920B68"/>
    <w:tbl>
      <w:tblPr>
        <w:tblStyle w:val="TableGrid0"/>
        <w:tblW w:w="9934" w:type="dxa"/>
        <w:tblInd w:w="10" w:type="dxa"/>
        <w:tblCellMar>
          <w:top w:w="39" w:type="dxa"/>
          <w:left w:w="28" w:type="dxa"/>
          <w:bottom w:w="2" w:type="dxa"/>
          <w:right w:w="48" w:type="dxa"/>
        </w:tblCellMar>
        <w:tblLook w:val="04A0" w:firstRow="1" w:lastRow="0" w:firstColumn="1" w:lastColumn="0" w:noHBand="0" w:noVBand="1"/>
      </w:tblPr>
      <w:tblGrid>
        <w:gridCol w:w="1426"/>
        <w:gridCol w:w="722"/>
        <w:gridCol w:w="723"/>
        <w:gridCol w:w="724"/>
        <w:gridCol w:w="717"/>
        <w:gridCol w:w="710"/>
        <w:gridCol w:w="710"/>
        <w:gridCol w:w="625"/>
        <w:gridCol w:w="715"/>
        <w:gridCol w:w="715"/>
        <w:gridCol w:w="716"/>
        <w:gridCol w:w="715"/>
        <w:gridCol w:w="716"/>
      </w:tblGrid>
      <w:tr w:rsidR="00920B68" w:rsidRPr="00364545" w14:paraId="5BB99ED3" w14:textId="77777777" w:rsidTr="00920B68">
        <w:trPr>
          <w:trHeight w:val="402"/>
        </w:trPr>
        <w:tc>
          <w:tcPr>
            <w:tcW w:w="1426" w:type="dxa"/>
            <w:tcBorders>
              <w:top w:val="single" w:sz="2" w:space="0" w:color="000000"/>
              <w:left w:val="single" w:sz="2" w:space="0" w:color="000000"/>
              <w:bottom w:val="single" w:sz="2" w:space="0" w:color="000000"/>
              <w:right w:val="single" w:sz="2" w:space="0" w:color="000000"/>
            </w:tcBorders>
            <w:shd w:val="clear" w:color="auto" w:fill="6D2A78"/>
          </w:tcPr>
          <w:p w14:paraId="21EFF9FA" w14:textId="77777777" w:rsidR="00920B68" w:rsidRPr="00364545" w:rsidRDefault="00920B68" w:rsidP="00920B68">
            <w:pPr>
              <w:spacing w:line="259" w:lineRule="auto"/>
            </w:pPr>
            <w:r w:rsidRPr="00364545">
              <w:t>AMS 18 - PFC</w:t>
            </w:r>
          </w:p>
        </w:tc>
        <w:tc>
          <w:tcPr>
            <w:tcW w:w="722" w:type="dxa"/>
            <w:tcBorders>
              <w:top w:val="single" w:sz="2" w:space="0" w:color="000000"/>
              <w:left w:val="single" w:sz="2" w:space="0" w:color="000000"/>
              <w:bottom w:val="single" w:sz="2" w:space="0" w:color="000000"/>
              <w:right w:val="single" w:sz="2" w:space="0" w:color="000000"/>
            </w:tcBorders>
            <w:shd w:val="clear" w:color="auto" w:fill="6D2A78"/>
          </w:tcPr>
          <w:p w14:paraId="0E55AD03" w14:textId="77777777" w:rsidR="00920B68" w:rsidRPr="00364545" w:rsidRDefault="00920B68" w:rsidP="00920B68">
            <w:pPr>
              <w:spacing w:line="259" w:lineRule="auto"/>
              <w:ind w:left="19"/>
              <w:jc w:val="center"/>
            </w:pPr>
            <w:r w:rsidRPr="00364545">
              <w:rPr>
                <w:b/>
                <w:color w:val="FFFFFF"/>
                <w:sz w:val="18"/>
              </w:rPr>
              <w:t xml:space="preserve">1990 </w:t>
            </w:r>
          </w:p>
        </w:tc>
        <w:tc>
          <w:tcPr>
            <w:tcW w:w="723" w:type="dxa"/>
            <w:tcBorders>
              <w:top w:val="single" w:sz="2" w:space="0" w:color="000000"/>
              <w:left w:val="single" w:sz="2" w:space="0" w:color="000000"/>
              <w:bottom w:val="single" w:sz="2" w:space="0" w:color="000000"/>
              <w:right w:val="single" w:sz="2" w:space="0" w:color="000000"/>
            </w:tcBorders>
            <w:shd w:val="clear" w:color="auto" w:fill="6D2A78"/>
          </w:tcPr>
          <w:p w14:paraId="07DB009E"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24" w:type="dxa"/>
            <w:tcBorders>
              <w:top w:val="single" w:sz="2" w:space="0" w:color="000000"/>
              <w:left w:val="single" w:sz="2" w:space="0" w:color="000000"/>
              <w:bottom w:val="single" w:sz="2" w:space="0" w:color="000000"/>
              <w:right w:val="single" w:sz="2" w:space="0" w:color="000000"/>
            </w:tcBorders>
            <w:shd w:val="clear" w:color="auto" w:fill="6D2A78"/>
          </w:tcPr>
          <w:p w14:paraId="77B36D89" w14:textId="77777777" w:rsidR="00920B68" w:rsidRPr="00364545" w:rsidRDefault="00920B68" w:rsidP="00920B68">
            <w:pPr>
              <w:spacing w:line="259" w:lineRule="auto"/>
              <w:ind w:left="21"/>
              <w:jc w:val="center"/>
            </w:pPr>
            <w:r w:rsidRPr="00364545">
              <w:rPr>
                <w:b/>
                <w:color w:val="FFFFFF"/>
                <w:sz w:val="18"/>
              </w:rPr>
              <w:t xml:space="preserve">2000 </w:t>
            </w:r>
          </w:p>
        </w:tc>
        <w:tc>
          <w:tcPr>
            <w:tcW w:w="717" w:type="dxa"/>
            <w:tcBorders>
              <w:top w:val="single" w:sz="2" w:space="0" w:color="000000"/>
              <w:left w:val="single" w:sz="2" w:space="0" w:color="000000"/>
              <w:bottom w:val="single" w:sz="2" w:space="0" w:color="000000"/>
              <w:right w:val="single" w:sz="2" w:space="0" w:color="000000"/>
            </w:tcBorders>
            <w:shd w:val="clear" w:color="auto" w:fill="6D2A78"/>
          </w:tcPr>
          <w:p w14:paraId="397E0D31" w14:textId="77777777" w:rsidR="00920B68" w:rsidRPr="00364545" w:rsidRDefault="00920B68" w:rsidP="00920B68">
            <w:pPr>
              <w:spacing w:line="259" w:lineRule="auto"/>
              <w:ind w:left="19"/>
              <w:jc w:val="center"/>
            </w:pPr>
            <w:r w:rsidRPr="00364545">
              <w:rPr>
                <w:b/>
                <w:color w:val="FFFFFF"/>
                <w:sz w:val="18"/>
              </w:rPr>
              <w:t xml:space="preserve">2005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33CCE459" w14:textId="77777777" w:rsidR="00920B68" w:rsidRPr="00364545" w:rsidRDefault="00920B68" w:rsidP="00920B68">
            <w:pPr>
              <w:spacing w:line="259" w:lineRule="auto"/>
              <w:ind w:left="21"/>
              <w:jc w:val="center"/>
            </w:pPr>
            <w:r w:rsidRPr="00364545">
              <w:rPr>
                <w:b/>
                <w:color w:val="FFFFFF"/>
                <w:sz w:val="18"/>
              </w:rPr>
              <w:t xml:space="preserve">2010 </w:t>
            </w:r>
          </w:p>
        </w:tc>
        <w:tc>
          <w:tcPr>
            <w:tcW w:w="710" w:type="dxa"/>
            <w:tcBorders>
              <w:top w:val="single" w:sz="2" w:space="0" w:color="000000"/>
              <w:left w:val="single" w:sz="2" w:space="0" w:color="000000"/>
              <w:bottom w:val="single" w:sz="2" w:space="0" w:color="000000"/>
              <w:right w:val="single" w:sz="2" w:space="0" w:color="000000"/>
            </w:tcBorders>
            <w:shd w:val="clear" w:color="auto" w:fill="6D2A78"/>
          </w:tcPr>
          <w:p w14:paraId="5660F21D" w14:textId="77777777" w:rsidR="00920B68" w:rsidRPr="00364545" w:rsidRDefault="00920B68" w:rsidP="00920B68">
            <w:pPr>
              <w:spacing w:line="259" w:lineRule="auto"/>
              <w:ind w:left="19"/>
              <w:jc w:val="center"/>
            </w:pPr>
            <w:r w:rsidRPr="00364545">
              <w:rPr>
                <w:b/>
                <w:color w:val="FFFFFF"/>
                <w:sz w:val="18"/>
              </w:rPr>
              <w:t xml:space="preserve">2015 </w:t>
            </w:r>
          </w:p>
        </w:tc>
        <w:tc>
          <w:tcPr>
            <w:tcW w:w="625" w:type="dxa"/>
            <w:tcBorders>
              <w:top w:val="single" w:sz="2" w:space="0" w:color="000000"/>
              <w:left w:val="single" w:sz="2" w:space="0" w:color="000000"/>
              <w:bottom w:val="single" w:sz="2" w:space="0" w:color="000000"/>
              <w:right w:val="single" w:sz="2" w:space="0" w:color="000000"/>
            </w:tcBorders>
            <w:shd w:val="clear" w:color="auto" w:fill="6D2A78"/>
          </w:tcPr>
          <w:p w14:paraId="60351CD2" w14:textId="77777777" w:rsidR="00920B68" w:rsidRPr="00364545" w:rsidRDefault="00920B68" w:rsidP="00920B68">
            <w:pPr>
              <w:spacing w:line="259" w:lineRule="auto"/>
              <w:ind w:left="21"/>
              <w:jc w:val="center"/>
              <w:rPr>
                <w:b/>
                <w:color w:val="FFFFFF"/>
                <w:sz w:val="18"/>
              </w:rPr>
            </w:pPr>
            <w:r>
              <w:rPr>
                <w:b/>
                <w:color w:val="FFFFFF"/>
                <w:sz w:val="18"/>
              </w:rPr>
              <w:t>2019</w:t>
            </w:r>
          </w:p>
        </w:tc>
        <w:tc>
          <w:tcPr>
            <w:tcW w:w="715" w:type="dxa"/>
            <w:tcBorders>
              <w:top w:val="single" w:sz="2" w:space="0" w:color="000000"/>
              <w:left w:val="single" w:sz="2" w:space="0" w:color="000000"/>
              <w:bottom w:val="single" w:sz="2" w:space="0" w:color="000000"/>
              <w:right w:val="single" w:sz="2" w:space="0" w:color="000000"/>
            </w:tcBorders>
            <w:shd w:val="clear" w:color="auto" w:fill="6D2A78"/>
          </w:tcPr>
          <w:p w14:paraId="709F9FC5" w14:textId="77777777" w:rsidR="00920B68" w:rsidRPr="00364545" w:rsidRDefault="00920B68" w:rsidP="00920B68">
            <w:pPr>
              <w:spacing w:line="259" w:lineRule="auto"/>
              <w:ind w:left="21"/>
              <w:jc w:val="center"/>
            </w:pPr>
            <w:r w:rsidRPr="00364545">
              <w:rPr>
                <w:b/>
                <w:color w:val="FFFFFF"/>
                <w:sz w:val="18"/>
              </w:rPr>
              <w:t xml:space="preserve">2020 </w:t>
            </w:r>
          </w:p>
        </w:tc>
        <w:tc>
          <w:tcPr>
            <w:tcW w:w="715" w:type="dxa"/>
            <w:tcBorders>
              <w:top w:val="single" w:sz="2" w:space="0" w:color="000000"/>
              <w:left w:val="single" w:sz="2" w:space="0" w:color="000000"/>
              <w:bottom w:val="single" w:sz="2" w:space="0" w:color="000000"/>
              <w:right w:val="single" w:sz="2" w:space="0" w:color="000000"/>
            </w:tcBorders>
            <w:shd w:val="clear" w:color="auto" w:fill="6D2A78"/>
          </w:tcPr>
          <w:p w14:paraId="36C12F98" w14:textId="77777777" w:rsidR="00920B68" w:rsidRPr="00364545" w:rsidRDefault="00920B68" w:rsidP="00920B68">
            <w:pPr>
              <w:spacing w:line="259" w:lineRule="auto"/>
              <w:ind w:left="19"/>
              <w:jc w:val="center"/>
            </w:pPr>
            <w:r w:rsidRPr="00364545">
              <w:rPr>
                <w:b/>
                <w:color w:val="FFFFFF"/>
                <w:sz w:val="18"/>
              </w:rPr>
              <w:t xml:space="preserve">2025 </w:t>
            </w:r>
          </w:p>
        </w:tc>
        <w:tc>
          <w:tcPr>
            <w:tcW w:w="716" w:type="dxa"/>
            <w:tcBorders>
              <w:top w:val="single" w:sz="2" w:space="0" w:color="000000"/>
              <w:left w:val="single" w:sz="2" w:space="0" w:color="000000"/>
              <w:bottom w:val="single" w:sz="2" w:space="0" w:color="000000"/>
              <w:right w:val="single" w:sz="2" w:space="0" w:color="000000"/>
            </w:tcBorders>
            <w:shd w:val="clear" w:color="auto" w:fill="6D2A78"/>
          </w:tcPr>
          <w:p w14:paraId="2C4BAAC5" w14:textId="77777777" w:rsidR="00920B68" w:rsidRPr="00364545" w:rsidRDefault="00920B68" w:rsidP="00920B68">
            <w:pPr>
              <w:spacing w:line="259" w:lineRule="auto"/>
              <w:ind w:left="21"/>
              <w:jc w:val="center"/>
            </w:pPr>
            <w:r w:rsidRPr="00364545">
              <w:rPr>
                <w:b/>
                <w:color w:val="FFFFFF"/>
                <w:sz w:val="18"/>
              </w:rPr>
              <w:t xml:space="preserve">2030 </w:t>
            </w:r>
          </w:p>
        </w:tc>
        <w:tc>
          <w:tcPr>
            <w:tcW w:w="715" w:type="dxa"/>
            <w:tcBorders>
              <w:top w:val="single" w:sz="2" w:space="0" w:color="000000"/>
              <w:left w:val="single" w:sz="2" w:space="0" w:color="000000"/>
              <w:bottom w:val="single" w:sz="2" w:space="0" w:color="000000"/>
              <w:right w:val="single" w:sz="2" w:space="0" w:color="000000"/>
            </w:tcBorders>
            <w:shd w:val="clear" w:color="auto" w:fill="6D2A78"/>
          </w:tcPr>
          <w:p w14:paraId="6DE30528" w14:textId="77777777" w:rsidR="00920B68" w:rsidRPr="00364545" w:rsidRDefault="00920B68" w:rsidP="00920B68">
            <w:pPr>
              <w:spacing w:line="259" w:lineRule="auto"/>
              <w:ind w:left="20"/>
              <w:jc w:val="center"/>
            </w:pPr>
            <w:r w:rsidRPr="00364545">
              <w:rPr>
                <w:b/>
                <w:color w:val="FFFFFF"/>
                <w:sz w:val="18"/>
              </w:rPr>
              <w:t xml:space="preserve">2035 </w:t>
            </w:r>
          </w:p>
        </w:tc>
        <w:tc>
          <w:tcPr>
            <w:tcW w:w="716" w:type="dxa"/>
            <w:tcBorders>
              <w:top w:val="single" w:sz="2" w:space="0" w:color="000000"/>
              <w:left w:val="single" w:sz="2" w:space="0" w:color="000000"/>
              <w:bottom w:val="single" w:sz="2" w:space="0" w:color="000000"/>
              <w:right w:val="single" w:sz="2" w:space="0" w:color="000000"/>
            </w:tcBorders>
            <w:shd w:val="clear" w:color="auto" w:fill="6D2A78"/>
          </w:tcPr>
          <w:p w14:paraId="3949B536"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4FF05A5E" w14:textId="77777777" w:rsidTr="00920B68">
        <w:trPr>
          <w:trHeight w:val="344"/>
        </w:trPr>
        <w:tc>
          <w:tcPr>
            <w:tcW w:w="1426" w:type="dxa"/>
            <w:tcBorders>
              <w:top w:val="single" w:sz="2" w:space="0" w:color="000000"/>
              <w:left w:val="single" w:sz="2" w:space="0" w:color="000000"/>
              <w:bottom w:val="single" w:sz="2" w:space="0" w:color="000000"/>
              <w:right w:val="single" w:sz="2" w:space="0" w:color="000000"/>
            </w:tcBorders>
          </w:tcPr>
          <w:p w14:paraId="7B0EE60E" w14:textId="77777777" w:rsidR="00920B68" w:rsidRPr="00364545" w:rsidRDefault="00920B68" w:rsidP="00920B68">
            <w:pPr>
              <w:spacing w:line="259" w:lineRule="auto"/>
            </w:pPr>
            <w:r w:rsidRPr="00364545">
              <w:rPr>
                <w:sz w:val="18"/>
              </w:rPr>
              <w:t xml:space="preserve">Energy </w:t>
            </w:r>
          </w:p>
        </w:tc>
        <w:tc>
          <w:tcPr>
            <w:tcW w:w="722" w:type="dxa"/>
            <w:tcBorders>
              <w:top w:val="single" w:sz="2" w:space="0" w:color="000000"/>
              <w:left w:val="single" w:sz="2" w:space="0" w:color="000000"/>
              <w:bottom w:val="single" w:sz="2" w:space="0" w:color="000000"/>
              <w:right w:val="single" w:sz="2" w:space="0" w:color="000000"/>
            </w:tcBorders>
            <w:vAlign w:val="center"/>
          </w:tcPr>
          <w:p w14:paraId="059CAC63"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668E0AD5"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4" w:type="dxa"/>
            <w:tcBorders>
              <w:top w:val="single" w:sz="2" w:space="0" w:color="000000"/>
              <w:left w:val="single" w:sz="2" w:space="0" w:color="000000"/>
              <w:bottom w:val="single" w:sz="2" w:space="0" w:color="000000"/>
              <w:right w:val="single" w:sz="2" w:space="0" w:color="000000"/>
            </w:tcBorders>
            <w:vAlign w:val="center"/>
          </w:tcPr>
          <w:p w14:paraId="72428869"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7" w:type="dxa"/>
            <w:tcBorders>
              <w:top w:val="single" w:sz="2" w:space="0" w:color="000000"/>
              <w:left w:val="single" w:sz="2" w:space="0" w:color="000000"/>
              <w:bottom w:val="single" w:sz="2" w:space="0" w:color="000000"/>
              <w:right w:val="single" w:sz="2" w:space="0" w:color="000000"/>
            </w:tcBorders>
            <w:vAlign w:val="center"/>
          </w:tcPr>
          <w:p w14:paraId="7D7807B9"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00CD2D7C"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5A56A977"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625" w:type="dxa"/>
            <w:tcBorders>
              <w:top w:val="single" w:sz="2" w:space="0" w:color="000000"/>
              <w:left w:val="single" w:sz="2" w:space="0" w:color="000000"/>
              <w:bottom w:val="single" w:sz="2" w:space="0" w:color="000000"/>
              <w:right w:val="single" w:sz="2" w:space="0" w:color="000000"/>
            </w:tcBorders>
            <w:vAlign w:val="center"/>
          </w:tcPr>
          <w:p w14:paraId="49B015A5"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033B30F7"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10D214ED"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vAlign w:val="center"/>
          </w:tcPr>
          <w:p w14:paraId="66798D7B"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6035A02B"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vAlign w:val="center"/>
          </w:tcPr>
          <w:p w14:paraId="044E6E76" w14:textId="77777777" w:rsidR="00920B68" w:rsidRPr="00364545" w:rsidRDefault="00920B68" w:rsidP="00920B68">
            <w:pPr>
              <w:spacing w:line="259" w:lineRule="auto"/>
              <w:ind w:left="16"/>
              <w:jc w:val="center"/>
              <w:rPr>
                <w:sz w:val="18"/>
              </w:rPr>
            </w:pPr>
            <w:r w:rsidRPr="00364545">
              <w:rPr>
                <w:sz w:val="18"/>
              </w:rPr>
              <w:t>0</w:t>
            </w:r>
          </w:p>
        </w:tc>
      </w:tr>
      <w:tr w:rsidR="00920B68" w:rsidRPr="00364545" w14:paraId="788D3129" w14:textId="77777777" w:rsidTr="00920B68">
        <w:trPr>
          <w:trHeight w:val="419"/>
        </w:trPr>
        <w:tc>
          <w:tcPr>
            <w:tcW w:w="1426" w:type="dxa"/>
            <w:tcBorders>
              <w:top w:val="single" w:sz="2" w:space="0" w:color="000000"/>
              <w:left w:val="single" w:sz="2" w:space="0" w:color="000000"/>
              <w:bottom w:val="single" w:sz="2" w:space="0" w:color="000000"/>
              <w:right w:val="single" w:sz="2" w:space="0" w:color="000000"/>
            </w:tcBorders>
            <w:shd w:val="clear" w:color="auto" w:fill="ECE6E2"/>
          </w:tcPr>
          <w:p w14:paraId="52C79626" w14:textId="77777777" w:rsidR="00920B68" w:rsidRPr="00364545" w:rsidRDefault="00920B68" w:rsidP="00920B68">
            <w:pPr>
              <w:spacing w:line="259" w:lineRule="auto"/>
            </w:pPr>
            <w:r w:rsidRPr="00364545">
              <w:rPr>
                <w:sz w:val="18"/>
              </w:rPr>
              <w:t xml:space="preserve">Industrial processes, solvents and other products </w:t>
            </w:r>
          </w:p>
        </w:tc>
        <w:tc>
          <w:tcPr>
            <w:tcW w:w="7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DD80D04" w14:textId="77777777" w:rsidR="00920B68" w:rsidRPr="00364545" w:rsidRDefault="00920B68" w:rsidP="00920B68">
            <w:pPr>
              <w:spacing w:line="259" w:lineRule="auto"/>
              <w:ind w:left="16"/>
              <w:jc w:val="center"/>
              <w:rPr>
                <w:sz w:val="18"/>
              </w:rPr>
            </w:pPr>
            <w:r w:rsidRPr="005D0955">
              <w:rPr>
                <w:rFonts w:asciiTheme="majorHAnsi" w:hAnsiTheme="majorHAnsi"/>
                <w:sz w:val="18"/>
                <w:szCs w:val="18"/>
              </w:rPr>
              <w:t>5202</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4782ACA" w14:textId="77777777" w:rsidR="00920B68" w:rsidRPr="00364545" w:rsidRDefault="00920B68" w:rsidP="00920B68">
            <w:pPr>
              <w:spacing w:line="259" w:lineRule="auto"/>
              <w:ind w:left="16"/>
              <w:jc w:val="center"/>
              <w:rPr>
                <w:sz w:val="18"/>
              </w:rPr>
            </w:pPr>
            <w:r w:rsidRPr="005D0955">
              <w:rPr>
                <w:rFonts w:asciiTheme="majorHAnsi" w:hAnsiTheme="majorHAnsi"/>
                <w:sz w:val="18"/>
                <w:szCs w:val="18"/>
              </w:rPr>
              <w:t>3065</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0E8D81" w14:textId="77777777" w:rsidR="00920B68" w:rsidRPr="00364545" w:rsidRDefault="00920B68" w:rsidP="00920B68">
            <w:pPr>
              <w:spacing w:line="259" w:lineRule="auto"/>
              <w:ind w:left="16"/>
              <w:jc w:val="center"/>
              <w:rPr>
                <w:sz w:val="18"/>
              </w:rPr>
            </w:pPr>
            <w:r w:rsidRPr="005D0955">
              <w:rPr>
                <w:rFonts w:asciiTheme="majorHAnsi" w:hAnsiTheme="majorHAnsi"/>
                <w:sz w:val="18"/>
                <w:szCs w:val="18"/>
              </w:rPr>
              <w:t>2997</w:t>
            </w:r>
          </w:p>
        </w:tc>
        <w:tc>
          <w:tcPr>
            <w:tcW w:w="71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6576D18" w14:textId="77777777" w:rsidR="00920B68" w:rsidRPr="00364545" w:rsidRDefault="00920B68" w:rsidP="00920B68">
            <w:pPr>
              <w:spacing w:line="259" w:lineRule="auto"/>
              <w:ind w:left="16"/>
              <w:jc w:val="center"/>
              <w:rPr>
                <w:sz w:val="18"/>
              </w:rPr>
            </w:pPr>
            <w:r w:rsidRPr="005D0955">
              <w:rPr>
                <w:rFonts w:asciiTheme="majorHAnsi" w:hAnsiTheme="majorHAnsi"/>
                <w:sz w:val="18"/>
                <w:szCs w:val="18"/>
              </w:rPr>
              <w:t>1760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012CC0" w14:textId="77777777" w:rsidR="00920B68" w:rsidRPr="00364545" w:rsidRDefault="00920B68" w:rsidP="00920B68">
            <w:pPr>
              <w:spacing w:line="259" w:lineRule="auto"/>
              <w:ind w:left="16"/>
              <w:jc w:val="center"/>
              <w:rPr>
                <w:sz w:val="18"/>
              </w:rPr>
            </w:pPr>
            <w:r w:rsidRPr="00634E4C">
              <w:rPr>
                <w:rFonts w:asciiTheme="majorHAnsi" w:hAnsiTheme="majorHAnsi"/>
                <w:sz w:val="18"/>
              </w:rPr>
              <w:t>617</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1EA555" w14:textId="77777777" w:rsidR="00920B68" w:rsidRPr="00364545" w:rsidRDefault="00920B68" w:rsidP="00920B68">
            <w:pPr>
              <w:spacing w:line="259" w:lineRule="auto"/>
              <w:ind w:left="16"/>
              <w:jc w:val="center"/>
              <w:rPr>
                <w:sz w:val="18"/>
              </w:rPr>
            </w:pPr>
            <w:r w:rsidRPr="00634E4C">
              <w:rPr>
                <w:rFonts w:asciiTheme="majorHAnsi" w:hAnsiTheme="majorHAnsi"/>
                <w:sz w:val="18"/>
              </w:rPr>
              <w:t>537</w:t>
            </w:r>
          </w:p>
        </w:tc>
        <w:tc>
          <w:tcPr>
            <w:tcW w:w="6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5B970B6" w14:textId="77777777" w:rsidR="00920B68" w:rsidRPr="00364545" w:rsidRDefault="00920B68" w:rsidP="00920B68">
            <w:pPr>
              <w:spacing w:line="259" w:lineRule="auto"/>
              <w:ind w:left="16"/>
              <w:jc w:val="center"/>
              <w:rPr>
                <w:sz w:val="18"/>
              </w:rPr>
            </w:pPr>
            <w:r w:rsidRPr="005D0955">
              <w:rPr>
                <w:rFonts w:asciiTheme="majorHAnsi" w:hAnsiTheme="majorHAnsi"/>
                <w:sz w:val="18"/>
                <w:szCs w:val="18"/>
              </w:rPr>
              <w:t>615</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625F737" w14:textId="77777777" w:rsidR="00920B68" w:rsidRPr="00364545" w:rsidRDefault="00920B68" w:rsidP="00920B68">
            <w:pPr>
              <w:spacing w:line="259" w:lineRule="auto"/>
              <w:ind w:left="16"/>
              <w:jc w:val="center"/>
              <w:rPr>
                <w:sz w:val="18"/>
              </w:rPr>
            </w:pPr>
            <w:r w:rsidRPr="00364545">
              <w:rPr>
                <w:sz w:val="18"/>
              </w:rPr>
              <w:t>479</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989F7FC" w14:textId="77777777" w:rsidR="00920B68" w:rsidRPr="00364545" w:rsidRDefault="00920B68" w:rsidP="00920B68">
            <w:pPr>
              <w:spacing w:line="259" w:lineRule="auto"/>
              <w:ind w:left="16"/>
              <w:jc w:val="center"/>
              <w:rPr>
                <w:sz w:val="18"/>
              </w:rPr>
            </w:pPr>
            <w:r w:rsidRPr="00364545">
              <w:rPr>
                <w:sz w:val="18"/>
              </w:rPr>
              <w:t>395</w:t>
            </w:r>
          </w:p>
        </w:tc>
        <w:tc>
          <w:tcPr>
            <w:tcW w:w="71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FB53D1" w14:textId="77777777" w:rsidR="00920B68" w:rsidRPr="00364545" w:rsidRDefault="00920B68" w:rsidP="00920B68">
            <w:pPr>
              <w:spacing w:line="259" w:lineRule="auto"/>
              <w:ind w:left="16"/>
              <w:jc w:val="center"/>
              <w:rPr>
                <w:sz w:val="18"/>
              </w:rPr>
            </w:pPr>
            <w:r w:rsidRPr="00364545">
              <w:rPr>
                <w:sz w:val="18"/>
              </w:rPr>
              <w:t>330</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0CB4786" w14:textId="77777777" w:rsidR="00920B68" w:rsidRPr="00364545" w:rsidRDefault="00920B68" w:rsidP="00920B68">
            <w:pPr>
              <w:spacing w:line="259" w:lineRule="auto"/>
              <w:ind w:left="16"/>
              <w:jc w:val="center"/>
              <w:rPr>
                <w:sz w:val="18"/>
              </w:rPr>
            </w:pPr>
            <w:r w:rsidRPr="00364545">
              <w:rPr>
                <w:sz w:val="18"/>
              </w:rPr>
              <w:t>299</w:t>
            </w:r>
          </w:p>
        </w:tc>
        <w:tc>
          <w:tcPr>
            <w:tcW w:w="71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83CE46" w14:textId="77777777" w:rsidR="00920B68" w:rsidRPr="00364545" w:rsidRDefault="00920B68" w:rsidP="00920B68">
            <w:pPr>
              <w:spacing w:line="259" w:lineRule="auto"/>
              <w:ind w:left="16"/>
              <w:jc w:val="center"/>
              <w:rPr>
                <w:sz w:val="18"/>
              </w:rPr>
            </w:pPr>
            <w:r w:rsidRPr="00364545">
              <w:rPr>
                <w:sz w:val="18"/>
              </w:rPr>
              <w:t>205</w:t>
            </w:r>
          </w:p>
        </w:tc>
      </w:tr>
      <w:tr w:rsidR="00920B68" w:rsidRPr="00364545" w14:paraId="15C7CEDB" w14:textId="77777777" w:rsidTr="00920B68">
        <w:trPr>
          <w:trHeight w:val="347"/>
        </w:trPr>
        <w:tc>
          <w:tcPr>
            <w:tcW w:w="1426" w:type="dxa"/>
            <w:tcBorders>
              <w:top w:val="single" w:sz="2" w:space="0" w:color="000000"/>
              <w:left w:val="single" w:sz="2" w:space="0" w:color="000000"/>
              <w:bottom w:val="single" w:sz="2" w:space="0" w:color="000000"/>
              <w:right w:val="single" w:sz="2" w:space="0" w:color="000000"/>
            </w:tcBorders>
          </w:tcPr>
          <w:p w14:paraId="5BA3FB03" w14:textId="77777777" w:rsidR="00920B68" w:rsidRPr="00364545" w:rsidRDefault="00920B68" w:rsidP="00920B68">
            <w:pPr>
              <w:spacing w:line="259" w:lineRule="auto"/>
            </w:pPr>
            <w:r w:rsidRPr="00364545">
              <w:rPr>
                <w:sz w:val="18"/>
              </w:rPr>
              <w:t xml:space="preserve">Agriculture (excluding energy) </w:t>
            </w:r>
          </w:p>
        </w:tc>
        <w:tc>
          <w:tcPr>
            <w:tcW w:w="722" w:type="dxa"/>
            <w:tcBorders>
              <w:top w:val="single" w:sz="2" w:space="0" w:color="000000"/>
              <w:left w:val="single" w:sz="2" w:space="0" w:color="000000"/>
              <w:bottom w:val="single" w:sz="2" w:space="0" w:color="000000"/>
              <w:right w:val="single" w:sz="2" w:space="0" w:color="000000"/>
            </w:tcBorders>
            <w:vAlign w:val="center"/>
          </w:tcPr>
          <w:p w14:paraId="3CE18B84"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33B2103C"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4" w:type="dxa"/>
            <w:tcBorders>
              <w:top w:val="single" w:sz="2" w:space="0" w:color="000000"/>
              <w:left w:val="single" w:sz="2" w:space="0" w:color="000000"/>
              <w:bottom w:val="single" w:sz="2" w:space="0" w:color="000000"/>
              <w:right w:val="single" w:sz="2" w:space="0" w:color="000000"/>
            </w:tcBorders>
            <w:vAlign w:val="center"/>
          </w:tcPr>
          <w:p w14:paraId="51259A00"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7" w:type="dxa"/>
            <w:tcBorders>
              <w:top w:val="single" w:sz="2" w:space="0" w:color="000000"/>
              <w:left w:val="single" w:sz="2" w:space="0" w:color="000000"/>
              <w:bottom w:val="single" w:sz="2" w:space="0" w:color="000000"/>
              <w:right w:val="single" w:sz="2" w:space="0" w:color="000000"/>
            </w:tcBorders>
            <w:vAlign w:val="center"/>
          </w:tcPr>
          <w:p w14:paraId="2A91C16D"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34B63AC1"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4DF8D4E1"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625" w:type="dxa"/>
            <w:tcBorders>
              <w:top w:val="single" w:sz="2" w:space="0" w:color="000000"/>
              <w:left w:val="single" w:sz="2" w:space="0" w:color="000000"/>
              <w:bottom w:val="single" w:sz="2" w:space="0" w:color="000000"/>
              <w:right w:val="single" w:sz="2" w:space="0" w:color="000000"/>
            </w:tcBorders>
            <w:vAlign w:val="center"/>
          </w:tcPr>
          <w:p w14:paraId="5E0BA29D"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7F6A49EE"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2BA33B0E"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vAlign w:val="center"/>
          </w:tcPr>
          <w:p w14:paraId="301D4AD9"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6ECD3A99"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vAlign w:val="center"/>
          </w:tcPr>
          <w:p w14:paraId="524E02A1" w14:textId="77777777" w:rsidR="00920B68" w:rsidRPr="00364545" w:rsidRDefault="00920B68" w:rsidP="00920B68">
            <w:pPr>
              <w:spacing w:line="259" w:lineRule="auto"/>
              <w:ind w:left="16"/>
              <w:jc w:val="center"/>
              <w:rPr>
                <w:sz w:val="18"/>
              </w:rPr>
            </w:pPr>
            <w:r w:rsidRPr="00364545">
              <w:rPr>
                <w:sz w:val="18"/>
              </w:rPr>
              <w:t>0</w:t>
            </w:r>
          </w:p>
        </w:tc>
      </w:tr>
      <w:tr w:rsidR="00920B68" w:rsidRPr="00364545" w14:paraId="7BB57BCA" w14:textId="77777777" w:rsidTr="00920B68">
        <w:trPr>
          <w:trHeight w:val="342"/>
        </w:trPr>
        <w:tc>
          <w:tcPr>
            <w:tcW w:w="1426" w:type="dxa"/>
            <w:tcBorders>
              <w:top w:val="single" w:sz="2" w:space="0" w:color="000000"/>
              <w:left w:val="single" w:sz="2" w:space="0" w:color="000000"/>
              <w:bottom w:val="single" w:sz="2" w:space="0" w:color="000000"/>
              <w:right w:val="single" w:sz="2" w:space="0" w:color="000000"/>
            </w:tcBorders>
            <w:shd w:val="clear" w:color="auto" w:fill="ECE6E2"/>
          </w:tcPr>
          <w:p w14:paraId="2D575E68" w14:textId="77777777" w:rsidR="00920B68" w:rsidRPr="00364545" w:rsidRDefault="00920B68" w:rsidP="00920B68">
            <w:pPr>
              <w:spacing w:line="259" w:lineRule="auto"/>
            </w:pPr>
            <w:r w:rsidRPr="00364545">
              <w:rPr>
                <w:sz w:val="18"/>
              </w:rPr>
              <w:t xml:space="preserve">LULUCF </w:t>
            </w:r>
          </w:p>
        </w:tc>
        <w:tc>
          <w:tcPr>
            <w:tcW w:w="7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CD9420"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8B84905"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0D623E8"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22C1BA7"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12D9B20"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DA50E94"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6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02D0DCC"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B771045"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B7F3A5"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90ACCD7"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E615462"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6EF0C3D" w14:textId="77777777" w:rsidR="00920B68" w:rsidRPr="00364545" w:rsidRDefault="00920B68" w:rsidP="00920B68">
            <w:pPr>
              <w:spacing w:line="259" w:lineRule="auto"/>
              <w:ind w:left="16"/>
              <w:jc w:val="center"/>
              <w:rPr>
                <w:sz w:val="18"/>
              </w:rPr>
            </w:pPr>
            <w:r w:rsidRPr="00364545">
              <w:rPr>
                <w:sz w:val="18"/>
              </w:rPr>
              <w:t>0</w:t>
            </w:r>
          </w:p>
        </w:tc>
      </w:tr>
      <w:tr w:rsidR="00920B68" w:rsidRPr="00364545" w14:paraId="1D1D61DA" w14:textId="77777777" w:rsidTr="00920B68">
        <w:trPr>
          <w:trHeight w:val="347"/>
        </w:trPr>
        <w:tc>
          <w:tcPr>
            <w:tcW w:w="1426" w:type="dxa"/>
            <w:tcBorders>
              <w:top w:val="single" w:sz="2" w:space="0" w:color="000000"/>
              <w:left w:val="single" w:sz="2" w:space="0" w:color="000000"/>
              <w:bottom w:val="single" w:sz="2" w:space="0" w:color="000000"/>
              <w:right w:val="single" w:sz="2" w:space="0" w:color="000000"/>
            </w:tcBorders>
          </w:tcPr>
          <w:p w14:paraId="7C5AE958" w14:textId="77777777" w:rsidR="00920B68" w:rsidRPr="00364545" w:rsidRDefault="00920B68" w:rsidP="00920B68">
            <w:pPr>
              <w:spacing w:line="259" w:lineRule="auto"/>
            </w:pPr>
            <w:r w:rsidRPr="00364545">
              <w:rPr>
                <w:sz w:val="18"/>
              </w:rPr>
              <w:t xml:space="preserve">Waste </w:t>
            </w:r>
          </w:p>
        </w:tc>
        <w:tc>
          <w:tcPr>
            <w:tcW w:w="722" w:type="dxa"/>
            <w:tcBorders>
              <w:top w:val="single" w:sz="2" w:space="0" w:color="000000"/>
              <w:left w:val="single" w:sz="2" w:space="0" w:color="000000"/>
              <w:bottom w:val="single" w:sz="2" w:space="0" w:color="000000"/>
              <w:right w:val="single" w:sz="2" w:space="0" w:color="000000"/>
            </w:tcBorders>
            <w:vAlign w:val="center"/>
          </w:tcPr>
          <w:p w14:paraId="46B6C3A3"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3" w:type="dxa"/>
            <w:tcBorders>
              <w:top w:val="single" w:sz="2" w:space="0" w:color="000000"/>
              <w:left w:val="single" w:sz="2" w:space="0" w:color="000000"/>
              <w:bottom w:val="single" w:sz="2" w:space="0" w:color="000000"/>
              <w:right w:val="single" w:sz="2" w:space="0" w:color="000000"/>
            </w:tcBorders>
            <w:vAlign w:val="center"/>
          </w:tcPr>
          <w:p w14:paraId="6C7C28FE"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24" w:type="dxa"/>
            <w:tcBorders>
              <w:top w:val="single" w:sz="2" w:space="0" w:color="000000"/>
              <w:left w:val="single" w:sz="2" w:space="0" w:color="000000"/>
              <w:bottom w:val="single" w:sz="2" w:space="0" w:color="000000"/>
              <w:right w:val="single" w:sz="2" w:space="0" w:color="000000"/>
            </w:tcBorders>
            <w:vAlign w:val="center"/>
          </w:tcPr>
          <w:p w14:paraId="723D7DE0"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7" w:type="dxa"/>
            <w:tcBorders>
              <w:top w:val="single" w:sz="2" w:space="0" w:color="000000"/>
              <w:left w:val="single" w:sz="2" w:space="0" w:color="000000"/>
              <w:bottom w:val="single" w:sz="2" w:space="0" w:color="000000"/>
              <w:right w:val="single" w:sz="2" w:space="0" w:color="000000"/>
            </w:tcBorders>
            <w:vAlign w:val="center"/>
          </w:tcPr>
          <w:p w14:paraId="3C12DFE7"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3B247F8E"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0" w:type="dxa"/>
            <w:tcBorders>
              <w:top w:val="single" w:sz="2" w:space="0" w:color="000000"/>
              <w:left w:val="single" w:sz="2" w:space="0" w:color="000000"/>
              <w:bottom w:val="single" w:sz="2" w:space="0" w:color="000000"/>
              <w:right w:val="single" w:sz="2" w:space="0" w:color="000000"/>
            </w:tcBorders>
            <w:vAlign w:val="center"/>
          </w:tcPr>
          <w:p w14:paraId="023E2DE0"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625" w:type="dxa"/>
            <w:tcBorders>
              <w:top w:val="single" w:sz="2" w:space="0" w:color="000000"/>
              <w:left w:val="single" w:sz="2" w:space="0" w:color="000000"/>
              <w:bottom w:val="single" w:sz="2" w:space="0" w:color="000000"/>
              <w:right w:val="single" w:sz="2" w:space="0" w:color="000000"/>
            </w:tcBorders>
            <w:vAlign w:val="center"/>
          </w:tcPr>
          <w:p w14:paraId="2672A233" w14:textId="77777777" w:rsidR="00920B68" w:rsidRPr="00364545" w:rsidRDefault="00920B68" w:rsidP="00920B68">
            <w:pPr>
              <w:spacing w:line="259" w:lineRule="auto"/>
              <w:ind w:left="16"/>
              <w:jc w:val="center"/>
              <w:rPr>
                <w:sz w:val="18"/>
              </w:rPr>
            </w:pPr>
            <w:r w:rsidRPr="00634E4C">
              <w:rPr>
                <w:rFonts w:asciiTheme="majorHAnsi" w:hAnsiTheme="majorHAnsi"/>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16C53E5F"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27F683B3"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vAlign w:val="center"/>
          </w:tcPr>
          <w:p w14:paraId="372744EB" w14:textId="77777777" w:rsidR="00920B68" w:rsidRPr="00364545" w:rsidRDefault="00920B68" w:rsidP="00920B68">
            <w:pPr>
              <w:spacing w:line="259" w:lineRule="auto"/>
              <w:ind w:left="16"/>
              <w:jc w:val="center"/>
              <w:rPr>
                <w:sz w:val="18"/>
              </w:rPr>
            </w:pPr>
            <w:r w:rsidRPr="00364545">
              <w:rPr>
                <w:sz w:val="18"/>
              </w:rPr>
              <w:t>0</w:t>
            </w:r>
          </w:p>
        </w:tc>
        <w:tc>
          <w:tcPr>
            <w:tcW w:w="715" w:type="dxa"/>
            <w:tcBorders>
              <w:top w:val="single" w:sz="2" w:space="0" w:color="000000"/>
              <w:left w:val="single" w:sz="2" w:space="0" w:color="000000"/>
              <w:bottom w:val="single" w:sz="2" w:space="0" w:color="000000"/>
              <w:right w:val="single" w:sz="2" w:space="0" w:color="000000"/>
            </w:tcBorders>
            <w:vAlign w:val="center"/>
          </w:tcPr>
          <w:p w14:paraId="788BAB82" w14:textId="77777777" w:rsidR="00920B68" w:rsidRPr="00364545" w:rsidRDefault="00920B68" w:rsidP="00920B68">
            <w:pPr>
              <w:spacing w:line="259" w:lineRule="auto"/>
              <w:ind w:left="16"/>
              <w:jc w:val="center"/>
              <w:rPr>
                <w:sz w:val="18"/>
              </w:rPr>
            </w:pPr>
            <w:r w:rsidRPr="00364545">
              <w:rPr>
                <w:sz w:val="18"/>
              </w:rPr>
              <w:t>0</w:t>
            </w:r>
          </w:p>
        </w:tc>
        <w:tc>
          <w:tcPr>
            <w:tcW w:w="716" w:type="dxa"/>
            <w:tcBorders>
              <w:top w:val="single" w:sz="2" w:space="0" w:color="000000"/>
              <w:left w:val="single" w:sz="2" w:space="0" w:color="000000"/>
              <w:bottom w:val="single" w:sz="2" w:space="0" w:color="000000"/>
              <w:right w:val="single" w:sz="2" w:space="0" w:color="000000"/>
            </w:tcBorders>
            <w:vAlign w:val="center"/>
          </w:tcPr>
          <w:p w14:paraId="213F86A6" w14:textId="77777777" w:rsidR="00920B68" w:rsidRPr="00364545" w:rsidRDefault="00920B68" w:rsidP="00920B68">
            <w:pPr>
              <w:spacing w:line="259" w:lineRule="auto"/>
              <w:ind w:left="16"/>
              <w:jc w:val="center"/>
              <w:rPr>
                <w:sz w:val="18"/>
              </w:rPr>
            </w:pPr>
            <w:r w:rsidRPr="00364545">
              <w:rPr>
                <w:sz w:val="18"/>
              </w:rPr>
              <w:t>0</w:t>
            </w:r>
          </w:p>
        </w:tc>
      </w:tr>
      <w:tr w:rsidR="00920B68" w:rsidRPr="00364545" w14:paraId="79BF79F1" w14:textId="77777777" w:rsidTr="00920B68">
        <w:trPr>
          <w:trHeight w:val="344"/>
        </w:trPr>
        <w:tc>
          <w:tcPr>
            <w:tcW w:w="1426" w:type="dxa"/>
            <w:tcBorders>
              <w:top w:val="single" w:sz="2" w:space="0" w:color="000000"/>
              <w:left w:val="single" w:sz="2" w:space="0" w:color="000000"/>
              <w:bottom w:val="single" w:sz="2" w:space="0" w:color="000000"/>
              <w:right w:val="single" w:sz="2" w:space="0" w:color="000000"/>
            </w:tcBorders>
            <w:shd w:val="clear" w:color="auto" w:fill="ECE6E2"/>
          </w:tcPr>
          <w:p w14:paraId="0B3FAFFB" w14:textId="77777777" w:rsidR="00920B68" w:rsidRPr="00364545" w:rsidRDefault="00920B68" w:rsidP="00920B68">
            <w:pPr>
              <w:spacing w:line="259" w:lineRule="auto"/>
            </w:pPr>
            <w:r w:rsidRPr="00364545">
              <w:rPr>
                <w:b/>
                <w:sz w:val="18"/>
              </w:rPr>
              <w:t xml:space="preserve">Ensemble (hors UTCF) </w:t>
            </w:r>
          </w:p>
        </w:tc>
        <w:tc>
          <w:tcPr>
            <w:tcW w:w="7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54EE41C" w14:textId="77777777" w:rsidR="00920B68" w:rsidRPr="00364545" w:rsidRDefault="00920B68" w:rsidP="00920B68">
            <w:pPr>
              <w:spacing w:line="259" w:lineRule="auto"/>
              <w:ind w:left="16"/>
              <w:jc w:val="center"/>
              <w:rPr>
                <w:b/>
                <w:sz w:val="18"/>
              </w:rPr>
            </w:pPr>
            <w:r w:rsidRPr="005D0955">
              <w:rPr>
                <w:rFonts w:asciiTheme="majorHAnsi" w:hAnsiTheme="majorHAnsi"/>
                <w:sz w:val="18"/>
                <w:szCs w:val="18"/>
              </w:rPr>
              <w:t>5202</w:t>
            </w:r>
          </w:p>
        </w:tc>
        <w:tc>
          <w:tcPr>
            <w:tcW w:w="72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E91DB4A" w14:textId="77777777" w:rsidR="00920B68" w:rsidRPr="00364545" w:rsidRDefault="00920B68" w:rsidP="00920B68">
            <w:pPr>
              <w:spacing w:line="259" w:lineRule="auto"/>
              <w:ind w:left="19"/>
              <w:jc w:val="center"/>
              <w:rPr>
                <w:b/>
                <w:sz w:val="18"/>
              </w:rPr>
            </w:pPr>
            <w:r w:rsidRPr="005D0955">
              <w:rPr>
                <w:rFonts w:asciiTheme="majorHAnsi" w:hAnsiTheme="majorHAnsi"/>
                <w:sz w:val="18"/>
                <w:szCs w:val="18"/>
              </w:rPr>
              <w:t>3065</w:t>
            </w:r>
          </w:p>
        </w:tc>
        <w:tc>
          <w:tcPr>
            <w:tcW w:w="72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968CE9" w14:textId="77777777" w:rsidR="00920B68" w:rsidRPr="00364545" w:rsidRDefault="00920B68" w:rsidP="00920B68">
            <w:pPr>
              <w:spacing w:line="259" w:lineRule="auto"/>
              <w:ind w:left="19"/>
              <w:jc w:val="center"/>
              <w:rPr>
                <w:b/>
                <w:sz w:val="18"/>
              </w:rPr>
            </w:pPr>
            <w:r w:rsidRPr="005D0955">
              <w:rPr>
                <w:rFonts w:asciiTheme="majorHAnsi" w:hAnsiTheme="majorHAnsi"/>
                <w:sz w:val="18"/>
                <w:szCs w:val="18"/>
              </w:rPr>
              <w:t>2997</w:t>
            </w:r>
          </w:p>
        </w:tc>
        <w:tc>
          <w:tcPr>
            <w:tcW w:w="71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6A8971E" w14:textId="77777777" w:rsidR="00920B68" w:rsidRPr="00364545" w:rsidRDefault="00920B68" w:rsidP="00920B68">
            <w:pPr>
              <w:spacing w:line="259" w:lineRule="auto"/>
              <w:ind w:left="16"/>
              <w:jc w:val="center"/>
              <w:rPr>
                <w:b/>
                <w:sz w:val="18"/>
              </w:rPr>
            </w:pPr>
            <w:r w:rsidRPr="005D0955">
              <w:rPr>
                <w:rFonts w:asciiTheme="majorHAnsi" w:hAnsiTheme="majorHAnsi"/>
                <w:sz w:val="18"/>
                <w:szCs w:val="18"/>
              </w:rPr>
              <w:t>1760</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CBA36E3" w14:textId="77777777" w:rsidR="00920B68" w:rsidRPr="00364545" w:rsidRDefault="00920B68" w:rsidP="00920B68">
            <w:pPr>
              <w:spacing w:line="259" w:lineRule="auto"/>
              <w:ind w:left="21"/>
              <w:jc w:val="center"/>
              <w:rPr>
                <w:b/>
                <w:sz w:val="18"/>
              </w:rPr>
            </w:pPr>
            <w:r w:rsidRPr="00634E4C">
              <w:rPr>
                <w:rFonts w:asciiTheme="majorHAnsi" w:hAnsiTheme="majorHAnsi"/>
                <w:sz w:val="18"/>
              </w:rPr>
              <w:t>617</w:t>
            </w:r>
          </w:p>
        </w:tc>
        <w:tc>
          <w:tcPr>
            <w:tcW w:w="71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ED865E7" w14:textId="77777777" w:rsidR="00920B68" w:rsidRPr="00364545" w:rsidRDefault="00920B68" w:rsidP="00920B68">
            <w:pPr>
              <w:spacing w:line="259" w:lineRule="auto"/>
              <w:ind w:left="19"/>
              <w:jc w:val="center"/>
              <w:rPr>
                <w:b/>
                <w:sz w:val="18"/>
              </w:rPr>
            </w:pPr>
            <w:r w:rsidRPr="00634E4C">
              <w:rPr>
                <w:rFonts w:asciiTheme="majorHAnsi" w:hAnsiTheme="majorHAnsi"/>
                <w:sz w:val="18"/>
              </w:rPr>
              <w:t>537</w:t>
            </w:r>
          </w:p>
        </w:tc>
        <w:tc>
          <w:tcPr>
            <w:tcW w:w="62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ECA14AD" w14:textId="77777777" w:rsidR="00920B68" w:rsidRPr="00364545" w:rsidRDefault="00920B68" w:rsidP="00920B68">
            <w:pPr>
              <w:spacing w:line="259" w:lineRule="auto"/>
              <w:ind w:left="21"/>
              <w:jc w:val="center"/>
              <w:rPr>
                <w:b/>
                <w:sz w:val="18"/>
              </w:rPr>
            </w:pPr>
            <w:r w:rsidRPr="005D0955">
              <w:rPr>
                <w:rFonts w:asciiTheme="majorHAnsi" w:hAnsiTheme="majorHAnsi"/>
                <w:sz w:val="18"/>
                <w:szCs w:val="18"/>
              </w:rPr>
              <w:t>615</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9880ECE" w14:textId="77777777" w:rsidR="00920B68" w:rsidRPr="00364545" w:rsidRDefault="00920B68" w:rsidP="00920B68">
            <w:pPr>
              <w:spacing w:line="259" w:lineRule="auto"/>
              <w:ind w:left="21"/>
              <w:jc w:val="center"/>
              <w:rPr>
                <w:b/>
                <w:sz w:val="18"/>
              </w:rPr>
            </w:pPr>
            <w:r w:rsidRPr="00364545">
              <w:rPr>
                <w:b/>
                <w:sz w:val="18"/>
              </w:rPr>
              <w:t>479</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3ACEC80" w14:textId="77777777" w:rsidR="00920B68" w:rsidRPr="00364545" w:rsidRDefault="00920B68" w:rsidP="00920B68">
            <w:pPr>
              <w:spacing w:line="259" w:lineRule="auto"/>
              <w:ind w:left="19"/>
              <w:jc w:val="center"/>
              <w:rPr>
                <w:b/>
                <w:sz w:val="18"/>
              </w:rPr>
            </w:pPr>
            <w:r w:rsidRPr="00364545">
              <w:rPr>
                <w:b/>
                <w:sz w:val="18"/>
              </w:rPr>
              <w:t>395</w:t>
            </w:r>
          </w:p>
        </w:tc>
        <w:tc>
          <w:tcPr>
            <w:tcW w:w="71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BF9A10C" w14:textId="77777777" w:rsidR="00920B68" w:rsidRPr="00364545" w:rsidRDefault="00920B68" w:rsidP="00920B68">
            <w:pPr>
              <w:spacing w:line="259" w:lineRule="auto"/>
              <w:ind w:left="21"/>
              <w:jc w:val="center"/>
              <w:rPr>
                <w:b/>
                <w:sz w:val="18"/>
              </w:rPr>
            </w:pPr>
            <w:r w:rsidRPr="00364545">
              <w:rPr>
                <w:b/>
                <w:sz w:val="18"/>
              </w:rPr>
              <w:t>330</w:t>
            </w:r>
          </w:p>
        </w:tc>
        <w:tc>
          <w:tcPr>
            <w:tcW w:w="71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2A42C30" w14:textId="77777777" w:rsidR="00920B68" w:rsidRPr="00364545" w:rsidRDefault="00920B68" w:rsidP="00920B68">
            <w:pPr>
              <w:spacing w:line="259" w:lineRule="auto"/>
              <w:ind w:left="20"/>
              <w:jc w:val="center"/>
              <w:rPr>
                <w:b/>
                <w:sz w:val="18"/>
              </w:rPr>
            </w:pPr>
            <w:r w:rsidRPr="00364545">
              <w:rPr>
                <w:b/>
                <w:sz w:val="18"/>
              </w:rPr>
              <w:t>299</w:t>
            </w:r>
          </w:p>
        </w:tc>
        <w:tc>
          <w:tcPr>
            <w:tcW w:w="71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401DAF" w14:textId="77777777" w:rsidR="00920B68" w:rsidRPr="00364545" w:rsidRDefault="00920B68" w:rsidP="00920B68">
            <w:pPr>
              <w:spacing w:line="259" w:lineRule="auto"/>
              <w:ind w:left="20"/>
              <w:jc w:val="center"/>
              <w:rPr>
                <w:b/>
                <w:sz w:val="18"/>
              </w:rPr>
            </w:pPr>
            <w:r w:rsidRPr="00364545">
              <w:rPr>
                <w:b/>
                <w:sz w:val="18"/>
              </w:rPr>
              <w:t>205</w:t>
            </w:r>
          </w:p>
        </w:tc>
      </w:tr>
      <w:tr w:rsidR="00920B68" w:rsidRPr="00364545" w14:paraId="6E2F08CA" w14:textId="77777777" w:rsidTr="00920B68">
        <w:trPr>
          <w:trHeight w:val="346"/>
        </w:trPr>
        <w:tc>
          <w:tcPr>
            <w:tcW w:w="1426" w:type="dxa"/>
            <w:tcBorders>
              <w:top w:val="single" w:sz="2" w:space="0" w:color="000000"/>
              <w:left w:val="single" w:sz="2" w:space="0" w:color="000000"/>
              <w:bottom w:val="single" w:sz="2" w:space="0" w:color="000000"/>
              <w:right w:val="single" w:sz="2" w:space="0" w:color="000000"/>
            </w:tcBorders>
          </w:tcPr>
          <w:p w14:paraId="41B61BAB" w14:textId="77777777" w:rsidR="00920B68" w:rsidRPr="00364545" w:rsidRDefault="00920B68" w:rsidP="00920B68">
            <w:pPr>
              <w:spacing w:line="259" w:lineRule="auto"/>
            </w:pPr>
            <w:r w:rsidRPr="00364545">
              <w:rPr>
                <w:b/>
                <w:sz w:val="18"/>
              </w:rPr>
              <w:t xml:space="preserve">Ensemble (avec UTCF) </w:t>
            </w:r>
          </w:p>
        </w:tc>
        <w:tc>
          <w:tcPr>
            <w:tcW w:w="722" w:type="dxa"/>
            <w:tcBorders>
              <w:top w:val="single" w:sz="2" w:space="0" w:color="000000"/>
              <w:left w:val="single" w:sz="2" w:space="0" w:color="000000"/>
              <w:bottom w:val="single" w:sz="2" w:space="0" w:color="000000"/>
              <w:right w:val="single" w:sz="2" w:space="0" w:color="000000"/>
            </w:tcBorders>
            <w:vAlign w:val="center"/>
          </w:tcPr>
          <w:p w14:paraId="0250588D" w14:textId="77777777" w:rsidR="00920B68" w:rsidRPr="00364545" w:rsidRDefault="00920B68" w:rsidP="00920B68">
            <w:pPr>
              <w:spacing w:line="259" w:lineRule="auto"/>
              <w:ind w:left="16"/>
              <w:jc w:val="center"/>
              <w:rPr>
                <w:b/>
                <w:sz w:val="18"/>
              </w:rPr>
            </w:pPr>
            <w:r w:rsidRPr="005D0955">
              <w:rPr>
                <w:rFonts w:asciiTheme="majorHAnsi" w:hAnsiTheme="majorHAnsi"/>
                <w:sz w:val="18"/>
                <w:szCs w:val="18"/>
              </w:rPr>
              <w:t>5202</w:t>
            </w:r>
          </w:p>
        </w:tc>
        <w:tc>
          <w:tcPr>
            <w:tcW w:w="723" w:type="dxa"/>
            <w:tcBorders>
              <w:top w:val="single" w:sz="2" w:space="0" w:color="000000"/>
              <w:left w:val="single" w:sz="2" w:space="0" w:color="000000"/>
              <w:bottom w:val="single" w:sz="2" w:space="0" w:color="000000"/>
              <w:right w:val="single" w:sz="2" w:space="0" w:color="000000"/>
            </w:tcBorders>
            <w:vAlign w:val="center"/>
          </w:tcPr>
          <w:p w14:paraId="5F61BC23" w14:textId="77777777" w:rsidR="00920B68" w:rsidRPr="00364545" w:rsidRDefault="00920B68" w:rsidP="00920B68">
            <w:pPr>
              <w:spacing w:line="259" w:lineRule="auto"/>
              <w:ind w:left="19"/>
              <w:jc w:val="center"/>
              <w:rPr>
                <w:b/>
                <w:sz w:val="18"/>
              </w:rPr>
            </w:pPr>
            <w:r w:rsidRPr="005D0955">
              <w:rPr>
                <w:rFonts w:asciiTheme="majorHAnsi" w:hAnsiTheme="majorHAnsi"/>
                <w:sz w:val="18"/>
                <w:szCs w:val="18"/>
              </w:rPr>
              <w:t>3065</w:t>
            </w:r>
          </w:p>
        </w:tc>
        <w:tc>
          <w:tcPr>
            <w:tcW w:w="724" w:type="dxa"/>
            <w:tcBorders>
              <w:top w:val="single" w:sz="2" w:space="0" w:color="000000"/>
              <w:left w:val="single" w:sz="2" w:space="0" w:color="000000"/>
              <w:bottom w:val="single" w:sz="2" w:space="0" w:color="000000"/>
              <w:right w:val="single" w:sz="2" w:space="0" w:color="000000"/>
            </w:tcBorders>
            <w:vAlign w:val="center"/>
          </w:tcPr>
          <w:p w14:paraId="437B7D48" w14:textId="77777777" w:rsidR="00920B68" w:rsidRPr="00364545" w:rsidRDefault="00920B68" w:rsidP="00920B68">
            <w:pPr>
              <w:spacing w:line="259" w:lineRule="auto"/>
              <w:ind w:left="19"/>
              <w:jc w:val="center"/>
              <w:rPr>
                <w:b/>
                <w:sz w:val="18"/>
              </w:rPr>
            </w:pPr>
            <w:r w:rsidRPr="005D0955">
              <w:rPr>
                <w:rFonts w:asciiTheme="majorHAnsi" w:hAnsiTheme="majorHAnsi"/>
                <w:sz w:val="18"/>
                <w:szCs w:val="18"/>
              </w:rPr>
              <w:t>2997</w:t>
            </w:r>
          </w:p>
        </w:tc>
        <w:tc>
          <w:tcPr>
            <w:tcW w:w="717" w:type="dxa"/>
            <w:tcBorders>
              <w:top w:val="single" w:sz="2" w:space="0" w:color="000000"/>
              <w:left w:val="single" w:sz="2" w:space="0" w:color="000000"/>
              <w:bottom w:val="single" w:sz="2" w:space="0" w:color="000000"/>
              <w:right w:val="single" w:sz="2" w:space="0" w:color="000000"/>
            </w:tcBorders>
            <w:vAlign w:val="center"/>
          </w:tcPr>
          <w:p w14:paraId="73821995" w14:textId="77777777" w:rsidR="00920B68" w:rsidRPr="00364545" w:rsidRDefault="00920B68" w:rsidP="00920B68">
            <w:pPr>
              <w:spacing w:line="259" w:lineRule="auto"/>
              <w:ind w:left="16"/>
              <w:jc w:val="center"/>
              <w:rPr>
                <w:b/>
                <w:sz w:val="18"/>
              </w:rPr>
            </w:pPr>
            <w:r w:rsidRPr="005D0955">
              <w:rPr>
                <w:rFonts w:asciiTheme="majorHAnsi" w:hAnsiTheme="majorHAnsi"/>
                <w:sz w:val="18"/>
                <w:szCs w:val="18"/>
              </w:rPr>
              <w:t>1760</w:t>
            </w:r>
          </w:p>
        </w:tc>
        <w:tc>
          <w:tcPr>
            <w:tcW w:w="710" w:type="dxa"/>
            <w:tcBorders>
              <w:top w:val="single" w:sz="2" w:space="0" w:color="000000"/>
              <w:left w:val="single" w:sz="2" w:space="0" w:color="000000"/>
              <w:bottom w:val="single" w:sz="2" w:space="0" w:color="000000"/>
              <w:right w:val="single" w:sz="2" w:space="0" w:color="000000"/>
            </w:tcBorders>
            <w:vAlign w:val="center"/>
          </w:tcPr>
          <w:p w14:paraId="611C4E95" w14:textId="77777777" w:rsidR="00920B68" w:rsidRPr="00364545" w:rsidRDefault="00920B68" w:rsidP="00920B68">
            <w:pPr>
              <w:spacing w:line="259" w:lineRule="auto"/>
              <w:ind w:left="21"/>
              <w:jc w:val="center"/>
              <w:rPr>
                <w:b/>
                <w:sz w:val="18"/>
              </w:rPr>
            </w:pPr>
            <w:r w:rsidRPr="00634E4C">
              <w:rPr>
                <w:rFonts w:asciiTheme="majorHAnsi" w:hAnsiTheme="majorHAnsi"/>
                <w:sz w:val="18"/>
              </w:rPr>
              <w:t>617</w:t>
            </w:r>
          </w:p>
        </w:tc>
        <w:tc>
          <w:tcPr>
            <w:tcW w:w="710" w:type="dxa"/>
            <w:tcBorders>
              <w:top w:val="single" w:sz="2" w:space="0" w:color="000000"/>
              <w:left w:val="single" w:sz="2" w:space="0" w:color="000000"/>
              <w:bottom w:val="single" w:sz="2" w:space="0" w:color="000000"/>
              <w:right w:val="single" w:sz="2" w:space="0" w:color="000000"/>
            </w:tcBorders>
            <w:vAlign w:val="center"/>
          </w:tcPr>
          <w:p w14:paraId="15FF81DF" w14:textId="77777777" w:rsidR="00920B68" w:rsidRPr="00364545" w:rsidRDefault="00920B68" w:rsidP="00920B68">
            <w:pPr>
              <w:spacing w:line="259" w:lineRule="auto"/>
              <w:ind w:left="19"/>
              <w:jc w:val="center"/>
              <w:rPr>
                <w:b/>
                <w:sz w:val="18"/>
              </w:rPr>
            </w:pPr>
            <w:r w:rsidRPr="00634E4C">
              <w:rPr>
                <w:rFonts w:asciiTheme="majorHAnsi" w:hAnsiTheme="majorHAnsi"/>
                <w:sz w:val="18"/>
              </w:rPr>
              <w:t>537</w:t>
            </w:r>
          </w:p>
        </w:tc>
        <w:tc>
          <w:tcPr>
            <w:tcW w:w="625" w:type="dxa"/>
            <w:tcBorders>
              <w:top w:val="single" w:sz="2" w:space="0" w:color="000000"/>
              <w:left w:val="single" w:sz="2" w:space="0" w:color="000000"/>
              <w:bottom w:val="single" w:sz="2" w:space="0" w:color="000000"/>
              <w:right w:val="single" w:sz="2" w:space="0" w:color="000000"/>
            </w:tcBorders>
            <w:vAlign w:val="center"/>
          </w:tcPr>
          <w:p w14:paraId="06261664" w14:textId="77777777" w:rsidR="00920B68" w:rsidRPr="00364545" w:rsidRDefault="00920B68" w:rsidP="00920B68">
            <w:pPr>
              <w:spacing w:line="259" w:lineRule="auto"/>
              <w:ind w:left="21"/>
              <w:jc w:val="center"/>
              <w:rPr>
                <w:b/>
                <w:sz w:val="18"/>
              </w:rPr>
            </w:pPr>
            <w:r w:rsidRPr="005D0955">
              <w:rPr>
                <w:rFonts w:asciiTheme="majorHAnsi" w:hAnsiTheme="majorHAnsi"/>
                <w:sz w:val="18"/>
                <w:szCs w:val="18"/>
              </w:rPr>
              <w:t>615</w:t>
            </w:r>
          </w:p>
        </w:tc>
        <w:tc>
          <w:tcPr>
            <w:tcW w:w="715" w:type="dxa"/>
            <w:tcBorders>
              <w:top w:val="single" w:sz="2" w:space="0" w:color="000000"/>
              <w:left w:val="single" w:sz="2" w:space="0" w:color="000000"/>
              <w:bottom w:val="single" w:sz="2" w:space="0" w:color="000000"/>
              <w:right w:val="single" w:sz="2" w:space="0" w:color="000000"/>
            </w:tcBorders>
            <w:vAlign w:val="center"/>
          </w:tcPr>
          <w:p w14:paraId="7E35ADA7" w14:textId="77777777" w:rsidR="00920B68" w:rsidRPr="00364545" w:rsidRDefault="00920B68" w:rsidP="00920B68">
            <w:pPr>
              <w:spacing w:line="259" w:lineRule="auto"/>
              <w:ind w:left="21"/>
              <w:jc w:val="center"/>
              <w:rPr>
                <w:b/>
                <w:sz w:val="18"/>
              </w:rPr>
            </w:pPr>
            <w:r w:rsidRPr="00364545">
              <w:rPr>
                <w:b/>
                <w:sz w:val="18"/>
              </w:rPr>
              <w:t>479</w:t>
            </w:r>
          </w:p>
        </w:tc>
        <w:tc>
          <w:tcPr>
            <w:tcW w:w="715" w:type="dxa"/>
            <w:tcBorders>
              <w:top w:val="single" w:sz="2" w:space="0" w:color="000000"/>
              <w:left w:val="single" w:sz="2" w:space="0" w:color="000000"/>
              <w:bottom w:val="single" w:sz="2" w:space="0" w:color="000000"/>
              <w:right w:val="single" w:sz="2" w:space="0" w:color="000000"/>
            </w:tcBorders>
            <w:vAlign w:val="center"/>
          </w:tcPr>
          <w:p w14:paraId="6C53C9C4" w14:textId="77777777" w:rsidR="00920B68" w:rsidRPr="00364545" w:rsidRDefault="00920B68" w:rsidP="00920B68">
            <w:pPr>
              <w:spacing w:line="259" w:lineRule="auto"/>
              <w:ind w:left="19"/>
              <w:jc w:val="center"/>
              <w:rPr>
                <w:b/>
                <w:sz w:val="18"/>
              </w:rPr>
            </w:pPr>
            <w:r w:rsidRPr="00364545">
              <w:rPr>
                <w:b/>
                <w:sz w:val="18"/>
              </w:rPr>
              <w:t>395</w:t>
            </w:r>
          </w:p>
        </w:tc>
        <w:tc>
          <w:tcPr>
            <w:tcW w:w="716" w:type="dxa"/>
            <w:tcBorders>
              <w:top w:val="single" w:sz="2" w:space="0" w:color="000000"/>
              <w:left w:val="single" w:sz="2" w:space="0" w:color="000000"/>
              <w:bottom w:val="single" w:sz="2" w:space="0" w:color="000000"/>
              <w:right w:val="single" w:sz="2" w:space="0" w:color="000000"/>
            </w:tcBorders>
            <w:vAlign w:val="center"/>
          </w:tcPr>
          <w:p w14:paraId="657045D5" w14:textId="77777777" w:rsidR="00920B68" w:rsidRPr="00364545" w:rsidRDefault="00920B68" w:rsidP="00920B68">
            <w:pPr>
              <w:spacing w:line="259" w:lineRule="auto"/>
              <w:ind w:left="21"/>
              <w:jc w:val="center"/>
              <w:rPr>
                <w:b/>
                <w:sz w:val="18"/>
              </w:rPr>
            </w:pPr>
            <w:r w:rsidRPr="00364545">
              <w:rPr>
                <w:b/>
                <w:sz w:val="18"/>
              </w:rPr>
              <w:t>330</w:t>
            </w:r>
          </w:p>
        </w:tc>
        <w:tc>
          <w:tcPr>
            <w:tcW w:w="715" w:type="dxa"/>
            <w:tcBorders>
              <w:top w:val="single" w:sz="2" w:space="0" w:color="000000"/>
              <w:left w:val="single" w:sz="2" w:space="0" w:color="000000"/>
              <w:bottom w:val="single" w:sz="2" w:space="0" w:color="000000"/>
              <w:right w:val="single" w:sz="2" w:space="0" w:color="000000"/>
            </w:tcBorders>
            <w:vAlign w:val="center"/>
          </w:tcPr>
          <w:p w14:paraId="1F33F04C" w14:textId="77777777" w:rsidR="00920B68" w:rsidRPr="00364545" w:rsidRDefault="00920B68" w:rsidP="00920B68">
            <w:pPr>
              <w:spacing w:line="259" w:lineRule="auto"/>
              <w:ind w:left="20"/>
              <w:jc w:val="center"/>
              <w:rPr>
                <w:b/>
                <w:sz w:val="18"/>
              </w:rPr>
            </w:pPr>
            <w:r w:rsidRPr="00364545">
              <w:rPr>
                <w:b/>
                <w:sz w:val="18"/>
              </w:rPr>
              <w:t>299</w:t>
            </w:r>
          </w:p>
        </w:tc>
        <w:tc>
          <w:tcPr>
            <w:tcW w:w="716" w:type="dxa"/>
            <w:tcBorders>
              <w:top w:val="single" w:sz="2" w:space="0" w:color="000000"/>
              <w:left w:val="single" w:sz="2" w:space="0" w:color="000000"/>
              <w:bottom w:val="single" w:sz="2" w:space="0" w:color="000000"/>
              <w:right w:val="single" w:sz="2" w:space="0" w:color="000000"/>
            </w:tcBorders>
            <w:vAlign w:val="center"/>
          </w:tcPr>
          <w:p w14:paraId="26964703" w14:textId="77777777" w:rsidR="00920B68" w:rsidRPr="00364545" w:rsidRDefault="00920B68" w:rsidP="00920B68">
            <w:pPr>
              <w:spacing w:line="259" w:lineRule="auto"/>
              <w:ind w:left="20"/>
              <w:jc w:val="center"/>
              <w:rPr>
                <w:b/>
                <w:sz w:val="18"/>
              </w:rPr>
            </w:pPr>
            <w:r w:rsidRPr="00364545">
              <w:rPr>
                <w:b/>
                <w:sz w:val="18"/>
              </w:rPr>
              <w:t>205</w:t>
            </w:r>
          </w:p>
        </w:tc>
      </w:tr>
    </w:tbl>
    <w:p w14:paraId="1D713142" w14:textId="77777777" w:rsidR="00920B68" w:rsidRPr="00364545" w:rsidRDefault="00920B68" w:rsidP="00920B68">
      <w:pPr>
        <w:pStyle w:val="Caption"/>
      </w:pPr>
      <w:r w:rsidRPr="00364545">
        <w:t xml:space="preserve">Table </w:t>
      </w:r>
      <w:fldSimple w:instr=" SEQ Tableau \* ARABIC ">
        <w:r w:rsidRPr="00364545">
          <w:rPr>
            <w:noProof/>
          </w:rPr>
          <w:t>30</w:t>
        </w:r>
      </w:fldSimple>
      <w:r w:rsidRPr="00364545">
        <w:t>: GHG emission projections (in ktCO</w:t>
      </w:r>
      <w:r w:rsidRPr="00364545">
        <w:rPr>
          <w:vertAlign w:val="subscript"/>
        </w:rPr>
        <w:t>2e</w:t>
      </w:r>
      <w:r w:rsidRPr="00364545">
        <w:t>) at the Kyoto scope in the AMS 2018 scenario (with additional measures)</w:t>
      </w:r>
    </w:p>
    <w:p w14:paraId="1A7B7ED4" w14:textId="77777777" w:rsidR="00920B68" w:rsidRPr="00364545" w:rsidRDefault="00920B68" w:rsidP="00920B68">
      <w:pPr>
        <w:pStyle w:val="Caption"/>
      </w:pPr>
      <w:r w:rsidRPr="00364545">
        <w:t>Source: UN</w:t>
      </w:r>
      <w:r>
        <w:t>FCCC inventory, Citepa/MTES, 2022</w:t>
      </w:r>
      <w:r w:rsidRPr="00364545">
        <w:t xml:space="preserve"> submission and MTES emission projections, 2018</w:t>
      </w:r>
    </w:p>
    <w:p w14:paraId="0EBD5A4B" w14:textId="77777777" w:rsidR="00920B68" w:rsidRPr="00364545" w:rsidRDefault="00920B68" w:rsidP="00920B68">
      <w:pPr>
        <w:rPr>
          <w:sz w:val="18"/>
          <w:szCs w:val="18"/>
        </w:rPr>
      </w:pPr>
    </w:p>
    <w:tbl>
      <w:tblPr>
        <w:tblStyle w:val="TableGrid0"/>
        <w:tblW w:w="9934" w:type="dxa"/>
        <w:tblInd w:w="10" w:type="dxa"/>
        <w:tblCellMar>
          <w:top w:w="39" w:type="dxa"/>
          <w:left w:w="28" w:type="dxa"/>
          <w:bottom w:w="2" w:type="dxa"/>
          <w:right w:w="48" w:type="dxa"/>
        </w:tblCellMar>
        <w:tblLook w:val="04A0" w:firstRow="1" w:lastRow="0" w:firstColumn="1" w:lastColumn="0" w:noHBand="0" w:noVBand="1"/>
      </w:tblPr>
      <w:tblGrid>
        <w:gridCol w:w="1602"/>
        <w:gridCol w:w="727"/>
        <w:gridCol w:w="793"/>
        <w:gridCol w:w="765"/>
        <w:gridCol w:w="762"/>
        <w:gridCol w:w="666"/>
        <w:gridCol w:w="664"/>
        <w:gridCol w:w="620"/>
        <w:gridCol w:w="675"/>
        <w:gridCol w:w="673"/>
        <w:gridCol w:w="675"/>
        <w:gridCol w:w="674"/>
        <w:gridCol w:w="638"/>
      </w:tblGrid>
      <w:tr w:rsidR="00920B68" w:rsidRPr="00364545" w14:paraId="36DBAA62" w14:textId="77777777" w:rsidTr="00920B68">
        <w:trPr>
          <w:trHeight w:val="402"/>
        </w:trPr>
        <w:tc>
          <w:tcPr>
            <w:tcW w:w="1602" w:type="dxa"/>
            <w:tcBorders>
              <w:top w:val="single" w:sz="2" w:space="0" w:color="000000"/>
              <w:left w:val="single" w:sz="2" w:space="0" w:color="000000"/>
              <w:bottom w:val="single" w:sz="2" w:space="0" w:color="000000"/>
              <w:right w:val="single" w:sz="2" w:space="0" w:color="000000"/>
            </w:tcBorders>
            <w:shd w:val="clear" w:color="auto" w:fill="6D2A78"/>
          </w:tcPr>
          <w:p w14:paraId="113DA978" w14:textId="77777777" w:rsidR="00920B68" w:rsidRPr="00364545" w:rsidRDefault="00920B68" w:rsidP="00920B68">
            <w:pPr>
              <w:spacing w:line="259" w:lineRule="auto"/>
            </w:pPr>
            <w:r w:rsidRPr="00364545">
              <w:t>AMS 18 – SF</w:t>
            </w:r>
            <w:r w:rsidRPr="00364545">
              <w:rPr>
                <w:vertAlign w:val="subscript"/>
              </w:rPr>
              <w:t>6</w:t>
            </w:r>
          </w:p>
        </w:tc>
        <w:tc>
          <w:tcPr>
            <w:tcW w:w="727" w:type="dxa"/>
            <w:tcBorders>
              <w:top w:val="single" w:sz="2" w:space="0" w:color="000000"/>
              <w:left w:val="single" w:sz="2" w:space="0" w:color="000000"/>
              <w:bottom w:val="single" w:sz="2" w:space="0" w:color="000000"/>
              <w:right w:val="single" w:sz="2" w:space="0" w:color="000000"/>
            </w:tcBorders>
            <w:shd w:val="clear" w:color="auto" w:fill="6D2A78"/>
          </w:tcPr>
          <w:p w14:paraId="059B193E" w14:textId="77777777" w:rsidR="00920B68" w:rsidRPr="00364545" w:rsidRDefault="00920B68" w:rsidP="00920B68">
            <w:pPr>
              <w:spacing w:line="259" w:lineRule="auto"/>
              <w:ind w:left="19"/>
              <w:jc w:val="center"/>
            </w:pPr>
            <w:r w:rsidRPr="00364545">
              <w:rPr>
                <w:b/>
                <w:color w:val="FFFFFF"/>
                <w:sz w:val="18"/>
              </w:rPr>
              <w:t xml:space="preserve">1990 </w:t>
            </w:r>
          </w:p>
        </w:tc>
        <w:tc>
          <w:tcPr>
            <w:tcW w:w="793" w:type="dxa"/>
            <w:tcBorders>
              <w:top w:val="single" w:sz="2" w:space="0" w:color="000000"/>
              <w:left w:val="single" w:sz="2" w:space="0" w:color="000000"/>
              <w:bottom w:val="single" w:sz="2" w:space="0" w:color="000000"/>
              <w:right w:val="single" w:sz="2" w:space="0" w:color="000000"/>
            </w:tcBorders>
            <w:shd w:val="clear" w:color="auto" w:fill="6D2A78"/>
          </w:tcPr>
          <w:p w14:paraId="2A241F4A"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65" w:type="dxa"/>
            <w:tcBorders>
              <w:top w:val="single" w:sz="2" w:space="0" w:color="000000"/>
              <w:left w:val="single" w:sz="2" w:space="0" w:color="000000"/>
              <w:bottom w:val="single" w:sz="2" w:space="0" w:color="000000"/>
              <w:right w:val="single" w:sz="2" w:space="0" w:color="000000"/>
            </w:tcBorders>
            <w:shd w:val="clear" w:color="auto" w:fill="6D2A78"/>
          </w:tcPr>
          <w:p w14:paraId="46D12376" w14:textId="77777777" w:rsidR="00920B68" w:rsidRPr="00364545" w:rsidRDefault="00920B68" w:rsidP="00920B68">
            <w:pPr>
              <w:spacing w:line="259" w:lineRule="auto"/>
              <w:ind w:left="21"/>
              <w:jc w:val="center"/>
            </w:pPr>
            <w:r w:rsidRPr="00364545">
              <w:rPr>
                <w:b/>
                <w:color w:val="FFFFFF"/>
                <w:sz w:val="18"/>
              </w:rPr>
              <w:t xml:space="preserve">2000 </w:t>
            </w:r>
          </w:p>
        </w:tc>
        <w:tc>
          <w:tcPr>
            <w:tcW w:w="762" w:type="dxa"/>
            <w:tcBorders>
              <w:top w:val="single" w:sz="2" w:space="0" w:color="000000"/>
              <w:left w:val="single" w:sz="2" w:space="0" w:color="000000"/>
              <w:bottom w:val="single" w:sz="2" w:space="0" w:color="000000"/>
              <w:right w:val="single" w:sz="2" w:space="0" w:color="000000"/>
            </w:tcBorders>
            <w:shd w:val="clear" w:color="auto" w:fill="6D2A78"/>
          </w:tcPr>
          <w:p w14:paraId="604A4DF1" w14:textId="77777777" w:rsidR="00920B68" w:rsidRPr="00364545" w:rsidRDefault="00920B68" w:rsidP="00920B68">
            <w:pPr>
              <w:spacing w:line="259" w:lineRule="auto"/>
              <w:ind w:left="19"/>
              <w:jc w:val="center"/>
            </w:pPr>
            <w:r w:rsidRPr="00364545">
              <w:rPr>
                <w:b/>
                <w:color w:val="FFFFFF"/>
                <w:sz w:val="18"/>
              </w:rPr>
              <w:t xml:space="preserve">2005 </w:t>
            </w:r>
          </w:p>
        </w:tc>
        <w:tc>
          <w:tcPr>
            <w:tcW w:w="666" w:type="dxa"/>
            <w:tcBorders>
              <w:top w:val="single" w:sz="2" w:space="0" w:color="000000"/>
              <w:left w:val="single" w:sz="2" w:space="0" w:color="000000"/>
              <w:bottom w:val="single" w:sz="2" w:space="0" w:color="000000"/>
              <w:right w:val="single" w:sz="2" w:space="0" w:color="000000"/>
            </w:tcBorders>
            <w:shd w:val="clear" w:color="auto" w:fill="6D2A78"/>
          </w:tcPr>
          <w:p w14:paraId="1D9CFBDB" w14:textId="77777777" w:rsidR="00920B68" w:rsidRPr="00364545" w:rsidRDefault="00920B68" w:rsidP="00920B68">
            <w:pPr>
              <w:spacing w:line="259" w:lineRule="auto"/>
              <w:ind w:left="21"/>
              <w:jc w:val="center"/>
            </w:pPr>
            <w:r w:rsidRPr="00364545">
              <w:rPr>
                <w:b/>
                <w:color w:val="FFFFFF"/>
                <w:sz w:val="18"/>
              </w:rPr>
              <w:t xml:space="preserve">2010 </w:t>
            </w:r>
          </w:p>
        </w:tc>
        <w:tc>
          <w:tcPr>
            <w:tcW w:w="664" w:type="dxa"/>
            <w:tcBorders>
              <w:top w:val="single" w:sz="2" w:space="0" w:color="000000"/>
              <w:left w:val="single" w:sz="2" w:space="0" w:color="000000"/>
              <w:bottom w:val="single" w:sz="2" w:space="0" w:color="000000"/>
              <w:right w:val="single" w:sz="2" w:space="0" w:color="000000"/>
            </w:tcBorders>
            <w:shd w:val="clear" w:color="auto" w:fill="6D2A78"/>
          </w:tcPr>
          <w:p w14:paraId="2A76CA37" w14:textId="77777777" w:rsidR="00920B68" w:rsidRPr="00364545" w:rsidRDefault="00920B68" w:rsidP="00920B68">
            <w:pPr>
              <w:spacing w:line="259" w:lineRule="auto"/>
              <w:ind w:left="19"/>
              <w:jc w:val="center"/>
            </w:pPr>
            <w:r w:rsidRPr="00364545">
              <w:rPr>
                <w:b/>
                <w:color w:val="FFFFFF"/>
                <w:sz w:val="18"/>
              </w:rPr>
              <w:t xml:space="preserve">2015 </w:t>
            </w:r>
          </w:p>
        </w:tc>
        <w:tc>
          <w:tcPr>
            <w:tcW w:w="620" w:type="dxa"/>
            <w:tcBorders>
              <w:top w:val="single" w:sz="2" w:space="0" w:color="000000"/>
              <w:left w:val="single" w:sz="2" w:space="0" w:color="000000"/>
              <w:bottom w:val="single" w:sz="2" w:space="0" w:color="000000"/>
              <w:right w:val="single" w:sz="2" w:space="0" w:color="000000"/>
            </w:tcBorders>
            <w:shd w:val="clear" w:color="auto" w:fill="6D2A78"/>
          </w:tcPr>
          <w:p w14:paraId="2A3868AA" w14:textId="77777777" w:rsidR="00920B68" w:rsidRPr="00364545" w:rsidRDefault="00920B68" w:rsidP="00920B68">
            <w:pPr>
              <w:spacing w:line="259" w:lineRule="auto"/>
              <w:ind w:left="21"/>
              <w:jc w:val="center"/>
              <w:rPr>
                <w:b/>
                <w:color w:val="FFFFFF"/>
                <w:sz w:val="18"/>
              </w:rPr>
            </w:pPr>
            <w:r w:rsidRPr="00364545">
              <w:rPr>
                <w:b/>
                <w:color w:val="FFFFFF"/>
                <w:sz w:val="18"/>
              </w:rPr>
              <w:t>2019</w:t>
            </w:r>
          </w:p>
        </w:tc>
        <w:tc>
          <w:tcPr>
            <w:tcW w:w="675" w:type="dxa"/>
            <w:tcBorders>
              <w:top w:val="single" w:sz="2" w:space="0" w:color="000000"/>
              <w:left w:val="single" w:sz="2" w:space="0" w:color="000000"/>
              <w:bottom w:val="single" w:sz="2" w:space="0" w:color="000000"/>
              <w:right w:val="single" w:sz="2" w:space="0" w:color="000000"/>
            </w:tcBorders>
            <w:shd w:val="clear" w:color="auto" w:fill="6D2A78"/>
          </w:tcPr>
          <w:p w14:paraId="5113FC93" w14:textId="77777777" w:rsidR="00920B68" w:rsidRPr="00364545" w:rsidRDefault="00920B68" w:rsidP="00920B68">
            <w:pPr>
              <w:spacing w:line="259" w:lineRule="auto"/>
              <w:ind w:left="21"/>
              <w:jc w:val="center"/>
            </w:pPr>
            <w:r w:rsidRPr="00364545">
              <w:rPr>
                <w:b/>
                <w:color w:val="FFFFFF"/>
                <w:sz w:val="18"/>
              </w:rPr>
              <w:t xml:space="preserve">2020 </w:t>
            </w:r>
          </w:p>
        </w:tc>
        <w:tc>
          <w:tcPr>
            <w:tcW w:w="673" w:type="dxa"/>
            <w:tcBorders>
              <w:top w:val="single" w:sz="2" w:space="0" w:color="000000"/>
              <w:left w:val="single" w:sz="2" w:space="0" w:color="000000"/>
              <w:bottom w:val="single" w:sz="2" w:space="0" w:color="000000"/>
              <w:right w:val="single" w:sz="2" w:space="0" w:color="000000"/>
            </w:tcBorders>
            <w:shd w:val="clear" w:color="auto" w:fill="6D2A78"/>
          </w:tcPr>
          <w:p w14:paraId="06CD83CC" w14:textId="77777777" w:rsidR="00920B68" w:rsidRPr="00364545" w:rsidRDefault="00920B68" w:rsidP="00920B68">
            <w:pPr>
              <w:spacing w:line="259" w:lineRule="auto"/>
              <w:ind w:left="19"/>
              <w:jc w:val="center"/>
            </w:pPr>
            <w:r w:rsidRPr="00364545">
              <w:rPr>
                <w:b/>
                <w:color w:val="FFFFFF"/>
                <w:sz w:val="18"/>
              </w:rPr>
              <w:t xml:space="preserve">2025 </w:t>
            </w:r>
          </w:p>
        </w:tc>
        <w:tc>
          <w:tcPr>
            <w:tcW w:w="675" w:type="dxa"/>
            <w:tcBorders>
              <w:top w:val="single" w:sz="2" w:space="0" w:color="000000"/>
              <w:left w:val="single" w:sz="2" w:space="0" w:color="000000"/>
              <w:bottom w:val="single" w:sz="2" w:space="0" w:color="000000"/>
              <w:right w:val="single" w:sz="2" w:space="0" w:color="000000"/>
            </w:tcBorders>
            <w:shd w:val="clear" w:color="auto" w:fill="6D2A78"/>
          </w:tcPr>
          <w:p w14:paraId="1545EE45" w14:textId="77777777" w:rsidR="00920B68" w:rsidRPr="00364545" w:rsidRDefault="00920B68" w:rsidP="00920B68">
            <w:pPr>
              <w:spacing w:line="259" w:lineRule="auto"/>
              <w:ind w:left="21"/>
              <w:jc w:val="center"/>
            </w:pPr>
            <w:r w:rsidRPr="00364545">
              <w:rPr>
                <w:b/>
                <w:color w:val="FFFFFF"/>
                <w:sz w:val="18"/>
              </w:rPr>
              <w:t xml:space="preserve">2030 </w:t>
            </w:r>
          </w:p>
        </w:tc>
        <w:tc>
          <w:tcPr>
            <w:tcW w:w="674" w:type="dxa"/>
            <w:tcBorders>
              <w:top w:val="single" w:sz="2" w:space="0" w:color="000000"/>
              <w:left w:val="single" w:sz="2" w:space="0" w:color="000000"/>
              <w:bottom w:val="single" w:sz="2" w:space="0" w:color="000000"/>
              <w:right w:val="single" w:sz="2" w:space="0" w:color="000000"/>
            </w:tcBorders>
            <w:shd w:val="clear" w:color="auto" w:fill="6D2A78"/>
          </w:tcPr>
          <w:p w14:paraId="36D299A5" w14:textId="77777777" w:rsidR="00920B68" w:rsidRPr="00364545" w:rsidRDefault="00920B68" w:rsidP="00920B68">
            <w:pPr>
              <w:spacing w:line="259" w:lineRule="auto"/>
              <w:ind w:left="20"/>
              <w:jc w:val="center"/>
            </w:pPr>
            <w:r w:rsidRPr="00364545">
              <w:rPr>
                <w:b/>
                <w:color w:val="FFFFFF"/>
                <w:sz w:val="18"/>
              </w:rPr>
              <w:t xml:space="preserve">2035 </w:t>
            </w:r>
          </w:p>
        </w:tc>
        <w:tc>
          <w:tcPr>
            <w:tcW w:w="638" w:type="dxa"/>
            <w:tcBorders>
              <w:top w:val="single" w:sz="2" w:space="0" w:color="000000"/>
              <w:left w:val="single" w:sz="2" w:space="0" w:color="000000"/>
              <w:bottom w:val="single" w:sz="2" w:space="0" w:color="000000"/>
              <w:right w:val="single" w:sz="2" w:space="0" w:color="000000"/>
            </w:tcBorders>
            <w:shd w:val="clear" w:color="auto" w:fill="6D2A78"/>
          </w:tcPr>
          <w:p w14:paraId="485D1AD8"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366DAF98" w14:textId="77777777" w:rsidTr="00920B68">
        <w:trPr>
          <w:trHeight w:val="347"/>
        </w:trPr>
        <w:tc>
          <w:tcPr>
            <w:tcW w:w="1602" w:type="dxa"/>
            <w:tcBorders>
              <w:top w:val="single" w:sz="2" w:space="0" w:color="000000"/>
              <w:left w:val="single" w:sz="2" w:space="0" w:color="000000"/>
              <w:bottom w:val="single" w:sz="2" w:space="0" w:color="000000"/>
              <w:right w:val="single" w:sz="2" w:space="0" w:color="000000"/>
            </w:tcBorders>
          </w:tcPr>
          <w:p w14:paraId="24244A3E" w14:textId="77777777" w:rsidR="00920B68" w:rsidRPr="00364545" w:rsidRDefault="00920B68" w:rsidP="00920B68">
            <w:pPr>
              <w:spacing w:line="259" w:lineRule="auto"/>
            </w:pPr>
            <w:r w:rsidRPr="00364545">
              <w:rPr>
                <w:sz w:val="18"/>
              </w:rPr>
              <w:t xml:space="preserve">Energy </w:t>
            </w:r>
          </w:p>
        </w:tc>
        <w:tc>
          <w:tcPr>
            <w:tcW w:w="727" w:type="dxa"/>
            <w:tcBorders>
              <w:top w:val="single" w:sz="2" w:space="0" w:color="000000"/>
              <w:left w:val="single" w:sz="2" w:space="0" w:color="000000"/>
              <w:bottom w:val="single" w:sz="2" w:space="0" w:color="000000"/>
              <w:right w:val="single" w:sz="2" w:space="0" w:color="000000"/>
            </w:tcBorders>
            <w:vAlign w:val="center"/>
          </w:tcPr>
          <w:p w14:paraId="1F4101CB" w14:textId="77777777" w:rsidR="00920B68" w:rsidRPr="00364545" w:rsidRDefault="00920B68" w:rsidP="00920B68">
            <w:pPr>
              <w:spacing w:line="259" w:lineRule="auto"/>
              <w:ind w:left="14"/>
              <w:jc w:val="center"/>
            </w:pPr>
            <w:r w:rsidRPr="00634E4C">
              <w:rPr>
                <w:rFonts w:asciiTheme="majorHAnsi" w:hAnsiTheme="majorHAnsi"/>
                <w:sz w:val="18"/>
              </w:rPr>
              <w:t>0</w:t>
            </w:r>
          </w:p>
        </w:tc>
        <w:tc>
          <w:tcPr>
            <w:tcW w:w="793" w:type="dxa"/>
            <w:tcBorders>
              <w:top w:val="single" w:sz="2" w:space="0" w:color="000000"/>
              <w:left w:val="single" w:sz="2" w:space="0" w:color="000000"/>
              <w:bottom w:val="single" w:sz="2" w:space="0" w:color="000000"/>
              <w:right w:val="single" w:sz="2" w:space="0" w:color="000000"/>
            </w:tcBorders>
            <w:vAlign w:val="center"/>
          </w:tcPr>
          <w:p w14:paraId="1BEE9759" w14:textId="77777777" w:rsidR="00920B68" w:rsidRPr="00364545" w:rsidRDefault="00920B68" w:rsidP="00920B68">
            <w:pPr>
              <w:spacing w:line="259" w:lineRule="auto"/>
              <w:ind w:left="16"/>
              <w:jc w:val="center"/>
            </w:pPr>
            <w:r w:rsidRPr="00634E4C">
              <w:rPr>
                <w:rFonts w:asciiTheme="majorHAnsi" w:hAnsiTheme="majorHAnsi"/>
                <w:sz w:val="18"/>
              </w:rPr>
              <w:t>0</w:t>
            </w:r>
          </w:p>
        </w:tc>
        <w:tc>
          <w:tcPr>
            <w:tcW w:w="765" w:type="dxa"/>
            <w:tcBorders>
              <w:top w:val="single" w:sz="2" w:space="0" w:color="000000"/>
              <w:left w:val="single" w:sz="2" w:space="0" w:color="000000"/>
              <w:bottom w:val="single" w:sz="2" w:space="0" w:color="000000"/>
              <w:right w:val="single" w:sz="2" w:space="0" w:color="000000"/>
            </w:tcBorders>
            <w:vAlign w:val="center"/>
          </w:tcPr>
          <w:p w14:paraId="2B30F991" w14:textId="77777777" w:rsidR="00920B68" w:rsidRPr="00364545" w:rsidRDefault="00920B68" w:rsidP="00920B68">
            <w:pPr>
              <w:spacing w:line="259" w:lineRule="auto"/>
              <w:ind w:left="16"/>
              <w:jc w:val="center"/>
            </w:pPr>
            <w:r w:rsidRPr="00634E4C">
              <w:rPr>
                <w:rFonts w:asciiTheme="majorHAnsi" w:hAnsiTheme="majorHAnsi"/>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10E2E70D" w14:textId="77777777" w:rsidR="00920B68" w:rsidRPr="00364545" w:rsidRDefault="00920B68" w:rsidP="00920B68">
            <w:pPr>
              <w:spacing w:line="259" w:lineRule="auto"/>
              <w:ind w:left="14"/>
              <w:jc w:val="center"/>
            </w:pPr>
            <w:r w:rsidRPr="00634E4C">
              <w:rPr>
                <w:rFonts w:asciiTheme="majorHAnsi" w:hAnsiTheme="majorHAnsi"/>
                <w:sz w:val="18"/>
              </w:rPr>
              <w:t>0</w:t>
            </w:r>
          </w:p>
        </w:tc>
        <w:tc>
          <w:tcPr>
            <w:tcW w:w="666" w:type="dxa"/>
            <w:tcBorders>
              <w:top w:val="single" w:sz="2" w:space="0" w:color="000000"/>
              <w:left w:val="single" w:sz="2" w:space="0" w:color="000000"/>
              <w:bottom w:val="single" w:sz="2" w:space="0" w:color="000000"/>
              <w:right w:val="single" w:sz="2" w:space="0" w:color="000000"/>
            </w:tcBorders>
            <w:vAlign w:val="center"/>
          </w:tcPr>
          <w:p w14:paraId="6BC69A1D" w14:textId="77777777" w:rsidR="00920B68" w:rsidRPr="00364545" w:rsidRDefault="00920B68" w:rsidP="00920B68">
            <w:pPr>
              <w:spacing w:line="259" w:lineRule="auto"/>
              <w:ind w:left="16"/>
              <w:jc w:val="center"/>
            </w:pPr>
            <w:r w:rsidRPr="00634E4C">
              <w:rPr>
                <w:rFonts w:asciiTheme="majorHAnsi" w:hAnsiTheme="majorHAnsi"/>
                <w:sz w:val="18"/>
              </w:rPr>
              <w:t>0</w:t>
            </w:r>
          </w:p>
        </w:tc>
        <w:tc>
          <w:tcPr>
            <w:tcW w:w="664" w:type="dxa"/>
            <w:tcBorders>
              <w:top w:val="single" w:sz="2" w:space="0" w:color="000000"/>
              <w:left w:val="single" w:sz="2" w:space="0" w:color="000000"/>
              <w:bottom w:val="single" w:sz="2" w:space="0" w:color="000000"/>
              <w:right w:val="single" w:sz="2" w:space="0" w:color="000000"/>
            </w:tcBorders>
            <w:vAlign w:val="center"/>
          </w:tcPr>
          <w:p w14:paraId="3D1333CF" w14:textId="77777777" w:rsidR="00920B68" w:rsidRPr="00364545" w:rsidRDefault="00920B68" w:rsidP="00920B68">
            <w:pPr>
              <w:spacing w:line="259" w:lineRule="auto"/>
              <w:ind w:left="14"/>
              <w:jc w:val="center"/>
            </w:pPr>
            <w:r w:rsidRPr="00634E4C">
              <w:rPr>
                <w:rFonts w:asciiTheme="majorHAnsi" w:hAnsiTheme="majorHAnsi"/>
                <w:sz w:val="18"/>
              </w:rPr>
              <w:t>0</w:t>
            </w:r>
          </w:p>
        </w:tc>
        <w:tc>
          <w:tcPr>
            <w:tcW w:w="620" w:type="dxa"/>
            <w:tcBorders>
              <w:top w:val="single" w:sz="2" w:space="0" w:color="000000"/>
              <w:left w:val="single" w:sz="2" w:space="0" w:color="000000"/>
              <w:bottom w:val="single" w:sz="2" w:space="0" w:color="000000"/>
              <w:right w:val="single" w:sz="2" w:space="0" w:color="000000"/>
            </w:tcBorders>
            <w:vAlign w:val="center"/>
          </w:tcPr>
          <w:p w14:paraId="24B76DFC" w14:textId="77777777" w:rsidR="00920B68" w:rsidRPr="00364545" w:rsidRDefault="00920B68" w:rsidP="00920B68">
            <w:pPr>
              <w:spacing w:line="259" w:lineRule="auto"/>
              <w:ind w:left="16"/>
              <w:jc w:val="center"/>
            </w:pPr>
            <w:r w:rsidRPr="00634E4C">
              <w:rPr>
                <w:rFonts w:asciiTheme="majorHAnsi" w:hAnsiTheme="majorHAnsi"/>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2C031199" w14:textId="77777777" w:rsidR="00920B68" w:rsidRPr="00364545" w:rsidRDefault="00920B68" w:rsidP="00920B68">
            <w:pPr>
              <w:spacing w:line="259" w:lineRule="auto"/>
              <w:ind w:left="16"/>
              <w:jc w:val="center"/>
            </w:pPr>
            <w:r w:rsidRPr="00364545">
              <w:t>0</w:t>
            </w:r>
          </w:p>
        </w:tc>
        <w:tc>
          <w:tcPr>
            <w:tcW w:w="673" w:type="dxa"/>
            <w:tcBorders>
              <w:top w:val="single" w:sz="2" w:space="0" w:color="000000"/>
              <w:left w:val="single" w:sz="2" w:space="0" w:color="000000"/>
              <w:bottom w:val="single" w:sz="2" w:space="0" w:color="000000"/>
              <w:right w:val="single" w:sz="2" w:space="0" w:color="000000"/>
            </w:tcBorders>
            <w:vAlign w:val="center"/>
          </w:tcPr>
          <w:p w14:paraId="0CC6E524" w14:textId="77777777" w:rsidR="00920B68" w:rsidRPr="00364545" w:rsidRDefault="00920B68" w:rsidP="00920B68">
            <w:pPr>
              <w:spacing w:line="259" w:lineRule="auto"/>
              <w:ind w:left="14"/>
              <w:jc w:val="center"/>
            </w:pPr>
            <w:r w:rsidRPr="00364545">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45513F4A" w14:textId="77777777" w:rsidR="00920B68" w:rsidRPr="00364545" w:rsidRDefault="00920B68" w:rsidP="00920B68">
            <w:pPr>
              <w:spacing w:line="259" w:lineRule="auto"/>
              <w:ind w:left="16"/>
              <w:jc w:val="center"/>
            </w:pPr>
            <w:r w:rsidRPr="00364545">
              <w:t>0</w:t>
            </w:r>
          </w:p>
        </w:tc>
        <w:tc>
          <w:tcPr>
            <w:tcW w:w="674" w:type="dxa"/>
            <w:tcBorders>
              <w:top w:val="single" w:sz="2" w:space="0" w:color="000000"/>
              <w:left w:val="single" w:sz="2" w:space="0" w:color="000000"/>
              <w:bottom w:val="single" w:sz="2" w:space="0" w:color="000000"/>
              <w:right w:val="single" w:sz="2" w:space="0" w:color="000000"/>
            </w:tcBorders>
            <w:vAlign w:val="center"/>
          </w:tcPr>
          <w:p w14:paraId="58F5CFF9" w14:textId="77777777" w:rsidR="00920B68" w:rsidRPr="00364545" w:rsidRDefault="00920B68" w:rsidP="00920B68">
            <w:pPr>
              <w:spacing w:line="259" w:lineRule="auto"/>
              <w:ind w:left="15"/>
              <w:jc w:val="center"/>
            </w:pPr>
            <w:r w:rsidRPr="00364545">
              <w:t>0</w:t>
            </w:r>
          </w:p>
        </w:tc>
        <w:tc>
          <w:tcPr>
            <w:tcW w:w="638" w:type="dxa"/>
            <w:tcBorders>
              <w:top w:val="single" w:sz="2" w:space="0" w:color="000000"/>
              <w:left w:val="single" w:sz="2" w:space="0" w:color="000000"/>
              <w:bottom w:val="single" w:sz="2" w:space="0" w:color="000000"/>
              <w:right w:val="single" w:sz="2" w:space="0" w:color="000000"/>
            </w:tcBorders>
            <w:vAlign w:val="center"/>
          </w:tcPr>
          <w:p w14:paraId="69387858" w14:textId="77777777" w:rsidR="00920B68" w:rsidRPr="00364545" w:rsidRDefault="00920B68" w:rsidP="00920B68">
            <w:pPr>
              <w:spacing w:line="259" w:lineRule="auto"/>
              <w:ind w:left="15"/>
              <w:jc w:val="center"/>
            </w:pPr>
            <w:r w:rsidRPr="00364545">
              <w:t>0</w:t>
            </w:r>
          </w:p>
        </w:tc>
      </w:tr>
      <w:tr w:rsidR="00920B68" w:rsidRPr="00364545" w14:paraId="77356ABF" w14:textId="77777777" w:rsidTr="00920B68">
        <w:trPr>
          <w:trHeight w:val="416"/>
        </w:trPr>
        <w:tc>
          <w:tcPr>
            <w:tcW w:w="1602" w:type="dxa"/>
            <w:tcBorders>
              <w:top w:val="single" w:sz="2" w:space="0" w:color="000000"/>
              <w:left w:val="single" w:sz="2" w:space="0" w:color="000000"/>
              <w:bottom w:val="single" w:sz="2" w:space="0" w:color="000000"/>
              <w:right w:val="single" w:sz="2" w:space="0" w:color="000000"/>
            </w:tcBorders>
            <w:shd w:val="clear" w:color="auto" w:fill="ECE6E2"/>
          </w:tcPr>
          <w:p w14:paraId="28F63C14" w14:textId="77777777" w:rsidR="00920B68" w:rsidRPr="00364545" w:rsidRDefault="00920B68" w:rsidP="00920B68">
            <w:pPr>
              <w:spacing w:line="259" w:lineRule="auto"/>
            </w:pPr>
            <w:r w:rsidRPr="00364545">
              <w:rPr>
                <w:sz w:val="18"/>
              </w:rPr>
              <w:t xml:space="preserve">Industrial processes, solvents and other products </w:t>
            </w:r>
          </w:p>
        </w:tc>
        <w:tc>
          <w:tcPr>
            <w:tcW w:w="72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6B8749" w14:textId="77777777" w:rsidR="00920B68" w:rsidRPr="00364545" w:rsidRDefault="00920B68" w:rsidP="00920B68">
            <w:pPr>
              <w:spacing w:line="259" w:lineRule="auto"/>
              <w:ind w:left="14"/>
              <w:jc w:val="center"/>
            </w:pPr>
            <w:r w:rsidRPr="005D0955">
              <w:rPr>
                <w:rFonts w:asciiTheme="majorHAnsi" w:hAnsiTheme="majorHAnsi"/>
                <w:sz w:val="18"/>
                <w:szCs w:val="18"/>
              </w:rPr>
              <w:t>2155</w:t>
            </w:r>
          </w:p>
        </w:tc>
        <w:tc>
          <w:tcPr>
            <w:tcW w:w="79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D31C1F3" w14:textId="77777777" w:rsidR="00920B68" w:rsidRPr="00364545" w:rsidRDefault="00920B68" w:rsidP="00920B68">
            <w:pPr>
              <w:spacing w:line="259" w:lineRule="auto"/>
              <w:ind w:left="14"/>
              <w:jc w:val="center"/>
            </w:pPr>
            <w:r w:rsidRPr="005D0955">
              <w:rPr>
                <w:rFonts w:asciiTheme="majorHAnsi" w:hAnsiTheme="majorHAnsi"/>
                <w:sz w:val="18"/>
                <w:szCs w:val="18"/>
              </w:rPr>
              <w:t>2467</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8EA7D96" w14:textId="77777777" w:rsidR="00920B68" w:rsidRPr="00364545" w:rsidRDefault="00920B68" w:rsidP="00920B68">
            <w:pPr>
              <w:spacing w:line="259" w:lineRule="auto"/>
              <w:ind w:left="14"/>
              <w:jc w:val="center"/>
            </w:pPr>
            <w:r w:rsidRPr="005D0955">
              <w:rPr>
                <w:rFonts w:asciiTheme="majorHAnsi" w:hAnsiTheme="majorHAnsi"/>
                <w:sz w:val="18"/>
                <w:szCs w:val="18"/>
              </w:rPr>
              <w:t>2180</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6E0DC80" w14:textId="77777777" w:rsidR="00920B68" w:rsidRPr="00364545" w:rsidRDefault="00920B68" w:rsidP="00920B68">
            <w:pPr>
              <w:spacing w:line="259" w:lineRule="auto"/>
              <w:ind w:left="14"/>
              <w:jc w:val="center"/>
            </w:pPr>
            <w:r w:rsidRPr="005D0955">
              <w:rPr>
                <w:rFonts w:asciiTheme="majorHAnsi" w:hAnsiTheme="majorHAnsi"/>
                <w:sz w:val="18"/>
                <w:szCs w:val="18"/>
              </w:rPr>
              <w:t>1355</w:t>
            </w:r>
          </w:p>
        </w:tc>
        <w:tc>
          <w:tcPr>
            <w:tcW w:w="6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B7801D4" w14:textId="77777777" w:rsidR="00920B68" w:rsidRPr="00364545" w:rsidRDefault="00920B68" w:rsidP="00920B68">
            <w:pPr>
              <w:spacing w:line="259" w:lineRule="auto"/>
              <w:ind w:left="14"/>
              <w:jc w:val="center"/>
            </w:pPr>
            <w:r w:rsidRPr="005D0955">
              <w:rPr>
                <w:rFonts w:asciiTheme="majorHAnsi" w:hAnsiTheme="majorHAnsi"/>
                <w:sz w:val="18"/>
                <w:szCs w:val="18"/>
              </w:rPr>
              <w:t>875</w:t>
            </w:r>
          </w:p>
        </w:tc>
        <w:tc>
          <w:tcPr>
            <w:tcW w:w="66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5EAE800" w14:textId="77777777" w:rsidR="00920B68" w:rsidRPr="00364545" w:rsidRDefault="00920B68" w:rsidP="00920B68">
            <w:pPr>
              <w:spacing w:line="259" w:lineRule="auto"/>
              <w:ind w:left="14"/>
              <w:jc w:val="center"/>
            </w:pPr>
            <w:r w:rsidRPr="005D0955">
              <w:rPr>
                <w:rFonts w:asciiTheme="majorHAnsi" w:hAnsiTheme="majorHAnsi"/>
                <w:sz w:val="18"/>
                <w:szCs w:val="18"/>
              </w:rPr>
              <w:t>498</w:t>
            </w:r>
          </w:p>
        </w:tc>
        <w:tc>
          <w:tcPr>
            <w:tcW w:w="62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FD31480" w14:textId="77777777" w:rsidR="00920B68" w:rsidRPr="00364545" w:rsidRDefault="00920B68" w:rsidP="00920B68">
            <w:pPr>
              <w:spacing w:line="259" w:lineRule="auto"/>
              <w:ind w:left="14"/>
              <w:jc w:val="center"/>
            </w:pPr>
            <w:r w:rsidRPr="005D0955">
              <w:rPr>
                <w:rFonts w:asciiTheme="majorHAnsi" w:hAnsiTheme="majorHAnsi"/>
                <w:sz w:val="18"/>
                <w:szCs w:val="18"/>
              </w:rPr>
              <w:t>385</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FC65DCD" w14:textId="3BB2C05E" w:rsidR="00920B68" w:rsidRPr="00364545" w:rsidRDefault="009B15B6" w:rsidP="00920B68">
            <w:pPr>
              <w:spacing w:line="259" w:lineRule="auto"/>
              <w:ind w:left="14"/>
              <w:jc w:val="center"/>
            </w:pPr>
            <w:r>
              <w:t>458</w:t>
            </w:r>
          </w:p>
        </w:tc>
        <w:tc>
          <w:tcPr>
            <w:tcW w:w="6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8093925" w14:textId="77777777" w:rsidR="00920B68" w:rsidRPr="00364545" w:rsidRDefault="00920B68" w:rsidP="00920B68">
            <w:pPr>
              <w:spacing w:line="259" w:lineRule="auto"/>
              <w:ind w:left="14"/>
              <w:jc w:val="center"/>
            </w:pPr>
            <w:r w:rsidRPr="00364545">
              <w:t>460</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4E218B5" w14:textId="77777777" w:rsidR="00920B68" w:rsidRPr="00364545" w:rsidRDefault="00920B68" w:rsidP="00920B68">
            <w:pPr>
              <w:spacing w:line="259" w:lineRule="auto"/>
              <w:ind w:left="14"/>
              <w:jc w:val="center"/>
            </w:pPr>
            <w:r w:rsidRPr="00364545">
              <w:t>460</w:t>
            </w:r>
          </w:p>
        </w:tc>
        <w:tc>
          <w:tcPr>
            <w:tcW w:w="6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0DAB08C" w14:textId="4992F0DB" w:rsidR="00920B68" w:rsidRPr="00364545" w:rsidRDefault="009B15B6" w:rsidP="00920B68">
            <w:pPr>
              <w:spacing w:line="259" w:lineRule="auto"/>
              <w:ind w:left="14"/>
              <w:jc w:val="center"/>
            </w:pPr>
            <w:r>
              <w:t>460</w:t>
            </w:r>
          </w:p>
        </w:tc>
        <w:tc>
          <w:tcPr>
            <w:tcW w:w="63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0B3A7B4" w14:textId="3216E8CF" w:rsidR="00920B68" w:rsidRPr="00364545" w:rsidRDefault="00745926" w:rsidP="00920B68">
            <w:pPr>
              <w:spacing w:line="259" w:lineRule="auto"/>
              <w:ind w:left="14"/>
              <w:jc w:val="center"/>
            </w:pPr>
            <w:r>
              <w:t>463</w:t>
            </w:r>
          </w:p>
        </w:tc>
      </w:tr>
      <w:tr w:rsidR="00920B68" w:rsidRPr="00364545" w14:paraId="4F2673D8" w14:textId="77777777" w:rsidTr="00920B68">
        <w:trPr>
          <w:trHeight w:val="347"/>
        </w:trPr>
        <w:tc>
          <w:tcPr>
            <w:tcW w:w="1602" w:type="dxa"/>
            <w:tcBorders>
              <w:top w:val="single" w:sz="2" w:space="0" w:color="000000"/>
              <w:left w:val="single" w:sz="2" w:space="0" w:color="000000"/>
              <w:bottom w:val="single" w:sz="2" w:space="0" w:color="000000"/>
              <w:right w:val="single" w:sz="2" w:space="0" w:color="000000"/>
            </w:tcBorders>
          </w:tcPr>
          <w:p w14:paraId="574D10BB" w14:textId="77777777" w:rsidR="00920B68" w:rsidRPr="00364545" w:rsidRDefault="00920B68" w:rsidP="00920B68">
            <w:pPr>
              <w:spacing w:line="259" w:lineRule="auto"/>
            </w:pPr>
            <w:r w:rsidRPr="00364545">
              <w:rPr>
                <w:sz w:val="18"/>
              </w:rPr>
              <w:t xml:space="preserve">Agriculture (excluding energy) </w:t>
            </w:r>
          </w:p>
        </w:tc>
        <w:tc>
          <w:tcPr>
            <w:tcW w:w="727" w:type="dxa"/>
            <w:tcBorders>
              <w:top w:val="single" w:sz="2" w:space="0" w:color="000000"/>
              <w:left w:val="single" w:sz="2" w:space="0" w:color="000000"/>
              <w:bottom w:val="single" w:sz="2" w:space="0" w:color="000000"/>
              <w:right w:val="single" w:sz="2" w:space="0" w:color="000000"/>
            </w:tcBorders>
            <w:vAlign w:val="center"/>
          </w:tcPr>
          <w:p w14:paraId="4287ACC7" w14:textId="77777777" w:rsidR="00920B68" w:rsidRPr="00364545" w:rsidRDefault="00920B68" w:rsidP="00920B68">
            <w:pPr>
              <w:spacing w:line="259" w:lineRule="auto"/>
              <w:ind w:left="14"/>
              <w:jc w:val="center"/>
            </w:pPr>
            <w:r w:rsidRPr="00634E4C">
              <w:rPr>
                <w:rFonts w:asciiTheme="majorHAnsi" w:hAnsiTheme="majorHAnsi"/>
                <w:sz w:val="18"/>
              </w:rPr>
              <w:t>0</w:t>
            </w:r>
          </w:p>
        </w:tc>
        <w:tc>
          <w:tcPr>
            <w:tcW w:w="793" w:type="dxa"/>
            <w:tcBorders>
              <w:top w:val="single" w:sz="2" w:space="0" w:color="000000"/>
              <w:left w:val="single" w:sz="2" w:space="0" w:color="000000"/>
              <w:bottom w:val="single" w:sz="2" w:space="0" w:color="000000"/>
              <w:right w:val="single" w:sz="2" w:space="0" w:color="000000"/>
            </w:tcBorders>
            <w:vAlign w:val="center"/>
          </w:tcPr>
          <w:p w14:paraId="69FC15C6"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765" w:type="dxa"/>
            <w:tcBorders>
              <w:top w:val="single" w:sz="2" w:space="0" w:color="000000"/>
              <w:left w:val="single" w:sz="2" w:space="0" w:color="000000"/>
              <w:bottom w:val="single" w:sz="2" w:space="0" w:color="000000"/>
              <w:right w:val="single" w:sz="2" w:space="0" w:color="000000"/>
            </w:tcBorders>
            <w:vAlign w:val="center"/>
          </w:tcPr>
          <w:p w14:paraId="06DC31B6"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486BD25B" w14:textId="77777777" w:rsidR="00920B68" w:rsidRPr="00364545" w:rsidRDefault="00920B68" w:rsidP="00920B68">
            <w:pPr>
              <w:spacing w:line="259" w:lineRule="auto"/>
              <w:ind w:left="14"/>
              <w:jc w:val="center"/>
            </w:pPr>
            <w:r w:rsidRPr="00634E4C">
              <w:rPr>
                <w:rFonts w:asciiTheme="majorHAnsi" w:hAnsiTheme="majorHAnsi"/>
                <w:b/>
                <w:color w:val="000000"/>
                <w:sz w:val="18"/>
              </w:rPr>
              <w:t>0</w:t>
            </w:r>
          </w:p>
        </w:tc>
        <w:tc>
          <w:tcPr>
            <w:tcW w:w="666" w:type="dxa"/>
            <w:tcBorders>
              <w:top w:val="single" w:sz="2" w:space="0" w:color="000000"/>
              <w:left w:val="single" w:sz="2" w:space="0" w:color="000000"/>
              <w:bottom w:val="single" w:sz="2" w:space="0" w:color="000000"/>
              <w:right w:val="single" w:sz="2" w:space="0" w:color="000000"/>
            </w:tcBorders>
            <w:vAlign w:val="center"/>
          </w:tcPr>
          <w:p w14:paraId="6B71D296"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664" w:type="dxa"/>
            <w:tcBorders>
              <w:top w:val="single" w:sz="2" w:space="0" w:color="000000"/>
              <w:left w:val="single" w:sz="2" w:space="0" w:color="000000"/>
              <w:bottom w:val="single" w:sz="2" w:space="0" w:color="000000"/>
              <w:right w:val="single" w:sz="2" w:space="0" w:color="000000"/>
            </w:tcBorders>
            <w:vAlign w:val="center"/>
          </w:tcPr>
          <w:p w14:paraId="08A8A30E" w14:textId="77777777" w:rsidR="00920B68" w:rsidRPr="00364545" w:rsidRDefault="00920B68" w:rsidP="00920B68">
            <w:pPr>
              <w:spacing w:line="259" w:lineRule="auto"/>
              <w:ind w:left="14"/>
              <w:jc w:val="center"/>
            </w:pPr>
            <w:r w:rsidRPr="00634E4C">
              <w:rPr>
                <w:rFonts w:asciiTheme="majorHAnsi" w:hAnsiTheme="majorHAnsi"/>
                <w:b/>
                <w:color w:val="000000"/>
                <w:sz w:val="18"/>
              </w:rPr>
              <w:t>0</w:t>
            </w:r>
          </w:p>
        </w:tc>
        <w:tc>
          <w:tcPr>
            <w:tcW w:w="620" w:type="dxa"/>
            <w:tcBorders>
              <w:top w:val="single" w:sz="2" w:space="0" w:color="000000"/>
              <w:left w:val="single" w:sz="2" w:space="0" w:color="000000"/>
              <w:bottom w:val="single" w:sz="2" w:space="0" w:color="000000"/>
              <w:right w:val="single" w:sz="2" w:space="0" w:color="000000"/>
            </w:tcBorders>
            <w:vAlign w:val="center"/>
          </w:tcPr>
          <w:p w14:paraId="48840C8E"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0CE26D78" w14:textId="77777777" w:rsidR="00920B68" w:rsidRPr="00364545" w:rsidRDefault="00920B68" w:rsidP="00920B68">
            <w:pPr>
              <w:spacing w:line="259" w:lineRule="auto"/>
              <w:ind w:left="16"/>
              <w:jc w:val="center"/>
            </w:pPr>
            <w:r w:rsidRPr="00364545">
              <w:t>0</w:t>
            </w:r>
          </w:p>
        </w:tc>
        <w:tc>
          <w:tcPr>
            <w:tcW w:w="673" w:type="dxa"/>
            <w:tcBorders>
              <w:top w:val="single" w:sz="2" w:space="0" w:color="000000"/>
              <w:left w:val="single" w:sz="2" w:space="0" w:color="000000"/>
              <w:bottom w:val="single" w:sz="2" w:space="0" w:color="000000"/>
              <w:right w:val="single" w:sz="2" w:space="0" w:color="000000"/>
            </w:tcBorders>
            <w:vAlign w:val="center"/>
          </w:tcPr>
          <w:p w14:paraId="658E4BD0" w14:textId="77777777" w:rsidR="00920B68" w:rsidRPr="00364545" w:rsidRDefault="00920B68" w:rsidP="00920B68">
            <w:pPr>
              <w:spacing w:line="259" w:lineRule="auto"/>
              <w:ind w:left="14"/>
              <w:jc w:val="center"/>
            </w:pPr>
            <w:r w:rsidRPr="00364545">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1EFF65BF" w14:textId="77777777" w:rsidR="00920B68" w:rsidRPr="00364545" w:rsidRDefault="00920B68" w:rsidP="00920B68">
            <w:pPr>
              <w:spacing w:line="259" w:lineRule="auto"/>
              <w:ind w:left="16"/>
              <w:jc w:val="center"/>
            </w:pPr>
            <w:r w:rsidRPr="00364545">
              <w:t>0</w:t>
            </w:r>
          </w:p>
        </w:tc>
        <w:tc>
          <w:tcPr>
            <w:tcW w:w="674" w:type="dxa"/>
            <w:tcBorders>
              <w:top w:val="single" w:sz="2" w:space="0" w:color="000000"/>
              <w:left w:val="single" w:sz="2" w:space="0" w:color="000000"/>
              <w:bottom w:val="single" w:sz="2" w:space="0" w:color="000000"/>
              <w:right w:val="single" w:sz="2" w:space="0" w:color="000000"/>
            </w:tcBorders>
            <w:vAlign w:val="center"/>
          </w:tcPr>
          <w:p w14:paraId="46EF1B8A" w14:textId="77777777" w:rsidR="00920B68" w:rsidRPr="00364545" w:rsidRDefault="00920B68" w:rsidP="00920B68">
            <w:pPr>
              <w:spacing w:line="259" w:lineRule="auto"/>
              <w:ind w:left="15"/>
              <w:jc w:val="center"/>
            </w:pPr>
            <w:r w:rsidRPr="00364545">
              <w:t>0</w:t>
            </w:r>
          </w:p>
        </w:tc>
        <w:tc>
          <w:tcPr>
            <w:tcW w:w="638" w:type="dxa"/>
            <w:tcBorders>
              <w:top w:val="single" w:sz="2" w:space="0" w:color="000000"/>
              <w:left w:val="single" w:sz="2" w:space="0" w:color="000000"/>
              <w:bottom w:val="single" w:sz="2" w:space="0" w:color="000000"/>
              <w:right w:val="single" w:sz="2" w:space="0" w:color="000000"/>
            </w:tcBorders>
            <w:vAlign w:val="center"/>
          </w:tcPr>
          <w:p w14:paraId="5E005E17" w14:textId="77777777" w:rsidR="00920B68" w:rsidRPr="00364545" w:rsidRDefault="00920B68" w:rsidP="00920B68">
            <w:pPr>
              <w:spacing w:line="259" w:lineRule="auto"/>
              <w:ind w:left="15"/>
              <w:jc w:val="center"/>
            </w:pPr>
            <w:r w:rsidRPr="00364545">
              <w:t>0</w:t>
            </w:r>
          </w:p>
        </w:tc>
      </w:tr>
      <w:tr w:rsidR="00920B68" w:rsidRPr="00364545" w14:paraId="3ADEC874" w14:textId="77777777" w:rsidTr="00920B68">
        <w:trPr>
          <w:trHeight w:val="344"/>
        </w:trPr>
        <w:tc>
          <w:tcPr>
            <w:tcW w:w="1602" w:type="dxa"/>
            <w:tcBorders>
              <w:top w:val="single" w:sz="2" w:space="0" w:color="000000"/>
              <w:left w:val="single" w:sz="2" w:space="0" w:color="000000"/>
              <w:bottom w:val="single" w:sz="2" w:space="0" w:color="000000"/>
              <w:right w:val="single" w:sz="2" w:space="0" w:color="000000"/>
            </w:tcBorders>
            <w:shd w:val="clear" w:color="auto" w:fill="ECE6E2"/>
          </w:tcPr>
          <w:p w14:paraId="1136F6FE" w14:textId="77777777" w:rsidR="00920B68" w:rsidRPr="00364545" w:rsidRDefault="00920B68" w:rsidP="00920B68">
            <w:pPr>
              <w:spacing w:line="259" w:lineRule="auto"/>
            </w:pPr>
            <w:r w:rsidRPr="00364545">
              <w:rPr>
                <w:sz w:val="18"/>
              </w:rPr>
              <w:t xml:space="preserve">LULUCF </w:t>
            </w:r>
          </w:p>
        </w:tc>
        <w:tc>
          <w:tcPr>
            <w:tcW w:w="72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4AE39BB" w14:textId="77777777" w:rsidR="00920B68" w:rsidRPr="00364545" w:rsidRDefault="00920B68" w:rsidP="00920B68">
            <w:pPr>
              <w:spacing w:line="259" w:lineRule="auto"/>
              <w:ind w:left="14"/>
              <w:jc w:val="center"/>
            </w:pPr>
            <w:r w:rsidRPr="00634E4C">
              <w:rPr>
                <w:rFonts w:asciiTheme="majorHAnsi" w:hAnsiTheme="majorHAnsi"/>
                <w:sz w:val="18"/>
              </w:rPr>
              <w:t>0</w:t>
            </w:r>
          </w:p>
        </w:tc>
        <w:tc>
          <w:tcPr>
            <w:tcW w:w="79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AE96B0A"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7BC29A3"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896253C" w14:textId="77777777" w:rsidR="00920B68" w:rsidRPr="00364545" w:rsidRDefault="00920B68" w:rsidP="00920B68">
            <w:pPr>
              <w:spacing w:line="259" w:lineRule="auto"/>
              <w:ind w:left="14"/>
              <w:jc w:val="center"/>
            </w:pPr>
            <w:r w:rsidRPr="00634E4C">
              <w:rPr>
                <w:rFonts w:asciiTheme="majorHAnsi" w:hAnsiTheme="majorHAnsi"/>
                <w:b/>
                <w:color w:val="000000"/>
                <w:sz w:val="18"/>
              </w:rPr>
              <w:t>0</w:t>
            </w:r>
          </w:p>
        </w:tc>
        <w:tc>
          <w:tcPr>
            <w:tcW w:w="6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1F5286"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66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3ADD5D1" w14:textId="77777777" w:rsidR="00920B68" w:rsidRPr="00364545" w:rsidRDefault="00920B68" w:rsidP="00920B68">
            <w:pPr>
              <w:spacing w:line="259" w:lineRule="auto"/>
              <w:ind w:left="14"/>
              <w:jc w:val="center"/>
            </w:pPr>
            <w:r w:rsidRPr="00634E4C">
              <w:rPr>
                <w:rFonts w:asciiTheme="majorHAnsi" w:hAnsiTheme="majorHAnsi"/>
                <w:b/>
                <w:color w:val="000000"/>
                <w:sz w:val="18"/>
              </w:rPr>
              <w:t>0</w:t>
            </w:r>
          </w:p>
        </w:tc>
        <w:tc>
          <w:tcPr>
            <w:tcW w:w="62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EF0856B"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C3B598C" w14:textId="77777777" w:rsidR="00920B68" w:rsidRPr="00364545" w:rsidRDefault="00920B68" w:rsidP="00920B68">
            <w:pPr>
              <w:spacing w:line="259" w:lineRule="auto"/>
              <w:ind w:left="16"/>
              <w:jc w:val="center"/>
            </w:pPr>
            <w:r w:rsidRPr="00364545">
              <w:t>0</w:t>
            </w:r>
          </w:p>
        </w:tc>
        <w:tc>
          <w:tcPr>
            <w:tcW w:w="6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BE73D7B" w14:textId="77777777" w:rsidR="00920B68" w:rsidRPr="00364545" w:rsidRDefault="00920B68" w:rsidP="00920B68">
            <w:pPr>
              <w:spacing w:line="259" w:lineRule="auto"/>
              <w:ind w:left="14"/>
              <w:jc w:val="center"/>
            </w:pPr>
            <w:r w:rsidRPr="00364545">
              <w:t>0</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2E67A2" w14:textId="77777777" w:rsidR="00920B68" w:rsidRPr="00364545" w:rsidRDefault="00920B68" w:rsidP="00920B68">
            <w:pPr>
              <w:spacing w:line="259" w:lineRule="auto"/>
              <w:ind w:left="16"/>
              <w:jc w:val="center"/>
            </w:pPr>
            <w:r w:rsidRPr="00364545">
              <w:t>0</w:t>
            </w:r>
          </w:p>
        </w:tc>
        <w:tc>
          <w:tcPr>
            <w:tcW w:w="6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C4A846C" w14:textId="77777777" w:rsidR="00920B68" w:rsidRPr="00364545" w:rsidRDefault="00920B68" w:rsidP="00920B68">
            <w:pPr>
              <w:spacing w:line="259" w:lineRule="auto"/>
              <w:ind w:left="15"/>
              <w:jc w:val="center"/>
            </w:pPr>
            <w:r w:rsidRPr="00364545">
              <w:t>0</w:t>
            </w:r>
          </w:p>
        </w:tc>
        <w:tc>
          <w:tcPr>
            <w:tcW w:w="63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1C70385" w14:textId="77777777" w:rsidR="00920B68" w:rsidRPr="00364545" w:rsidRDefault="00920B68" w:rsidP="00920B68">
            <w:pPr>
              <w:spacing w:line="259" w:lineRule="auto"/>
              <w:ind w:left="15"/>
              <w:jc w:val="center"/>
            </w:pPr>
            <w:r w:rsidRPr="00364545">
              <w:t>0</w:t>
            </w:r>
          </w:p>
        </w:tc>
      </w:tr>
      <w:tr w:rsidR="00920B68" w:rsidRPr="00364545" w14:paraId="442C5154" w14:textId="77777777" w:rsidTr="00920B68">
        <w:trPr>
          <w:trHeight w:val="346"/>
        </w:trPr>
        <w:tc>
          <w:tcPr>
            <w:tcW w:w="1602" w:type="dxa"/>
            <w:tcBorders>
              <w:top w:val="single" w:sz="2" w:space="0" w:color="000000"/>
              <w:left w:val="single" w:sz="2" w:space="0" w:color="000000"/>
              <w:bottom w:val="single" w:sz="2" w:space="0" w:color="000000"/>
              <w:right w:val="single" w:sz="2" w:space="0" w:color="000000"/>
            </w:tcBorders>
          </w:tcPr>
          <w:p w14:paraId="0FBCDA64" w14:textId="77777777" w:rsidR="00920B68" w:rsidRPr="00364545" w:rsidRDefault="00920B68" w:rsidP="00920B68">
            <w:pPr>
              <w:spacing w:line="259" w:lineRule="auto"/>
            </w:pPr>
            <w:r w:rsidRPr="00364545">
              <w:rPr>
                <w:sz w:val="18"/>
              </w:rPr>
              <w:t xml:space="preserve">Waste </w:t>
            </w:r>
          </w:p>
        </w:tc>
        <w:tc>
          <w:tcPr>
            <w:tcW w:w="727" w:type="dxa"/>
            <w:tcBorders>
              <w:top w:val="single" w:sz="2" w:space="0" w:color="000000"/>
              <w:left w:val="single" w:sz="2" w:space="0" w:color="000000"/>
              <w:bottom w:val="single" w:sz="2" w:space="0" w:color="000000"/>
              <w:right w:val="single" w:sz="2" w:space="0" w:color="000000"/>
            </w:tcBorders>
            <w:vAlign w:val="center"/>
          </w:tcPr>
          <w:p w14:paraId="5B12F668" w14:textId="77777777" w:rsidR="00920B68" w:rsidRPr="00364545" w:rsidRDefault="00920B68" w:rsidP="00920B68">
            <w:pPr>
              <w:spacing w:line="259" w:lineRule="auto"/>
              <w:ind w:left="14"/>
              <w:jc w:val="center"/>
            </w:pPr>
            <w:r w:rsidRPr="00634E4C">
              <w:rPr>
                <w:rFonts w:asciiTheme="majorHAnsi" w:hAnsiTheme="majorHAnsi"/>
                <w:sz w:val="18"/>
              </w:rPr>
              <w:t>0</w:t>
            </w:r>
          </w:p>
        </w:tc>
        <w:tc>
          <w:tcPr>
            <w:tcW w:w="793" w:type="dxa"/>
            <w:tcBorders>
              <w:top w:val="single" w:sz="2" w:space="0" w:color="000000"/>
              <w:left w:val="single" w:sz="2" w:space="0" w:color="000000"/>
              <w:bottom w:val="single" w:sz="2" w:space="0" w:color="000000"/>
              <w:right w:val="single" w:sz="2" w:space="0" w:color="000000"/>
            </w:tcBorders>
            <w:vAlign w:val="center"/>
          </w:tcPr>
          <w:p w14:paraId="0183E9F3"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765" w:type="dxa"/>
            <w:tcBorders>
              <w:top w:val="single" w:sz="2" w:space="0" w:color="000000"/>
              <w:left w:val="single" w:sz="2" w:space="0" w:color="000000"/>
              <w:bottom w:val="single" w:sz="2" w:space="0" w:color="000000"/>
              <w:right w:val="single" w:sz="2" w:space="0" w:color="000000"/>
            </w:tcBorders>
            <w:vAlign w:val="center"/>
          </w:tcPr>
          <w:p w14:paraId="3CB2AD8D"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762" w:type="dxa"/>
            <w:tcBorders>
              <w:top w:val="single" w:sz="2" w:space="0" w:color="000000"/>
              <w:left w:val="single" w:sz="2" w:space="0" w:color="000000"/>
              <w:bottom w:val="single" w:sz="2" w:space="0" w:color="000000"/>
              <w:right w:val="single" w:sz="2" w:space="0" w:color="000000"/>
            </w:tcBorders>
            <w:vAlign w:val="center"/>
          </w:tcPr>
          <w:p w14:paraId="2DB8BC63" w14:textId="77777777" w:rsidR="00920B68" w:rsidRPr="00364545" w:rsidRDefault="00920B68" w:rsidP="00920B68">
            <w:pPr>
              <w:spacing w:line="259" w:lineRule="auto"/>
              <w:ind w:left="14"/>
              <w:jc w:val="center"/>
            </w:pPr>
            <w:r w:rsidRPr="00634E4C">
              <w:rPr>
                <w:rFonts w:asciiTheme="majorHAnsi" w:hAnsiTheme="majorHAnsi"/>
                <w:b/>
                <w:color w:val="000000"/>
                <w:sz w:val="18"/>
              </w:rPr>
              <w:t>0</w:t>
            </w:r>
          </w:p>
        </w:tc>
        <w:tc>
          <w:tcPr>
            <w:tcW w:w="666" w:type="dxa"/>
            <w:tcBorders>
              <w:top w:val="single" w:sz="2" w:space="0" w:color="000000"/>
              <w:left w:val="single" w:sz="2" w:space="0" w:color="000000"/>
              <w:bottom w:val="single" w:sz="2" w:space="0" w:color="000000"/>
              <w:right w:val="single" w:sz="2" w:space="0" w:color="000000"/>
            </w:tcBorders>
            <w:vAlign w:val="center"/>
          </w:tcPr>
          <w:p w14:paraId="231FEFD1"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664" w:type="dxa"/>
            <w:tcBorders>
              <w:top w:val="single" w:sz="2" w:space="0" w:color="000000"/>
              <w:left w:val="single" w:sz="2" w:space="0" w:color="000000"/>
              <w:bottom w:val="single" w:sz="2" w:space="0" w:color="000000"/>
              <w:right w:val="single" w:sz="2" w:space="0" w:color="000000"/>
            </w:tcBorders>
            <w:vAlign w:val="center"/>
          </w:tcPr>
          <w:p w14:paraId="1B3FF434" w14:textId="77777777" w:rsidR="00920B68" w:rsidRPr="00364545" w:rsidRDefault="00920B68" w:rsidP="00920B68">
            <w:pPr>
              <w:spacing w:line="259" w:lineRule="auto"/>
              <w:ind w:left="14"/>
              <w:jc w:val="center"/>
            </w:pPr>
            <w:r w:rsidRPr="00634E4C">
              <w:rPr>
                <w:rFonts w:asciiTheme="majorHAnsi" w:hAnsiTheme="majorHAnsi"/>
                <w:b/>
                <w:color w:val="000000"/>
                <w:sz w:val="18"/>
              </w:rPr>
              <w:t>0</w:t>
            </w:r>
          </w:p>
        </w:tc>
        <w:tc>
          <w:tcPr>
            <w:tcW w:w="620" w:type="dxa"/>
            <w:tcBorders>
              <w:top w:val="single" w:sz="2" w:space="0" w:color="000000"/>
              <w:left w:val="single" w:sz="2" w:space="0" w:color="000000"/>
              <w:bottom w:val="single" w:sz="2" w:space="0" w:color="000000"/>
              <w:right w:val="single" w:sz="2" w:space="0" w:color="000000"/>
            </w:tcBorders>
            <w:vAlign w:val="center"/>
          </w:tcPr>
          <w:p w14:paraId="7F88291B" w14:textId="77777777" w:rsidR="00920B68" w:rsidRPr="00364545" w:rsidRDefault="00920B68" w:rsidP="00920B68">
            <w:pPr>
              <w:spacing w:line="259" w:lineRule="auto"/>
              <w:ind w:left="16"/>
              <w:jc w:val="center"/>
            </w:pPr>
            <w:r w:rsidRPr="00634E4C">
              <w:rPr>
                <w:rFonts w:asciiTheme="majorHAnsi" w:hAnsiTheme="majorHAnsi"/>
                <w:b/>
                <w:color w:val="000000"/>
                <w:sz w:val="18"/>
              </w:rPr>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259DF62F" w14:textId="77777777" w:rsidR="00920B68" w:rsidRPr="00364545" w:rsidRDefault="00920B68" w:rsidP="00920B68">
            <w:pPr>
              <w:spacing w:line="259" w:lineRule="auto"/>
              <w:ind w:left="16"/>
              <w:jc w:val="center"/>
            </w:pPr>
            <w:r w:rsidRPr="00364545">
              <w:t>0</w:t>
            </w:r>
          </w:p>
        </w:tc>
        <w:tc>
          <w:tcPr>
            <w:tcW w:w="673" w:type="dxa"/>
            <w:tcBorders>
              <w:top w:val="single" w:sz="2" w:space="0" w:color="000000"/>
              <w:left w:val="single" w:sz="2" w:space="0" w:color="000000"/>
              <w:bottom w:val="single" w:sz="2" w:space="0" w:color="000000"/>
              <w:right w:val="single" w:sz="2" w:space="0" w:color="000000"/>
            </w:tcBorders>
            <w:vAlign w:val="center"/>
          </w:tcPr>
          <w:p w14:paraId="37FA28D7" w14:textId="77777777" w:rsidR="00920B68" w:rsidRPr="00364545" w:rsidRDefault="00920B68" w:rsidP="00920B68">
            <w:pPr>
              <w:spacing w:line="259" w:lineRule="auto"/>
              <w:ind w:left="14"/>
              <w:jc w:val="center"/>
            </w:pPr>
            <w:r w:rsidRPr="00364545">
              <w:t>0</w:t>
            </w:r>
          </w:p>
        </w:tc>
        <w:tc>
          <w:tcPr>
            <w:tcW w:w="675" w:type="dxa"/>
            <w:tcBorders>
              <w:top w:val="single" w:sz="2" w:space="0" w:color="000000"/>
              <w:left w:val="single" w:sz="2" w:space="0" w:color="000000"/>
              <w:bottom w:val="single" w:sz="2" w:space="0" w:color="000000"/>
              <w:right w:val="single" w:sz="2" w:space="0" w:color="000000"/>
            </w:tcBorders>
            <w:vAlign w:val="center"/>
          </w:tcPr>
          <w:p w14:paraId="12FD89B0" w14:textId="77777777" w:rsidR="00920B68" w:rsidRPr="00364545" w:rsidRDefault="00920B68" w:rsidP="00920B68">
            <w:pPr>
              <w:spacing w:line="259" w:lineRule="auto"/>
              <w:ind w:left="16"/>
              <w:jc w:val="center"/>
            </w:pPr>
            <w:r w:rsidRPr="00364545">
              <w:t>0</w:t>
            </w:r>
          </w:p>
        </w:tc>
        <w:tc>
          <w:tcPr>
            <w:tcW w:w="674" w:type="dxa"/>
            <w:tcBorders>
              <w:top w:val="single" w:sz="2" w:space="0" w:color="000000"/>
              <w:left w:val="single" w:sz="2" w:space="0" w:color="000000"/>
              <w:bottom w:val="single" w:sz="2" w:space="0" w:color="000000"/>
              <w:right w:val="single" w:sz="2" w:space="0" w:color="000000"/>
            </w:tcBorders>
            <w:vAlign w:val="center"/>
          </w:tcPr>
          <w:p w14:paraId="2397E6A7" w14:textId="77777777" w:rsidR="00920B68" w:rsidRPr="00364545" w:rsidRDefault="00920B68" w:rsidP="00920B68">
            <w:pPr>
              <w:spacing w:line="259" w:lineRule="auto"/>
              <w:ind w:left="15"/>
              <w:jc w:val="center"/>
            </w:pPr>
            <w:r w:rsidRPr="00364545">
              <w:t>0</w:t>
            </w:r>
          </w:p>
        </w:tc>
        <w:tc>
          <w:tcPr>
            <w:tcW w:w="638" w:type="dxa"/>
            <w:tcBorders>
              <w:top w:val="single" w:sz="2" w:space="0" w:color="000000"/>
              <w:left w:val="single" w:sz="2" w:space="0" w:color="000000"/>
              <w:bottom w:val="single" w:sz="2" w:space="0" w:color="000000"/>
              <w:right w:val="single" w:sz="2" w:space="0" w:color="000000"/>
            </w:tcBorders>
            <w:vAlign w:val="center"/>
          </w:tcPr>
          <w:p w14:paraId="1578539C" w14:textId="77777777" w:rsidR="00920B68" w:rsidRPr="00364545" w:rsidRDefault="00920B68" w:rsidP="00920B68">
            <w:pPr>
              <w:spacing w:line="259" w:lineRule="auto"/>
              <w:ind w:left="15"/>
              <w:jc w:val="center"/>
            </w:pPr>
            <w:r w:rsidRPr="00364545">
              <w:t>0</w:t>
            </w:r>
          </w:p>
        </w:tc>
      </w:tr>
      <w:tr w:rsidR="00920B68" w:rsidRPr="00364545" w14:paraId="1BF4BDEF" w14:textId="77777777" w:rsidTr="00920B68">
        <w:trPr>
          <w:trHeight w:val="343"/>
        </w:trPr>
        <w:tc>
          <w:tcPr>
            <w:tcW w:w="1602" w:type="dxa"/>
            <w:tcBorders>
              <w:top w:val="single" w:sz="2" w:space="0" w:color="000000"/>
              <w:left w:val="single" w:sz="2" w:space="0" w:color="000000"/>
              <w:bottom w:val="single" w:sz="2" w:space="0" w:color="000000"/>
              <w:right w:val="single" w:sz="2" w:space="0" w:color="000000"/>
            </w:tcBorders>
            <w:shd w:val="clear" w:color="auto" w:fill="ECE6E2"/>
          </w:tcPr>
          <w:p w14:paraId="7338CC31" w14:textId="77777777" w:rsidR="00920B68" w:rsidRPr="00364545" w:rsidRDefault="00920B68" w:rsidP="00920B68">
            <w:pPr>
              <w:spacing w:line="259" w:lineRule="auto"/>
            </w:pPr>
            <w:r w:rsidRPr="00364545">
              <w:rPr>
                <w:b/>
                <w:sz w:val="18"/>
              </w:rPr>
              <w:t xml:space="preserve">Ensemble (hors UTCF) </w:t>
            </w:r>
          </w:p>
        </w:tc>
        <w:tc>
          <w:tcPr>
            <w:tcW w:w="72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4FE7B58" w14:textId="77777777" w:rsidR="00920B68" w:rsidRPr="00364545" w:rsidRDefault="00920B68" w:rsidP="00920B68">
            <w:pPr>
              <w:spacing w:line="259" w:lineRule="auto"/>
              <w:ind w:left="14"/>
              <w:jc w:val="center"/>
              <w:rPr>
                <w:b/>
              </w:rPr>
            </w:pPr>
            <w:r w:rsidRPr="005D0955">
              <w:rPr>
                <w:rFonts w:asciiTheme="majorHAnsi" w:hAnsiTheme="majorHAnsi"/>
                <w:sz w:val="18"/>
                <w:szCs w:val="18"/>
              </w:rPr>
              <w:t>2155</w:t>
            </w:r>
          </w:p>
        </w:tc>
        <w:tc>
          <w:tcPr>
            <w:tcW w:w="79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1CECF70" w14:textId="77777777" w:rsidR="00920B68" w:rsidRPr="00364545" w:rsidRDefault="00920B68" w:rsidP="00920B68">
            <w:pPr>
              <w:spacing w:line="259" w:lineRule="auto"/>
              <w:ind w:left="14"/>
              <w:jc w:val="center"/>
              <w:rPr>
                <w:b/>
              </w:rPr>
            </w:pPr>
            <w:r w:rsidRPr="005D0955">
              <w:rPr>
                <w:rFonts w:asciiTheme="majorHAnsi" w:hAnsiTheme="majorHAnsi"/>
                <w:sz w:val="18"/>
                <w:szCs w:val="18"/>
              </w:rPr>
              <w:t>2467</w:t>
            </w:r>
          </w:p>
        </w:tc>
        <w:tc>
          <w:tcPr>
            <w:tcW w:w="76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5F8C7D1" w14:textId="77777777" w:rsidR="00920B68" w:rsidRPr="00364545" w:rsidRDefault="00920B68" w:rsidP="00920B68">
            <w:pPr>
              <w:spacing w:line="259" w:lineRule="auto"/>
              <w:ind w:left="14"/>
              <w:jc w:val="center"/>
              <w:rPr>
                <w:b/>
              </w:rPr>
            </w:pPr>
            <w:r w:rsidRPr="005D0955">
              <w:rPr>
                <w:rFonts w:asciiTheme="majorHAnsi" w:hAnsiTheme="majorHAnsi"/>
                <w:sz w:val="18"/>
                <w:szCs w:val="18"/>
              </w:rPr>
              <w:t>2180</w:t>
            </w:r>
          </w:p>
        </w:tc>
        <w:tc>
          <w:tcPr>
            <w:tcW w:w="76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4166561" w14:textId="77777777" w:rsidR="00920B68" w:rsidRPr="00364545" w:rsidRDefault="00920B68" w:rsidP="00920B68">
            <w:pPr>
              <w:spacing w:line="259" w:lineRule="auto"/>
              <w:ind w:left="14"/>
              <w:jc w:val="center"/>
              <w:rPr>
                <w:b/>
              </w:rPr>
            </w:pPr>
            <w:r w:rsidRPr="005D0955">
              <w:rPr>
                <w:rFonts w:asciiTheme="majorHAnsi" w:hAnsiTheme="majorHAnsi"/>
                <w:sz w:val="18"/>
                <w:szCs w:val="18"/>
              </w:rPr>
              <w:t>1355</w:t>
            </w:r>
          </w:p>
        </w:tc>
        <w:tc>
          <w:tcPr>
            <w:tcW w:w="666"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A3C2CE2" w14:textId="77777777" w:rsidR="00920B68" w:rsidRPr="00364545" w:rsidRDefault="00920B68" w:rsidP="00920B68">
            <w:pPr>
              <w:spacing w:line="259" w:lineRule="auto"/>
              <w:ind w:left="14"/>
              <w:jc w:val="center"/>
              <w:rPr>
                <w:b/>
              </w:rPr>
            </w:pPr>
            <w:r w:rsidRPr="005D0955">
              <w:rPr>
                <w:rFonts w:asciiTheme="majorHAnsi" w:hAnsiTheme="majorHAnsi"/>
                <w:sz w:val="18"/>
                <w:szCs w:val="18"/>
              </w:rPr>
              <w:t>875</w:t>
            </w:r>
          </w:p>
        </w:tc>
        <w:tc>
          <w:tcPr>
            <w:tcW w:w="66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1928A49" w14:textId="77777777" w:rsidR="00920B68" w:rsidRPr="00364545" w:rsidRDefault="00920B68" w:rsidP="00920B68">
            <w:pPr>
              <w:spacing w:line="259" w:lineRule="auto"/>
              <w:ind w:left="14"/>
              <w:jc w:val="center"/>
              <w:rPr>
                <w:b/>
              </w:rPr>
            </w:pPr>
            <w:r w:rsidRPr="005D0955">
              <w:rPr>
                <w:rFonts w:asciiTheme="majorHAnsi" w:hAnsiTheme="majorHAnsi"/>
                <w:sz w:val="18"/>
                <w:szCs w:val="18"/>
              </w:rPr>
              <w:t>498</w:t>
            </w:r>
          </w:p>
        </w:tc>
        <w:tc>
          <w:tcPr>
            <w:tcW w:w="620"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DCFBE21" w14:textId="77777777" w:rsidR="00920B68" w:rsidRPr="00364545" w:rsidRDefault="00920B68" w:rsidP="00920B68">
            <w:pPr>
              <w:spacing w:line="259" w:lineRule="auto"/>
              <w:ind w:left="14"/>
              <w:jc w:val="center"/>
              <w:rPr>
                <w:b/>
              </w:rPr>
            </w:pPr>
            <w:r w:rsidRPr="005D0955">
              <w:rPr>
                <w:rFonts w:asciiTheme="majorHAnsi" w:hAnsiTheme="majorHAnsi"/>
                <w:sz w:val="18"/>
                <w:szCs w:val="18"/>
              </w:rPr>
              <w:t>385</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5BDC6E3" w14:textId="2B2C47E7" w:rsidR="00920B68" w:rsidRPr="00364545" w:rsidRDefault="009B15B6" w:rsidP="00920B68">
            <w:pPr>
              <w:spacing w:line="259" w:lineRule="auto"/>
              <w:ind w:left="14"/>
              <w:jc w:val="center"/>
              <w:rPr>
                <w:b/>
              </w:rPr>
            </w:pPr>
            <w:r>
              <w:rPr>
                <w:b/>
              </w:rPr>
              <w:t>458</w:t>
            </w:r>
          </w:p>
        </w:tc>
        <w:tc>
          <w:tcPr>
            <w:tcW w:w="67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C83D692" w14:textId="77777777" w:rsidR="00920B68" w:rsidRPr="00364545" w:rsidRDefault="00920B68" w:rsidP="00920B68">
            <w:pPr>
              <w:spacing w:line="259" w:lineRule="auto"/>
              <w:ind w:left="14"/>
              <w:jc w:val="center"/>
              <w:rPr>
                <w:b/>
              </w:rPr>
            </w:pPr>
            <w:r w:rsidRPr="00364545">
              <w:rPr>
                <w:b/>
              </w:rPr>
              <w:t>460</w:t>
            </w:r>
          </w:p>
        </w:tc>
        <w:tc>
          <w:tcPr>
            <w:tcW w:w="675"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8CB6C4B" w14:textId="77777777" w:rsidR="00920B68" w:rsidRPr="00364545" w:rsidRDefault="00920B68" w:rsidP="00920B68">
            <w:pPr>
              <w:spacing w:line="259" w:lineRule="auto"/>
              <w:ind w:left="14"/>
              <w:jc w:val="center"/>
              <w:rPr>
                <w:b/>
              </w:rPr>
            </w:pPr>
            <w:r w:rsidRPr="00364545">
              <w:rPr>
                <w:b/>
              </w:rPr>
              <w:t>460</w:t>
            </w:r>
          </w:p>
        </w:tc>
        <w:tc>
          <w:tcPr>
            <w:tcW w:w="674"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F063724" w14:textId="1A4B947C" w:rsidR="00920B68" w:rsidRPr="00364545" w:rsidRDefault="009B15B6" w:rsidP="00920B68">
            <w:pPr>
              <w:spacing w:line="259" w:lineRule="auto"/>
              <w:ind w:left="14"/>
              <w:jc w:val="center"/>
              <w:rPr>
                <w:b/>
              </w:rPr>
            </w:pPr>
            <w:r>
              <w:rPr>
                <w:b/>
              </w:rPr>
              <w:t>460</w:t>
            </w:r>
          </w:p>
        </w:tc>
        <w:tc>
          <w:tcPr>
            <w:tcW w:w="638"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C7E14E7" w14:textId="07B33D87" w:rsidR="00920B68" w:rsidRPr="00364545" w:rsidRDefault="00745926" w:rsidP="00C50CEB">
            <w:pPr>
              <w:spacing w:line="259" w:lineRule="auto"/>
              <w:ind w:left="14"/>
              <w:rPr>
                <w:b/>
              </w:rPr>
            </w:pPr>
            <w:r>
              <w:rPr>
                <w:b/>
              </w:rPr>
              <w:t>463</w:t>
            </w:r>
          </w:p>
        </w:tc>
      </w:tr>
      <w:tr w:rsidR="00920B68" w:rsidRPr="00364545" w14:paraId="20D396E7" w14:textId="77777777" w:rsidTr="00920B68">
        <w:trPr>
          <w:trHeight w:val="346"/>
        </w:trPr>
        <w:tc>
          <w:tcPr>
            <w:tcW w:w="1602" w:type="dxa"/>
            <w:tcBorders>
              <w:top w:val="single" w:sz="2" w:space="0" w:color="000000"/>
              <w:left w:val="single" w:sz="2" w:space="0" w:color="000000"/>
              <w:bottom w:val="single" w:sz="2" w:space="0" w:color="000000"/>
              <w:right w:val="single" w:sz="2" w:space="0" w:color="000000"/>
            </w:tcBorders>
          </w:tcPr>
          <w:p w14:paraId="17272F67" w14:textId="77777777" w:rsidR="00920B68" w:rsidRPr="00364545" w:rsidRDefault="00920B68" w:rsidP="00920B68">
            <w:pPr>
              <w:spacing w:line="259" w:lineRule="auto"/>
            </w:pPr>
            <w:r w:rsidRPr="00364545">
              <w:rPr>
                <w:b/>
                <w:sz w:val="18"/>
              </w:rPr>
              <w:t xml:space="preserve">Ensemble (avec UTCF) </w:t>
            </w:r>
          </w:p>
        </w:tc>
        <w:tc>
          <w:tcPr>
            <w:tcW w:w="727" w:type="dxa"/>
            <w:tcBorders>
              <w:top w:val="single" w:sz="2" w:space="0" w:color="000000"/>
              <w:left w:val="single" w:sz="2" w:space="0" w:color="000000"/>
              <w:bottom w:val="single" w:sz="2" w:space="0" w:color="000000"/>
              <w:right w:val="single" w:sz="2" w:space="0" w:color="000000"/>
            </w:tcBorders>
            <w:vAlign w:val="center"/>
          </w:tcPr>
          <w:p w14:paraId="55523106" w14:textId="77777777" w:rsidR="00920B68" w:rsidRPr="00364545" w:rsidRDefault="00920B68" w:rsidP="00920B68">
            <w:pPr>
              <w:spacing w:line="259" w:lineRule="auto"/>
              <w:ind w:left="14"/>
              <w:jc w:val="center"/>
              <w:rPr>
                <w:b/>
              </w:rPr>
            </w:pPr>
            <w:r w:rsidRPr="005D0955">
              <w:rPr>
                <w:rFonts w:asciiTheme="majorHAnsi" w:hAnsiTheme="majorHAnsi"/>
                <w:sz w:val="18"/>
                <w:szCs w:val="18"/>
              </w:rPr>
              <w:t>2155</w:t>
            </w:r>
          </w:p>
        </w:tc>
        <w:tc>
          <w:tcPr>
            <w:tcW w:w="793" w:type="dxa"/>
            <w:tcBorders>
              <w:top w:val="single" w:sz="2" w:space="0" w:color="000000"/>
              <w:left w:val="single" w:sz="2" w:space="0" w:color="000000"/>
              <w:bottom w:val="single" w:sz="2" w:space="0" w:color="000000"/>
              <w:right w:val="single" w:sz="2" w:space="0" w:color="000000"/>
            </w:tcBorders>
            <w:vAlign w:val="center"/>
          </w:tcPr>
          <w:p w14:paraId="4D2F8C45" w14:textId="77777777" w:rsidR="00920B68" w:rsidRPr="00364545" w:rsidRDefault="00920B68" w:rsidP="00920B68">
            <w:pPr>
              <w:spacing w:line="259" w:lineRule="auto"/>
              <w:ind w:left="14"/>
              <w:jc w:val="center"/>
              <w:rPr>
                <w:b/>
              </w:rPr>
            </w:pPr>
            <w:r w:rsidRPr="005D0955">
              <w:rPr>
                <w:rFonts w:asciiTheme="majorHAnsi" w:hAnsiTheme="majorHAnsi"/>
                <w:sz w:val="18"/>
                <w:szCs w:val="18"/>
              </w:rPr>
              <w:t>2467</w:t>
            </w:r>
          </w:p>
        </w:tc>
        <w:tc>
          <w:tcPr>
            <w:tcW w:w="765" w:type="dxa"/>
            <w:tcBorders>
              <w:top w:val="single" w:sz="2" w:space="0" w:color="000000"/>
              <w:left w:val="single" w:sz="2" w:space="0" w:color="000000"/>
              <w:bottom w:val="single" w:sz="2" w:space="0" w:color="000000"/>
              <w:right w:val="single" w:sz="2" w:space="0" w:color="000000"/>
            </w:tcBorders>
            <w:vAlign w:val="center"/>
          </w:tcPr>
          <w:p w14:paraId="34250BC8" w14:textId="77777777" w:rsidR="00920B68" w:rsidRPr="00364545" w:rsidRDefault="00920B68" w:rsidP="00920B68">
            <w:pPr>
              <w:spacing w:line="259" w:lineRule="auto"/>
              <w:ind w:left="14"/>
              <w:jc w:val="center"/>
              <w:rPr>
                <w:b/>
              </w:rPr>
            </w:pPr>
            <w:r w:rsidRPr="005D0955">
              <w:rPr>
                <w:rFonts w:asciiTheme="majorHAnsi" w:hAnsiTheme="majorHAnsi"/>
                <w:sz w:val="18"/>
                <w:szCs w:val="18"/>
              </w:rPr>
              <w:t>2180</w:t>
            </w:r>
          </w:p>
        </w:tc>
        <w:tc>
          <w:tcPr>
            <w:tcW w:w="762" w:type="dxa"/>
            <w:tcBorders>
              <w:top w:val="single" w:sz="2" w:space="0" w:color="000000"/>
              <w:left w:val="single" w:sz="2" w:space="0" w:color="000000"/>
              <w:bottom w:val="single" w:sz="2" w:space="0" w:color="000000"/>
              <w:right w:val="single" w:sz="2" w:space="0" w:color="000000"/>
            </w:tcBorders>
            <w:vAlign w:val="center"/>
          </w:tcPr>
          <w:p w14:paraId="0C41D3E5" w14:textId="77777777" w:rsidR="00920B68" w:rsidRPr="00364545" w:rsidRDefault="00920B68" w:rsidP="00920B68">
            <w:pPr>
              <w:spacing w:line="259" w:lineRule="auto"/>
              <w:ind w:left="14"/>
              <w:jc w:val="center"/>
              <w:rPr>
                <w:b/>
              </w:rPr>
            </w:pPr>
            <w:r w:rsidRPr="005D0955">
              <w:rPr>
                <w:rFonts w:asciiTheme="majorHAnsi" w:hAnsiTheme="majorHAnsi"/>
                <w:sz w:val="18"/>
                <w:szCs w:val="18"/>
              </w:rPr>
              <w:t>1355</w:t>
            </w:r>
          </w:p>
        </w:tc>
        <w:tc>
          <w:tcPr>
            <w:tcW w:w="666" w:type="dxa"/>
            <w:tcBorders>
              <w:top w:val="single" w:sz="2" w:space="0" w:color="000000"/>
              <w:left w:val="single" w:sz="2" w:space="0" w:color="000000"/>
              <w:bottom w:val="single" w:sz="2" w:space="0" w:color="000000"/>
              <w:right w:val="single" w:sz="2" w:space="0" w:color="000000"/>
            </w:tcBorders>
            <w:vAlign w:val="center"/>
          </w:tcPr>
          <w:p w14:paraId="546AC2AB" w14:textId="77777777" w:rsidR="00920B68" w:rsidRPr="00364545" w:rsidRDefault="00920B68" w:rsidP="00920B68">
            <w:pPr>
              <w:spacing w:line="259" w:lineRule="auto"/>
              <w:ind w:left="14"/>
              <w:jc w:val="center"/>
              <w:rPr>
                <w:b/>
              </w:rPr>
            </w:pPr>
            <w:r w:rsidRPr="005D0955">
              <w:rPr>
                <w:rFonts w:asciiTheme="majorHAnsi" w:hAnsiTheme="majorHAnsi"/>
                <w:sz w:val="18"/>
                <w:szCs w:val="18"/>
              </w:rPr>
              <w:t>875</w:t>
            </w:r>
          </w:p>
        </w:tc>
        <w:tc>
          <w:tcPr>
            <w:tcW w:w="664" w:type="dxa"/>
            <w:tcBorders>
              <w:top w:val="single" w:sz="2" w:space="0" w:color="000000"/>
              <w:left w:val="single" w:sz="2" w:space="0" w:color="000000"/>
              <w:bottom w:val="single" w:sz="2" w:space="0" w:color="000000"/>
              <w:right w:val="single" w:sz="2" w:space="0" w:color="000000"/>
            </w:tcBorders>
            <w:vAlign w:val="center"/>
          </w:tcPr>
          <w:p w14:paraId="1EBB0918" w14:textId="77777777" w:rsidR="00920B68" w:rsidRPr="00364545" w:rsidRDefault="00920B68" w:rsidP="00920B68">
            <w:pPr>
              <w:spacing w:line="259" w:lineRule="auto"/>
              <w:ind w:left="14"/>
              <w:jc w:val="center"/>
              <w:rPr>
                <w:b/>
              </w:rPr>
            </w:pPr>
            <w:r w:rsidRPr="005D0955">
              <w:rPr>
                <w:rFonts w:asciiTheme="majorHAnsi" w:hAnsiTheme="majorHAnsi"/>
                <w:sz w:val="18"/>
                <w:szCs w:val="18"/>
              </w:rPr>
              <w:t>498</w:t>
            </w:r>
          </w:p>
        </w:tc>
        <w:tc>
          <w:tcPr>
            <w:tcW w:w="620" w:type="dxa"/>
            <w:tcBorders>
              <w:top w:val="single" w:sz="2" w:space="0" w:color="000000"/>
              <w:left w:val="single" w:sz="2" w:space="0" w:color="000000"/>
              <w:bottom w:val="single" w:sz="2" w:space="0" w:color="000000"/>
              <w:right w:val="single" w:sz="2" w:space="0" w:color="000000"/>
            </w:tcBorders>
            <w:vAlign w:val="center"/>
          </w:tcPr>
          <w:p w14:paraId="08589193" w14:textId="77777777" w:rsidR="00920B68" w:rsidRPr="00364545" w:rsidRDefault="00920B68" w:rsidP="00920B68">
            <w:pPr>
              <w:spacing w:line="259" w:lineRule="auto"/>
              <w:ind w:left="14"/>
              <w:jc w:val="center"/>
              <w:rPr>
                <w:b/>
              </w:rPr>
            </w:pPr>
            <w:r w:rsidRPr="005D0955">
              <w:rPr>
                <w:rFonts w:asciiTheme="majorHAnsi" w:hAnsiTheme="majorHAnsi"/>
                <w:sz w:val="18"/>
                <w:szCs w:val="18"/>
              </w:rPr>
              <w:t>385</w:t>
            </w:r>
          </w:p>
        </w:tc>
        <w:tc>
          <w:tcPr>
            <w:tcW w:w="675" w:type="dxa"/>
            <w:tcBorders>
              <w:top w:val="single" w:sz="2" w:space="0" w:color="000000"/>
              <w:left w:val="single" w:sz="2" w:space="0" w:color="000000"/>
              <w:bottom w:val="single" w:sz="2" w:space="0" w:color="000000"/>
              <w:right w:val="single" w:sz="2" w:space="0" w:color="000000"/>
            </w:tcBorders>
            <w:vAlign w:val="center"/>
          </w:tcPr>
          <w:p w14:paraId="48D55C30" w14:textId="0CFA37D5" w:rsidR="00920B68" w:rsidRPr="00364545" w:rsidRDefault="009B15B6" w:rsidP="00920B68">
            <w:pPr>
              <w:spacing w:line="259" w:lineRule="auto"/>
              <w:ind w:left="14"/>
              <w:jc w:val="center"/>
              <w:rPr>
                <w:b/>
              </w:rPr>
            </w:pPr>
            <w:r>
              <w:rPr>
                <w:b/>
              </w:rPr>
              <w:t>458</w:t>
            </w:r>
          </w:p>
        </w:tc>
        <w:tc>
          <w:tcPr>
            <w:tcW w:w="673" w:type="dxa"/>
            <w:tcBorders>
              <w:top w:val="single" w:sz="2" w:space="0" w:color="000000"/>
              <w:left w:val="single" w:sz="2" w:space="0" w:color="000000"/>
              <w:bottom w:val="single" w:sz="2" w:space="0" w:color="000000"/>
              <w:right w:val="single" w:sz="2" w:space="0" w:color="000000"/>
            </w:tcBorders>
            <w:vAlign w:val="center"/>
          </w:tcPr>
          <w:p w14:paraId="3C3E8896" w14:textId="77777777" w:rsidR="00920B68" w:rsidRPr="00364545" w:rsidRDefault="00920B68" w:rsidP="00920B68">
            <w:pPr>
              <w:spacing w:line="259" w:lineRule="auto"/>
              <w:ind w:left="14"/>
              <w:jc w:val="center"/>
              <w:rPr>
                <w:b/>
              </w:rPr>
            </w:pPr>
            <w:r w:rsidRPr="00364545">
              <w:rPr>
                <w:b/>
              </w:rPr>
              <w:t>460</w:t>
            </w:r>
          </w:p>
        </w:tc>
        <w:tc>
          <w:tcPr>
            <w:tcW w:w="675" w:type="dxa"/>
            <w:tcBorders>
              <w:top w:val="single" w:sz="2" w:space="0" w:color="000000"/>
              <w:left w:val="single" w:sz="2" w:space="0" w:color="000000"/>
              <w:bottom w:val="single" w:sz="2" w:space="0" w:color="000000"/>
              <w:right w:val="single" w:sz="2" w:space="0" w:color="000000"/>
            </w:tcBorders>
            <w:vAlign w:val="center"/>
          </w:tcPr>
          <w:p w14:paraId="460AB297" w14:textId="77777777" w:rsidR="00920B68" w:rsidRPr="00364545" w:rsidRDefault="00920B68" w:rsidP="00920B68">
            <w:pPr>
              <w:spacing w:line="259" w:lineRule="auto"/>
              <w:ind w:left="14"/>
              <w:jc w:val="center"/>
              <w:rPr>
                <w:b/>
              </w:rPr>
            </w:pPr>
            <w:r w:rsidRPr="00364545">
              <w:rPr>
                <w:b/>
              </w:rPr>
              <w:t>460</w:t>
            </w:r>
          </w:p>
        </w:tc>
        <w:tc>
          <w:tcPr>
            <w:tcW w:w="674" w:type="dxa"/>
            <w:tcBorders>
              <w:top w:val="single" w:sz="2" w:space="0" w:color="000000"/>
              <w:left w:val="single" w:sz="2" w:space="0" w:color="000000"/>
              <w:bottom w:val="single" w:sz="2" w:space="0" w:color="000000"/>
              <w:right w:val="single" w:sz="2" w:space="0" w:color="000000"/>
            </w:tcBorders>
            <w:vAlign w:val="center"/>
          </w:tcPr>
          <w:p w14:paraId="23722B5D" w14:textId="26F0ACC7" w:rsidR="00920B68" w:rsidRPr="00364545" w:rsidRDefault="009B15B6" w:rsidP="00920B68">
            <w:pPr>
              <w:spacing w:line="259" w:lineRule="auto"/>
              <w:ind w:left="14"/>
              <w:jc w:val="center"/>
              <w:rPr>
                <w:b/>
              </w:rPr>
            </w:pPr>
            <w:r>
              <w:rPr>
                <w:b/>
              </w:rPr>
              <w:t>460</w:t>
            </w:r>
          </w:p>
        </w:tc>
        <w:tc>
          <w:tcPr>
            <w:tcW w:w="638" w:type="dxa"/>
            <w:tcBorders>
              <w:top w:val="single" w:sz="2" w:space="0" w:color="000000"/>
              <w:left w:val="single" w:sz="2" w:space="0" w:color="000000"/>
              <w:bottom w:val="single" w:sz="2" w:space="0" w:color="000000"/>
              <w:right w:val="single" w:sz="2" w:space="0" w:color="000000"/>
            </w:tcBorders>
            <w:vAlign w:val="center"/>
          </w:tcPr>
          <w:p w14:paraId="6DF666D3" w14:textId="09FB26CD" w:rsidR="00920B68" w:rsidRPr="00364545" w:rsidRDefault="00745926" w:rsidP="00C50CEB">
            <w:pPr>
              <w:spacing w:line="259" w:lineRule="auto"/>
              <w:ind w:left="14"/>
              <w:rPr>
                <w:b/>
              </w:rPr>
            </w:pPr>
            <w:r>
              <w:rPr>
                <w:b/>
              </w:rPr>
              <w:t>463</w:t>
            </w:r>
          </w:p>
        </w:tc>
      </w:tr>
    </w:tbl>
    <w:p w14:paraId="7050E545" w14:textId="77777777" w:rsidR="00920B68" w:rsidRPr="00364545" w:rsidRDefault="00920B68" w:rsidP="00920B68">
      <w:pPr>
        <w:pStyle w:val="Caption"/>
      </w:pPr>
      <w:r w:rsidRPr="00364545">
        <w:t xml:space="preserve">Table </w:t>
      </w:r>
      <w:fldSimple w:instr=" SEQ Tableau \* ARABIC ">
        <w:r w:rsidRPr="00364545">
          <w:rPr>
            <w:noProof/>
          </w:rPr>
          <w:t>31</w:t>
        </w:r>
      </w:fldSimple>
      <w:r w:rsidRPr="00364545">
        <w:t>: SF</w:t>
      </w:r>
      <w:r w:rsidRPr="00364545">
        <w:rPr>
          <w:vertAlign w:val="subscript"/>
        </w:rPr>
        <w:t>6</w:t>
      </w:r>
      <w:r w:rsidRPr="00364545">
        <w:t xml:space="preserve"> emissions projections (in ktCO</w:t>
      </w:r>
      <w:r w:rsidRPr="00364545">
        <w:rPr>
          <w:vertAlign w:val="subscript"/>
        </w:rPr>
        <w:t>2e</w:t>
      </w:r>
      <w:r w:rsidRPr="00364545">
        <w:t>) in the Kyoto scope in the AMS 2018 scenario (with additional measures)</w:t>
      </w:r>
    </w:p>
    <w:p w14:paraId="6A788199" w14:textId="77777777" w:rsidR="00920B68" w:rsidRPr="00364545" w:rsidRDefault="00920B68" w:rsidP="00920B68">
      <w:pPr>
        <w:pStyle w:val="Caption"/>
      </w:pPr>
      <w:r w:rsidRPr="00364545">
        <w:t>Source: UN</w:t>
      </w:r>
      <w:r>
        <w:t>FCCC inventory, Citepa/MTES, 2022</w:t>
      </w:r>
      <w:r w:rsidRPr="00364545">
        <w:t xml:space="preserve"> submission and MTES emission projections, 2018</w:t>
      </w:r>
    </w:p>
    <w:p w14:paraId="2C10BC66" w14:textId="77777777" w:rsidR="00920B68" w:rsidRPr="00364545" w:rsidRDefault="00920B68" w:rsidP="00920B68">
      <w:pPr>
        <w:rPr>
          <w:sz w:val="18"/>
          <w:szCs w:val="18"/>
        </w:rPr>
      </w:pPr>
    </w:p>
    <w:tbl>
      <w:tblPr>
        <w:tblStyle w:val="TableGrid0"/>
        <w:tblW w:w="9934" w:type="dxa"/>
        <w:tblInd w:w="10" w:type="dxa"/>
        <w:tblCellMar>
          <w:top w:w="39" w:type="dxa"/>
          <w:left w:w="28" w:type="dxa"/>
          <w:bottom w:w="2" w:type="dxa"/>
          <w:right w:w="48" w:type="dxa"/>
        </w:tblCellMar>
        <w:tblLook w:val="04A0" w:firstRow="1" w:lastRow="0" w:firstColumn="1" w:lastColumn="0" w:noHBand="0" w:noVBand="1"/>
      </w:tblPr>
      <w:tblGrid>
        <w:gridCol w:w="1554"/>
        <w:gridCol w:w="701"/>
        <w:gridCol w:w="703"/>
        <w:gridCol w:w="707"/>
        <w:gridCol w:w="707"/>
        <w:gridCol w:w="703"/>
        <w:gridCol w:w="702"/>
        <w:gridCol w:w="622"/>
        <w:gridCol w:w="707"/>
        <w:gridCol w:w="707"/>
        <w:gridCol w:w="707"/>
        <w:gridCol w:w="707"/>
        <w:gridCol w:w="707"/>
      </w:tblGrid>
      <w:tr w:rsidR="00920B68" w:rsidRPr="00364545" w14:paraId="6552E40B" w14:textId="77777777" w:rsidTr="00920B68">
        <w:trPr>
          <w:trHeight w:val="401"/>
        </w:trPr>
        <w:tc>
          <w:tcPr>
            <w:tcW w:w="1554" w:type="dxa"/>
            <w:tcBorders>
              <w:top w:val="single" w:sz="2" w:space="0" w:color="000000"/>
              <w:left w:val="single" w:sz="2" w:space="0" w:color="000000"/>
              <w:bottom w:val="single" w:sz="2" w:space="0" w:color="000000"/>
              <w:right w:val="single" w:sz="2" w:space="0" w:color="000000"/>
            </w:tcBorders>
            <w:shd w:val="clear" w:color="auto" w:fill="6D2A78"/>
          </w:tcPr>
          <w:p w14:paraId="19186B86" w14:textId="77777777" w:rsidR="00920B68" w:rsidRPr="00364545" w:rsidRDefault="00920B68" w:rsidP="00920B68">
            <w:pPr>
              <w:spacing w:line="259" w:lineRule="auto"/>
            </w:pPr>
            <w:r>
              <w:t>AME</w:t>
            </w:r>
            <w:r w:rsidRPr="00364545">
              <w:t xml:space="preserve"> 18 </w:t>
            </w:r>
            <w:r w:rsidRPr="00C01073">
              <w:rPr>
                <w:szCs w:val="22"/>
              </w:rPr>
              <w:t xml:space="preserve">– </w:t>
            </w:r>
            <w:r w:rsidRPr="00634E4C">
              <w:t>NF3</w:t>
            </w:r>
          </w:p>
        </w:tc>
        <w:tc>
          <w:tcPr>
            <w:tcW w:w="701" w:type="dxa"/>
            <w:tcBorders>
              <w:top w:val="single" w:sz="2" w:space="0" w:color="000000"/>
              <w:left w:val="single" w:sz="2" w:space="0" w:color="000000"/>
              <w:bottom w:val="single" w:sz="2" w:space="0" w:color="000000"/>
              <w:right w:val="single" w:sz="2" w:space="0" w:color="000000"/>
            </w:tcBorders>
            <w:shd w:val="clear" w:color="auto" w:fill="6D2A78"/>
          </w:tcPr>
          <w:p w14:paraId="58E1BEAF" w14:textId="77777777" w:rsidR="00920B68" w:rsidRPr="00364545" w:rsidRDefault="00920B68" w:rsidP="00920B68">
            <w:pPr>
              <w:spacing w:line="259" w:lineRule="auto"/>
              <w:ind w:left="19"/>
              <w:jc w:val="center"/>
            </w:pPr>
            <w:r w:rsidRPr="00364545">
              <w:rPr>
                <w:b/>
                <w:color w:val="FFFFFF"/>
                <w:sz w:val="18"/>
              </w:rPr>
              <w:t xml:space="preserve">1990 </w:t>
            </w:r>
          </w:p>
        </w:tc>
        <w:tc>
          <w:tcPr>
            <w:tcW w:w="703" w:type="dxa"/>
            <w:tcBorders>
              <w:top w:val="single" w:sz="2" w:space="0" w:color="000000"/>
              <w:left w:val="single" w:sz="2" w:space="0" w:color="000000"/>
              <w:bottom w:val="single" w:sz="2" w:space="0" w:color="000000"/>
              <w:right w:val="single" w:sz="2" w:space="0" w:color="000000"/>
            </w:tcBorders>
            <w:shd w:val="clear" w:color="auto" w:fill="6D2A78"/>
          </w:tcPr>
          <w:p w14:paraId="675D1298" w14:textId="77777777" w:rsidR="00920B68" w:rsidRPr="00364545" w:rsidRDefault="00920B68" w:rsidP="00920B68">
            <w:pPr>
              <w:spacing w:line="259" w:lineRule="auto"/>
              <w:ind w:left="21"/>
              <w:jc w:val="center"/>
              <w:rPr>
                <w:b/>
                <w:color w:val="FFFFFF"/>
                <w:sz w:val="18"/>
              </w:rPr>
            </w:pPr>
            <w:r w:rsidRPr="00364545">
              <w:rPr>
                <w:b/>
                <w:color w:val="FFFFFF"/>
                <w:sz w:val="18"/>
              </w:rPr>
              <w:t>1995</w:t>
            </w:r>
          </w:p>
        </w:tc>
        <w:tc>
          <w:tcPr>
            <w:tcW w:w="707" w:type="dxa"/>
            <w:tcBorders>
              <w:top w:val="single" w:sz="2" w:space="0" w:color="000000"/>
              <w:left w:val="single" w:sz="2" w:space="0" w:color="000000"/>
              <w:bottom w:val="single" w:sz="2" w:space="0" w:color="000000"/>
              <w:right w:val="single" w:sz="2" w:space="0" w:color="000000"/>
            </w:tcBorders>
            <w:shd w:val="clear" w:color="auto" w:fill="6D2A78"/>
          </w:tcPr>
          <w:p w14:paraId="789F34F2" w14:textId="77777777" w:rsidR="00920B68" w:rsidRPr="00364545" w:rsidRDefault="00920B68" w:rsidP="00920B68">
            <w:pPr>
              <w:spacing w:line="259" w:lineRule="auto"/>
              <w:ind w:left="21"/>
              <w:jc w:val="center"/>
            </w:pPr>
            <w:r w:rsidRPr="00364545">
              <w:rPr>
                <w:b/>
                <w:color w:val="FFFFFF"/>
                <w:sz w:val="18"/>
              </w:rPr>
              <w:t xml:space="preserve">2000 </w:t>
            </w:r>
          </w:p>
        </w:tc>
        <w:tc>
          <w:tcPr>
            <w:tcW w:w="707" w:type="dxa"/>
            <w:tcBorders>
              <w:top w:val="single" w:sz="2" w:space="0" w:color="000000"/>
              <w:left w:val="single" w:sz="2" w:space="0" w:color="000000"/>
              <w:bottom w:val="single" w:sz="2" w:space="0" w:color="000000"/>
              <w:right w:val="single" w:sz="2" w:space="0" w:color="000000"/>
            </w:tcBorders>
            <w:shd w:val="clear" w:color="auto" w:fill="6D2A78"/>
          </w:tcPr>
          <w:p w14:paraId="0EBF1F0E" w14:textId="77777777" w:rsidR="00920B68" w:rsidRPr="00364545" w:rsidRDefault="00920B68" w:rsidP="00920B68">
            <w:pPr>
              <w:spacing w:line="259" w:lineRule="auto"/>
              <w:ind w:left="19"/>
              <w:jc w:val="center"/>
            </w:pPr>
            <w:r w:rsidRPr="00364545">
              <w:rPr>
                <w:b/>
                <w:color w:val="FFFFFF"/>
                <w:sz w:val="18"/>
              </w:rPr>
              <w:t xml:space="preserve">2005 </w:t>
            </w:r>
          </w:p>
        </w:tc>
        <w:tc>
          <w:tcPr>
            <w:tcW w:w="703" w:type="dxa"/>
            <w:tcBorders>
              <w:top w:val="single" w:sz="2" w:space="0" w:color="000000"/>
              <w:left w:val="single" w:sz="2" w:space="0" w:color="000000"/>
              <w:bottom w:val="single" w:sz="2" w:space="0" w:color="000000"/>
              <w:right w:val="single" w:sz="2" w:space="0" w:color="000000"/>
            </w:tcBorders>
            <w:shd w:val="clear" w:color="auto" w:fill="6D2A78"/>
          </w:tcPr>
          <w:p w14:paraId="5517085E" w14:textId="77777777" w:rsidR="00920B68" w:rsidRPr="00364545" w:rsidRDefault="00920B68" w:rsidP="00920B68">
            <w:pPr>
              <w:spacing w:line="259" w:lineRule="auto"/>
              <w:ind w:left="21"/>
              <w:jc w:val="center"/>
            </w:pPr>
            <w:r w:rsidRPr="00364545">
              <w:rPr>
                <w:b/>
                <w:color w:val="FFFFFF"/>
                <w:sz w:val="18"/>
              </w:rPr>
              <w:t xml:space="preserve">2010 </w:t>
            </w:r>
          </w:p>
        </w:tc>
        <w:tc>
          <w:tcPr>
            <w:tcW w:w="702" w:type="dxa"/>
            <w:tcBorders>
              <w:top w:val="single" w:sz="2" w:space="0" w:color="000000"/>
              <w:left w:val="single" w:sz="2" w:space="0" w:color="000000"/>
              <w:bottom w:val="single" w:sz="2" w:space="0" w:color="000000"/>
              <w:right w:val="single" w:sz="2" w:space="0" w:color="000000"/>
            </w:tcBorders>
            <w:shd w:val="clear" w:color="auto" w:fill="6D2A78"/>
          </w:tcPr>
          <w:p w14:paraId="6FA8E566" w14:textId="77777777" w:rsidR="00920B68" w:rsidRPr="00364545" w:rsidRDefault="00920B68" w:rsidP="00920B68">
            <w:pPr>
              <w:spacing w:line="259" w:lineRule="auto"/>
              <w:ind w:left="19"/>
              <w:jc w:val="center"/>
            </w:pPr>
            <w:r w:rsidRPr="00364545">
              <w:rPr>
                <w:b/>
                <w:color w:val="FFFFFF"/>
                <w:sz w:val="18"/>
              </w:rPr>
              <w:t xml:space="preserve">2015 </w:t>
            </w:r>
          </w:p>
        </w:tc>
        <w:tc>
          <w:tcPr>
            <w:tcW w:w="622" w:type="dxa"/>
            <w:tcBorders>
              <w:top w:val="single" w:sz="2" w:space="0" w:color="000000"/>
              <w:left w:val="single" w:sz="2" w:space="0" w:color="000000"/>
              <w:bottom w:val="single" w:sz="2" w:space="0" w:color="000000"/>
              <w:right w:val="single" w:sz="2" w:space="0" w:color="000000"/>
            </w:tcBorders>
            <w:shd w:val="clear" w:color="auto" w:fill="6D2A78"/>
          </w:tcPr>
          <w:p w14:paraId="3D755F6F" w14:textId="77777777" w:rsidR="00920B68" w:rsidRPr="00364545" w:rsidRDefault="00920B68" w:rsidP="00920B68">
            <w:pPr>
              <w:spacing w:line="259" w:lineRule="auto"/>
              <w:ind w:left="21"/>
              <w:jc w:val="center"/>
              <w:rPr>
                <w:b/>
                <w:color w:val="FFFFFF"/>
                <w:sz w:val="18"/>
              </w:rPr>
            </w:pPr>
            <w:r>
              <w:rPr>
                <w:b/>
                <w:color w:val="FFFFFF"/>
                <w:sz w:val="18"/>
              </w:rPr>
              <w:t>2019</w:t>
            </w:r>
          </w:p>
        </w:tc>
        <w:tc>
          <w:tcPr>
            <w:tcW w:w="707" w:type="dxa"/>
            <w:tcBorders>
              <w:top w:val="single" w:sz="2" w:space="0" w:color="000000"/>
              <w:left w:val="single" w:sz="2" w:space="0" w:color="000000"/>
              <w:bottom w:val="single" w:sz="2" w:space="0" w:color="000000"/>
              <w:right w:val="single" w:sz="2" w:space="0" w:color="000000"/>
            </w:tcBorders>
            <w:shd w:val="clear" w:color="auto" w:fill="6D2A78"/>
          </w:tcPr>
          <w:p w14:paraId="5ADAF605" w14:textId="77777777" w:rsidR="00920B68" w:rsidRPr="00364545" w:rsidRDefault="00920B68" w:rsidP="00920B68">
            <w:pPr>
              <w:spacing w:line="259" w:lineRule="auto"/>
              <w:ind w:left="21"/>
              <w:jc w:val="center"/>
            </w:pPr>
            <w:r w:rsidRPr="00364545">
              <w:rPr>
                <w:b/>
                <w:color w:val="FFFFFF"/>
                <w:sz w:val="18"/>
              </w:rPr>
              <w:t xml:space="preserve">2020 </w:t>
            </w:r>
          </w:p>
        </w:tc>
        <w:tc>
          <w:tcPr>
            <w:tcW w:w="707" w:type="dxa"/>
            <w:tcBorders>
              <w:top w:val="single" w:sz="2" w:space="0" w:color="000000"/>
              <w:left w:val="single" w:sz="2" w:space="0" w:color="000000"/>
              <w:bottom w:val="single" w:sz="2" w:space="0" w:color="000000"/>
              <w:right w:val="single" w:sz="2" w:space="0" w:color="000000"/>
            </w:tcBorders>
            <w:shd w:val="clear" w:color="auto" w:fill="6D2A78"/>
          </w:tcPr>
          <w:p w14:paraId="1D1D0FB6" w14:textId="77777777" w:rsidR="00920B68" w:rsidRPr="00364545" w:rsidRDefault="00920B68" w:rsidP="00920B68">
            <w:pPr>
              <w:spacing w:line="259" w:lineRule="auto"/>
              <w:ind w:left="19"/>
              <w:jc w:val="center"/>
            </w:pPr>
            <w:r w:rsidRPr="00364545">
              <w:rPr>
                <w:b/>
                <w:color w:val="FFFFFF"/>
                <w:sz w:val="18"/>
              </w:rPr>
              <w:t xml:space="preserve">2025 </w:t>
            </w:r>
          </w:p>
        </w:tc>
        <w:tc>
          <w:tcPr>
            <w:tcW w:w="707" w:type="dxa"/>
            <w:tcBorders>
              <w:top w:val="single" w:sz="2" w:space="0" w:color="000000"/>
              <w:left w:val="single" w:sz="2" w:space="0" w:color="000000"/>
              <w:bottom w:val="single" w:sz="2" w:space="0" w:color="000000"/>
              <w:right w:val="single" w:sz="2" w:space="0" w:color="000000"/>
            </w:tcBorders>
            <w:shd w:val="clear" w:color="auto" w:fill="6D2A78"/>
          </w:tcPr>
          <w:p w14:paraId="7EF07030" w14:textId="77777777" w:rsidR="00920B68" w:rsidRPr="00364545" w:rsidRDefault="00920B68" w:rsidP="00920B68">
            <w:pPr>
              <w:spacing w:line="259" w:lineRule="auto"/>
              <w:ind w:left="21"/>
              <w:jc w:val="center"/>
            </w:pPr>
            <w:r w:rsidRPr="00364545">
              <w:rPr>
                <w:b/>
                <w:color w:val="FFFFFF"/>
                <w:sz w:val="18"/>
              </w:rPr>
              <w:t xml:space="preserve">2030 </w:t>
            </w:r>
          </w:p>
        </w:tc>
        <w:tc>
          <w:tcPr>
            <w:tcW w:w="707" w:type="dxa"/>
            <w:tcBorders>
              <w:top w:val="single" w:sz="2" w:space="0" w:color="000000"/>
              <w:left w:val="single" w:sz="2" w:space="0" w:color="000000"/>
              <w:bottom w:val="single" w:sz="2" w:space="0" w:color="000000"/>
              <w:right w:val="single" w:sz="2" w:space="0" w:color="000000"/>
            </w:tcBorders>
            <w:shd w:val="clear" w:color="auto" w:fill="6D2A78"/>
          </w:tcPr>
          <w:p w14:paraId="690CCEAE" w14:textId="77777777" w:rsidR="00920B68" w:rsidRPr="00364545" w:rsidRDefault="00920B68" w:rsidP="00920B68">
            <w:pPr>
              <w:spacing w:line="259" w:lineRule="auto"/>
              <w:ind w:left="20"/>
              <w:jc w:val="center"/>
            </w:pPr>
            <w:r w:rsidRPr="00364545">
              <w:rPr>
                <w:b/>
                <w:color w:val="FFFFFF"/>
                <w:sz w:val="18"/>
              </w:rPr>
              <w:t xml:space="preserve">2035 </w:t>
            </w:r>
          </w:p>
        </w:tc>
        <w:tc>
          <w:tcPr>
            <w:tcW w:w="707" w:type="dxa"/>
            <w:tcBorders>
              <w:top w:val="single" w:sz="2" w:space="0" w:color="000000"/>
              <w:left w:val="single" w:sz="2" w:space="0" w:color="000000"/>
              <w:bottom w:val="single" w:sz="2" w:space="0" w:color="000000"/>
              <w:right w:val="single" w:sz="2" w:space="0" w:color="000000"/>
            </w:tcBorders>
            <w:shd w:val="clear" w:color="auto" w:fill="6D2A78"/>
          </w:tcPr>
          <w:p w14:paraId="2B61E31F" w14:textId="77777777" w:rsidR="00920B68" w:rsidRPr="00364545" w:rsidRDefault="00920B68" w:rsidP="00920B68">
            <w:pPr>
              <w:spacing w:line="259" w:lineRule="auto"/>
              <w:ind w:left="20"/>
              <w:jc w:val="center"/>
              <w:rPr>
                <w:b/>
                <w:color w:val="FFFFFF"/>
                <w:sz w:val="18"/>
              </w:rPr>
            </w:pPr>
            <w:r w:rsidRPr="00364545">
              <w:rPr>
                <w:b/>
                <w:color w:val="FFFFFF"/>
                <w:sz w:val="18"/>
              </w:rPr>
              <w:t>2050</w:t>
            </w:r>
          </w:p>
        </w:tc>
      </w:tr>
      <w:tr w:rsidR="00920B68" w:rsidRPr="00364545" w14:paraId="740F1E9B" w14:textId="77777777" w:rsidTr="00920B68">
        <w:trPr>
          <w:trHeight w:val="347"/>
        </w:trPr>
        <w:tc>
          <w:tcPr>
            <w:tcW w:w="1554" w:type="dxa"/>
            <w:tcBorders>
              <w:top w:val="single" w:sz="2" w:space="0" w:color="000000"/>
              <w:left w:val="single" w:sz="2" w:space="0" w:color="000000"/>
              <w:bottom w:val="single" w:sz="2" w:space="0" w:color="000000"/>
              <w:right w:val="single" w:sz="2" w:space="0" w:color="000000"/>
            </w:tcBorders>
          </w:tcPr>
          <w:p w14:paraId="38035449" w14:textId="77777777" w:rsidR="00920B68" w:rsidRPr="00364545" w:rsidRDefault="00920B68" w:rsidP="00920B68">
            <w:pPr>
              <w:spacing w:line="259" w:lineRule="auto"/>
            </w:pPr>
            <w:r w:rsidRPr="00364545">
              <w:rPr>
                <w:sz w:val="18"/>
              </w:rPr>
              <w:t xml:space="preserve">Energy </w:t>
            </w:r>
          </w:p>
        </w:tc>
        <w:tc>
          <w:tcPr>
            <w:tcW w:w="701" w:type="dxa"/>
            <w:tcBorders>
              <w:top w:val="single" w:sz="2" w:space="0" w:color="000000"/>
              <w:left w:val="single" w:sz="2" w:space="0" w:color="000000"/>
              <w:bottom w:val="single" w:sz="2" w:space="0" w:color="000000"/>
              <w:right w:val="single" w:sz="2" w:space="0" w:color="000000"/>
            </w:tcBorders>
            <w:vAlign w:val="center"/>
          </w:tcPr>
          <w:p w14:paraId="72C549A3"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3" w:type="dxa"/>
            <w:tcBorders>
              <w:top w:val="single" w:sz="2" w:space="0" w:color="000000"/>
              <w:left w:val="single" w:sz="2" w:space="0" w:color="000000"/>
              <w:bottom w:val="single" w:sz="2" w:space="0" w:color="000000"/>
              <w:right w:val="single" w:sz="2" w:space="0" w:color="000000"/>
            </w:tcBorders>
            <w:vAlign w:val="center"/>
          </w:tcPr>
          <w:p w14:paraId="15A6D93F"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3CE8F012"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4F4EC67E"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3" w:type="dxa"/>
            <w:tcBorders>
              <w:top w:val="single" w:sz="2" w:space="0" w:color="000000"/>
              <w:left w:val="single" w:sz="2" w:space="0" w:color="000000"/>
              <w:bottom w:val="single" w:sz="2" w:space="0" w:color="000000"/>
              <w:right w:val="single" w:sz="2" w:space="0" w:color="000000"/>
            </w:tcBorders>
            <w:vAlign w:val="center"/>
          </w:tcPr>
          <w:p w14:paraId="1C21B574"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2" w:type="dxa"/>
            <w:tcBorders>
              <w:top w:val="single" w:sz="2" w:space="0" w:color="000000"/>
              <w:left w:val="single" w:sz="2" w:space="0" w:color="000000"/>
              <w:bottom w:val="single" w:sz="2" w:space="0" w:color="000000"/>
              <w:right w:val="single" w:sz="2" w:space="0" w:color="000000"/>
            </w:tcBorders>
            <w:vAlign w:val="center"/>
          </w:tcPr>
          <w:p w14:paraId="543AE946"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622" w:type="dxa"/>
            <w:tcBorders>
              <w:top w:val="single" w:sz="2" w:space="0" w:color="000000"/>
              <w:left w:val="single" w:sz="2" w:space="0" w:color="000000"/>
              <w:bottom w:val="single" w:sz="2" w:space="0" w:color="000000"/>
              <w:right w:val="single" w:sz="2" w:space="0" w:color="000000"/>
            </w:tcBorders>
            <w:vAlign w:val="center"/>
          </w:tcPr>
          <w:p w14:paraId="7313FCDE"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60D8B3B4"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7472DF52"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75EE524F"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52D894EA"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59D5A45B" w14:textId="77777777" w:rsidR="00920B68" w:rsidRPr="00364545" w:rsidRDefault="00920B68" w:rsidP="00920B68">
            <w:pPr>
              <w:spacing w:line="259" w:lineRule="auto"/>
              <w:ind w:left="19"/>
              <w:jc w:val="center"/>
            </w:pPr>
            <w:r w:rsidRPr="00364545">
              <w:t>0</w:t>
            </w:r>
          </w:p>
        </w:tc>
      </w:tr>
      <w:tr w:rsidR="00920B68" w:rsidRPr="00364545" w14:paraId="551C17B3" w14:textId="77777777" w:rsidTr="00920B68">
        <w:trPr>
          <w:trHeight w:val="416"/>
        </w:trPr>
        <w:tc>
          <w:tcPr>
            <w:tcW w:w="1554" w:type="dxa"/>
            <w:tcBorders>
              <w:top w:val="single" w:sz="2" w:space="0" w:color="000000"/>
              <w:left w:val="single" w:sz="2" w:space="0" w:color="000000"/>
              <w:bottom w:val="single" w:sz="2" w:space="0" w:color="000000"/>
              <w:right w:val="single" w:sz="2" w:space="0" w:color="000000"/>
            </w:tcBorders>
            <w:shd w:val="clear" w:color="auto" w:fill="ECE6E2"/>
          </w:tcPr>
          <w:p w14:paraId="03162190" w14:textId="77777777" w:rsidR="00920B68" w:rsidRPr="00364545" w:rsidRDefault="00920B68" w:rsidP="00920B68">
            <w:pPr>
              <w:spacing w:line="259" w:lineRule="auto"/>
            </w:pPr>
            <w:r w:rsidRPr="00364545">
              <w:rPr>
                <w:sz w:val="18"/>
              </w:rPr>
              <w:t xml:space="preserve">Industrial processes, solvents and other products </w:t>
            </w:r>
          </w:p>
        </w:tc>
        <w:tc>
          <w:tcPr>
            <w:tcW w:w="70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3125188" w14:textId="77777777" w:rsidR="00920B68" w:rsidRPr="00364545" w:rsidRDefault="00920B68" w:rsidP="00920B68">
            <w:pPr>
              <w:spacing w:line="259" w:lineRule="auto"/>
              <w:ind w:left="19"/>
              <w:jc w:val="center"/>
            </w:pPr>
            <w:r w:rsidRPr="00634E4C">
              <w:rPr>
                <w:rFonts w:asciiTheme="majorHAnsi" w:hAnsiTheme="majorHAnsi"/>
                <w:sz w:val="18"/>
              </w:rPr>
              <w:t>16</w:t>
            </w:r>
          </w:p>
        </w:tc>
        <w:tc>
          <w:tcPr>
            <w:tcW w:w="7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0CE7512" w14:textId="77777777" w:rsidR="00920B68" w:rsidRPr="00364545" w:rsidRDefault="00920B68" w:rsidP="00920B68">
            <w:pPr>
              <w:spacing w:line="259" w:lineRule="auto"/>
              <w:ind w:left="19"/>
              <w:jc w:val="center"/>
            </w:pPr>
            <w:r w:rsidRPr="00634E4C">
              <w:rPr>
                <w:rFonts w:asciiTheme="majorHAnsi" w:hAnsiTheme="majorHAnsi"/>
                <w:sz w:val="18"/>
              </w:rPr>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B6E19E3" w14:textId="77777777" w:rsidR="00920B68" w:rsidRPr="00364545" w:rsidRDefault="00920B68" w:rsidP="00920B68">
            <w:pPr>
              <w:spacing w:line="259" w:lineRule="auto"/>
              <w:ind w:left="19"/>
              <w:jc w:val="center"/>
            </w:pPr>
            <w:r w:rsidRPr="00634E4C">
              <w:rPr>
                <w:rFonts w:asciiTheme="majorHAnsi" w:hAnsiTheme="majorHAnsi"/>
                <w:sz w:val="18"/>
              </w:rPr>
              <w:t>20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9E3F076" w14:textId="77777777" w:rsidR="00920B68" w:rsidRPr="00364545" w:rsidRDefault="00920B68" w:rsidP="00920B68">
            <w:pPr>
              <w:spacing w:line="259" w:lineRule="auto"/>
              <w:ind w:left="19"/>
              <w:jc w:val="center"/>
            </w:pPr>
            <w:r w:rsidRPr="00634E4C">
              <w:rPr>
                <w:rFonts w:asciiTheme="majorHAnsi" w:hAnsiTheme="majorHAnsi"/>
                <w:sz w:val="18"/>
              </w:rPr>
              <w:t>31</w:t>
            </w:r>
          </w:p>
        </w:tc>
        <w:tc>
          <w:tcPr>
            <w:tcW w:w="7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88C8DED" w14:textId="77777777" w:rsidR="00920B68" w:rsidRPr="00364545" w:rsidRDefault="00920B68" w:rsidP="00920B68">
            <w:pPr>
              <w:spacing w:line="259" w:lineRule="auto"/>
              <w:ind w:left="19"/>
              <w:jc w:val="center"/>
            </w:pPr>
            <w:r w:rsidRPr="00634E4C">
              <w:rPr>
                <w:rFonts w:asciiTheme="majorHAnsi" w:hAnsiTheme="majorHAnsi"/>
                <w:sz w:val="18"/>
              </w:rPr>
              <w:t>32</w:t>
            </w:r>
          </w:p>
        </w:tc>
        <w:tc>
          <w:tcPr>
            <w:tcW w:w="70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132D7346" w14:textId="77777777" w:rsidR="00920B68" w:rsidRPr="00364545" w:rsidRDefault="00920B68" w:rsidP="00920B68">
            <w:pPr>
              <w:spacing w:line="259" w:lineRule="auto"/>
              <w:ind w:left="19"/>
              <w:jc w:val="center"/>
            </w:pPr>
            <w:r w:rsidRPr="00634E4C">
              <w:rPr>
                <w:rFonts w:asciiTheme="majorHAnsi" w:hAnsiTheme="majorHAnsi"/>
                <w:sz w:val="18"/>
              </w:rPr>
              <w:t>6</w:t>
            </w:r>
          </w:p>
        </w:tc>
        <w:tc>
          <w:tcPr>
            <w:tcW w:w="6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1AC046B" w14:textId="77777777" w:rsidR="00920B68" w:rsidRPr="00364545" w:rsidRDefault="00920B68" w:rsidP="00920B68">
            <w:pPr>
              <w:spacing w:line="259" w:lineRule="auto"/>
              <w:ind w:left="19"/>
              <w:jc w:val="center"/>
            </w:pPr>
            <w:r w:rsidRPr="005D0955">
              <w:rPr>
                <w:rFonts w:asciiTheme="majorHAnsi" w:hAnsiTheme="majorHAnsi"/>
                <w:sz w:val="18"/>
                <w:szCs w:val="18"/>
              </w:rPr>
              <w:t>10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F325B5B" w14:textId="77777777" w:rsidR="00920B68" w:rsidRPr="00364545" w:rsidRDefault="00920B68" w:rsidP="00920B68">
            <w:pPr>
              <w:spacing w:line="259" w:lineRule="auto"/>
              <w:ind w:left="19"/>
              <w:jc w:val="center"/>
            </w:pPr>
            <w:r w:rsidRPr="00364545">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9E78DC5" w14:textId="77777777" w:rsidR="00920B68" w:rsidRPr="00364545" w:rsidRDefault="00920B68" w:rsidP="00920B68">
            <w:pPr>
              <w:spacing w:line="259" w:lineRule="auto"/>
              <w:ind w:left="19"/>
              <w:jc w:val="center"/>
            </w:pPr>
            <w:r w:rsidRPr="00364545">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336A4FF" w14:textId="77777777" w:rsidR="00920B68" w:rsidRPr="00364545" w:rsidRDefault="00920B68" w:rsidP="00920B68">
            <w:pPr>
              <w:spacing w:line="259" w:lineRule="auto"/>
              <w:ind w:left="19"/>
              <w:jc w:val="center"/>
            </w:pPr>
            <w:r w:rsidRPr="00364545">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26489BB" w14:textId="77777777" w:rsidR="00920B68" w:rsidRPr="00364545" w:rsidRDefault="00920B68" w:rsidP="00920B68">
            <w:pPr>
              <w:spacing w:line="259" w:lineRule="auto"/>
              <w:ind w:left="19"/>
              <w:jc w:val="center"/>
            </w:pPr>
            <w:r w:rsidRPr="00364545">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6047C29" w14:textId="77777777" w:rsidR="00920B68" w:rsidRPr="00364545" w:rsidRDefault="00920B68" w:rsidP="00920B68">
            <w:pPr>
              <w:spacing w:line="259" w:lineRule="auto"/>
              <w:ind w:left="19"/>
              <w:jc w:val="center"/>
            </w:pPr>
            <w:r w:rsidRPr="00364545">
              <w:t>6</w:t>
            </w:r>
          </w:p>
        </w:tc>
      </w:tr>
      <w:tr w:rsidR="00920B68" w:rsidRPr="00364545" w14:paraId="67C13048" w14:textId="77777777" w:rsidTr="00920B68">
        <w:trPr>
          <w:trHeight w:val="347"/>
        </w:trPr>
        <w:tc>
          <w:tcPr>
            <w:tcW w:w="1554" w:type="dxa"/>
            <w:tcBorders>
              <w:top w:val="single" w:sz="2" w:space="0" w:color="000000"/>
              <w:left w:val="single" w:sz="2" w:space="0" w:color="000000"/>
              <w:bottom w:val="single" w:sz="2" w:space="0" w:color="000000"/>
              <w:right w:val="single" w:sz="2" w:space="0" w:color="000000"/>
            </w:tcBorders>
          </w:tcPr>
          <w:p w14:paraId="31C60099" w14:textId="77777777" w:rsidR="00920B68" w:rsidRPr="00364545" w:rsidRDefault="00920B68" w:rsidP="00920B68">
            <w:pPr>
              <w:spacing w:line="259" w:lineRule="auto"/>
            </w:pPr>
            <w:r w:rsidRPr="00364545">
              <w:rPr>
                <w:sz w:val="18"/>
              </w:rPr>
              <w:t xml:space="preserve">Agriculture (excluding energy) </w:t>
            </w:r>
          </w:p>
        </w:tc>
        <w:tc>
          <w:tcPr>
            <w:tcW w:w="701" w:type="dxa"/>
            <w:tcBorders>
              <w:top w:val="single" w:sz="2" w:space="0" w:color="000000"/>
              <w:left w:val="single" w:sz="2" w:space="0" w:color="000000"/>
              <w:bottom w:val="single" w:sz="2" w:space="0" w:color="000000"/>
              <w:right w:val="single" w:sz="2" w:space="0" w:color="000000"/>
            </w:tcBorders>
            <w:vAlign w:val="center"/>
          </w:tcPr>
          <w:p w14:paraId="1411CDDE"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3" w:type="dxa"/>
            <w:tcBorders>
              <w:top w:val="single" w:sz="2" w:space="0" w:color="000000"/>
              <w:left w:val="single" w:sz="2" w:space="0" w:color="000000"/>
              <w:bottom w:val="single" w:sz="2" w:space="0" w:color="000000"/>
              <w:right w:val="single" w:sz="2" w:space="0" w:color="000000"/>
            </w:tcBorders>
            <w:vAlign w:val="center"/>
          </w:tcPr>
          <w:p w14:paraId="0A1380CA"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29406F45"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27F97226"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3" w:type="dxa"/>
            <w:tcBorders>
              <w:top w:val="single" w:sz="2" w:space="0" w:color="000000"/>
              <w:left w:val="single" w:sz="2" w:space="0" w:color="000000"/>
              <w:bottom w:val="single" w:sz="2" w:space="0" w:color="000000"/>
              <w:right w:val="single" w:sz="2" w:space="0" w:color="000000"/>
            </w:tcBorders>
            <w:vAlign w:val="center"/>
          </w:tcPr>
          <w:p w14:paraId="279CEB9B"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2" w:type="dxa"/>
            <w:tcBorders>
              <w:top w:val="single" w:sz="2" w:space="0" w:color="000000"/>
              <w:left w:val="single" w:sz="2" w:space="0" w:color="000000"/>
              <w:bottom w:val="single" w:sz="2" w:space="0" w:color="000000"/>
              <w:right w:val="single" w:sz="2" w:space="0" w:color="000000"/>
            </w:tcBorders>
            <w:vAlign w:val="center"/>
          </w:tcPr>
          <w:p w14:paraId="4A075DF1"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622" w:type="dxa"/>
            <w:tcBorders>
              <w:top w:val="single" w:sz="2" w:space="0" w:color="000000"/>
              <w:left w:val="single" w:sz="2" w:space="0" w:color="000000"/>
              <w:bottom w:val="single" w:sz="2" w:space="0" w:color="000000"/>
              <w:right w:val="single" w:sz="2" w:space="0" w:color="000000"/>
            </w:tcBorders>
            <w:vAlign w:val="center"/>
          </w:tcPr>
          <w:p w14:paraId="17ABCF14"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3533F4A7"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253D81F6"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43AF854C"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3F9980A9"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7EE9BB3E" w14:textId="77777777" w:rsidR="00920B68" w:rsidRPr="00364545" w:rsidRDefault="00920B68" w:rsidP="00920B68">
            <w:pPr>
              <w:spacing w:line="259" w:lineRule="auto"/>
              <w:ind w:left="19"/>
              <w:jc w:val="center"/>
            </w:pPr>
            <w:r w:rsidRPr="00364545">
              <w:t>0</w:t>
            </w:r>
          </w:p>
        </w:tc>
      </w:tr>
      <w:tr w:rsidR="00920B68" w:rsidRPr="00364545" w14:paraId="316349C4" w14:textId="77777777" w:rsidTr="00920B68">
        <w:trPr>
          <w:trHeight w:val="344"/>
        </w:trPr>
        <w:tc>
          <w:tcPr>
            <w:tcW w:w="1554" w:type="dxa"/>
            <w:tcBorders>
              <w:top w:val="single" w:sz="2" w:space="0" w:color="000000"/>
              <w:left w:val="single" w:sz="2" w:space="0" w:color="000000"/>
              <w:bottom w:val="single" w:sz="2" w:space="0" w:color="000000"/>
              <w:right w:val="single" w:sz="2" w:space="0" w:color="000000"/>
            </w:tcBorders>
            <w:shd w:val="clear" w:color="auto" w:fill="ECE6E2"/>
          </w:tcPr>
          <w:p w14:paraId="7966369C" w14:textId="77777777" w:rsidR="00920B68" w:rsidRPr="00364545" w:rsidRDefault="00920B68" w:rsidP="00920B68">
            <w:pPr>
              <w:spacing w:line="259" w:lineRule="auto"/>
            </w:pPr>
            <w:r w:rsidRPr="00364545">
              <w:rPr>
                <w:sz w:val="18"/>
              </w:rPr>
              <w:t xml:space="preserve">LULUCF </w:t>
            </w:r>
          </w:p>
        </w:tc>
        <w:tc>
          <w:tcPr>
            <w:tcW w:w="70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149F38F"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D119C93"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7B09542"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C5AE782"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6703A99"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0A84C74B"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6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2DE3535"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1ABE521"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A8209A3"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9B8AC92"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CC14EB4"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EF53E49" w14:textId="77777777" w:rsidR="00920B68" w:rsidRPr="00364545" w:rsidRDefault="00920B68" w:rsidP="00920B68">
            <w:pPr>
              <w:spacing w:line="259" w:lineRule="auto"/>
              <w:ind w:left="19"/>
              <w:jc w:val="center"/>
            </w:pPr>
            <w:r w:rsidRPr="00364545">
              <w:t>0</w:t>
            </w:r>
          </w:p>
        </w:tc>
      </w:tr>
      <w:tr w:rsidR="00920B68" w:rsidRPr="00364545" w14:paraId="17D7156A" w14:textId="77777777" w:rsidTr="00920B68">
        <w:trPr>
          <w:trHeight w:val="346"/>
        </w:trPr>
        <w:tc>
          <w:tcPr>
            <w:tcW w:w="1554" w:type="dxa"/>
            <w:tcBorders>
              <w:top w:val="single" w:sz="2" w:space="0" w:color="000000"/>
              <w:left w:val="single" w:sz="2" w:space="0" w:color="000000"/>
              <w:bottom w:val="single" w:sz="2" w:space="0" w:color="000000"/>
              <w:right w:val="single" w:sz="2" w:space="0" w:color="000000"/>
            </w:tcBorders>
          </w:tcPr>
          <w:p w14:paraId="4911B679" w14:textId="77777777" w:rsidR="00920B68" w:rsidRPr="00364545" w:rsidRDefault="00920B68" w:rsidP="00920B68">
            <w:pPr>
              <w:spacing w:line="259" w:lineRule="auto"/>
            </w:pPr>
            <w:r w:rsidRPr="00364545">
              <w:rPr>
                <w:sz w:val="18"/>
              </w:rPr>
              <w:t xml:space="preserve">Waste </w:t>
            </w:r>
          </w:p>
        </w:tc>
        <w:tc>
          <w:tcPr>
            <w:tcW w:w="701" w:type="dxa"/>
            <w:tcBorders>
              <w:top w:val="single" w:sz="2" w:space="0" w:color="000000"/>
              <w:left w:val="single" w:sz="2" w:space="0" w:color="000000"/>
              <w:bottom w:val="single" w:sz="2" w:space="0" w:color="000000"/>
              <w:right w:val="single" w:sz="2" w:space="0" w:color="000000"/>
            </w:tcBorders>
            <w:vAlign w:val="center"/>
          </w:tcPr>
          <w:p w14:paraId="47922ABB" w14:textId="77777777" w:rsidR="00920B68" w:rsidRPr="00364545" w:rsidRDefault="00920B68" w:rsidP="00920B68">
            <w:pPr>
              <w:spacing w:line="259" w:lineRule="auto"/>
              <w:ind w:left="19"/>
              <w:jc w:val="center"/>
            </w:pPr>
            <w:r w:rsidRPr="00634E4C">
              <w:rPr>
                <w:rFonts w:asciiTheme="majorHAnsi" w:hAnsiTheme="majorHAnsi"/>
                <w:sz w:val="18"/>
              </w:rPr>
              <w:t>0</w:t>
            </w:r>
          </w:p>
        </w:tc>
        <w:tc>
          <w:tcPr>
            <w:tcW w:w="703" w:type="dxa"/>
            <w:tcBorders>
              <w:top w:val="single" w:sz="2" w:space="0" w:color="000000"/>
              <w:left w:val="single" w:sz="2" w:space="0" w:color="000000"/>
              <w:bottom w:val="single" w:sz="2" w:space="0" w:color="000000"/>
              <w:right w:val="single" w:sz="2" w:space="0" w:color="000000"/>
            </w:tcBorders>
            <w:vAlign w:val="center"/>
          </w:tcPr>
          <w:p w14:paraId="4D7E1B8E"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79F3E555"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1CB1EA6A"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3" w:type="dxa"/>
            <w:tcBorders>
              <w:top w:val="single" w:sz="2" w:space="0" w:color="000000"/>
              <w:left w:val="single" w:sz="2" w:space="0" w:color="000000"/>
              <w:bottom w:val="single" w:sz="2" w:space="0" w:color="000000"/>
              <w:right w:val="single" w:sz="2" w:space="0" w:color="000000"/>
            </w:tcBorders>
            <w:vAlign w:val="center"/>
          </w:tcPr>
          <w:p w14:paraId="707A93C9"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2" w:type="dxa"/>
            <w:tcBorders>
              <w:top w:val="single" w:sz="2" w:space="0" w:color="000000"/>
              <w:left w:val="single" w:sz="2" w:space="0" w:color="000000"/>
              <w:bottom w:val="single" w:sz="2" w:space="0" w:color="000000"/>
              <w:right w:val="single" w:sz="2" w:space="0" w:color="000000"/>
            </w:tcBorders>
            <w:vAlign w:val="center"/>
          </w:tcPr>
          <w:p w14:paraId="29847776"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622" w:type="dxa"/>
            <w:tcBorders>
              <w:top w:val="single" w:sz="2" w:space="0" w:color="000000"/>
              <w:left w:val="single" w:sz="2" w:space="0" w:color="000000"/>
              <w:bottom w:val="single" w:sz="2" w:space="0" w:color="000000"/>
              <w:right w:val="single" w:sz="2" w:space="0" w:color="000000"/>
            </w:tcBorders>
            <w:vAlign w:val="center"/>
          </w:tcPr>
          <w:p w14:paraId="59E7C401" w14:textId="77777777" w:rsidR="00920B68" w:rsidRPr="00364545" w:rsidRDefault="00920B68" w:rsidP="00920B68">
            <w:pPr>
              <w:spacing w:line="259" w:lineRule="auto"/>
              <w:ind w:left="19"/>
              <w:jc w:val="center"/>
            </w:pPr>
            <w:r w:rsidRPr="00634E4C">
              <w:rPr>
                <w:rFonts w:asciiTheme="majorHAnsi" w:hAnsiTheme="majorHAnsi"/>
                <w:b/>
                <w:color w:val="000000"/>
                <w:sz w:val="18"/>
              </w:rPr>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2B5747E9"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4E6E7E8D"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7FF9B6F1"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29EC45F2" w14:textId="77777777" w:rsidR="00920B68" w:rsidRPr="00364545" w:rsidRDefault="00920B68" w:rsidP="00920B68">
            <w:pPr>
              <w:spacing w:line="259" w:lineRule="auto"/>
              <w:ind w:left="19"/>
              <w:jc w:val="center"/>
            </w:pPr>
            <w:r w:rsidRPr="00364545">
              <w:t>0</w:t>
            </w:r>
          </w:p>
        </w:tc>
        <w:tc>
          <w:tcPr>
            <w:tcW w:w="707" w:type="dxa"/>
            <w:tcBorders>
              <w:top w:val="single" w:sz="2" w:space="0" w:color="000000"/>
              <w:left w:val="single" w:sz="2" w:space="0" w:color="000000"/>
              <w:bottom w:val="single" w:sz="2" w:space="0" w:color="000000"/>
              <w:right w:val="single" w:sz="2" w:space="0" w:color="000000"/>
            </w:tcBorders>
            <w:vAlign w:val="center"/>
          </w:tcPr>
          <w:p w14:paraId="68441B45" w14:textId="77777777" w:rsidR="00920B68" w:rsidRPr="00364545" w:rsidRDefault="00920B68" w:rsidP="00920B68">
            <w:pPr>
              <w:spacing w:line="259" w:lineRule="auto"/>
              <w:ind w:left="19"/>
              <w:jc w:val="center"/>
            </w:pPr>
            <w:r w:rsidRPr="00364545">
              <w:t>0</w:t>
            </w:r>
          </w:p>
        </w:tc>
      </w:tr>
      <w:tr w:rsidR="00920B68" w:rsidRPr="00364545" w14:paraId="449F12F2" w14:textId="77777777" w:rsidTr="00920B68">
        <w:trPr>
          <w:trHeight w:val="343"/>
        </w:trPr>
        <w:tc>
          <w:tcPr>
            <w:tcW w:w="1554" w:type="dxa"/>
            <w:tcBorders>
              <w:top w:val="single" w:sz="2" w:space="0" w:color="000000"/>
              <w:left w:val="single" w:sz="2" w:space="0" w:color="000000"/>
              <w:bottom w:val="single" w:sz="2" w:space="0" w:color="000000"/>
              <w:right w:val="single" w:sz="2" w:space="0" w:color="000000"/>
            </w:tcBorders>
            <w:shd w:val="clear" w:color="auto" w:fill="ECE6E2"/>
          </w:tcPr>
          <w:p w14:paraId="315D33D6" w14:textId="77777777" w:rsidR="00920B68" w:rsidRPr="00364545" w:rsidRDefault="00920B68" w:rsidP="00920B68">
            <w:pPr>
              <w:spacing w:line="259" w:lineRule="auto"/>
            </w:pPr>
            <w:r w:rsidRPr="00364545">
              <w:rPr>
                <w:b/>
                <w:sz w:val="18"/>
              </w:rPr>
              <w:t xml:space="preserve">Ensemble (hors UTCF) </w:t>
            </w:r>
          </w:p>
        </w:tc>
        <w:tc>
          <w:tcPr>
            <w:tcW w:w="701"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F9A78A6" w14:textId="77777777" w:rsidR="00920B68" w:rsidRPr="00364545" w:rsidRDefault="00920B68" w:rsidP="00920B68">
            <w:pPr>
              <w:spacing w:line="259" w:lineRule="auto"/>
              <w:ind w:left="19"/>
              <w:jc w:val="center"/>
              <w:rPr>
                <w:b/>
              </w:rPr>
            </w:pPr>
            <w:r w:rsidRPr="00634E4C">
              <w:rPr>
                <w:rFonts w:asciiTheme="majorHAnsi" w:hAnsiTheme="majorHAnsi"/>
                <w:sz w:val="18"/>
              </w:rPr>
              <w:t>16</w:t>
            </w:r>
          </w:p>
        </w:tc>
        <w:tc>
          <w:tcPr>
            <w:tcW w:w="7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4136553" w14:textId="77777777" w:rsidR="00920B68" w:rsidRPr="00364545" w:rsidRDefault="00920B68" w:rsidP="00920B68">
            <w:pPr>
              <w:spacing w:line="259" w:lineRule="auto"/>
              <w:ind w:left="19"/>
              <w:jc w:val="center"/>
              <w:rPr>
                <w:b/>
              </w:rPr>
            </w:pPr>
            <w:r w:rsidRPr="00634E4C">
              <w:rPr>
                <w:rFonts w:asciiTheme="majorHAnsi" w:hAnsiTheme="majorHAnsi"/>
                <w:sz w:val="18"/>
              </w:rPr>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7230602" w14:textId="77777777" w:rsidR="00920B68" w:rsidRPr="00364545" w:rsidRDefault="00920B68" w:rsidP="00920B68">
            <w:pPr>
              <w:spacing w:line="259" w:lineRule="auto"/>
              <w:ind w:left="19"/>
              <w:jc w:val="center"/>
              <w:rPr>
                <w:b/>
              </w:rPr>
            </w:pPr>
            <w:r w:rsidRPr="00634E4C">
              <w:rPr>
                <w:rFonts w:asciiTheme="majorHAnsi" w:hAnsiTheme="majorHAnsi"/>
                <w:sz w:val="18"/>
              </w:rPr>
              <w:t>20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5AA40EF" w14:textId="77777777" w:rsidR="00920B68" w:rsidRPr="00364545" w:rsidRDefault="00920B68" w:rsidP="00920B68">
            <w:pPr>
              <w:spacing w:line="259" w:lineRule="auto"/>
              <w:ind w:left="19"/>
              <w:jc w:val="center"/>
              <w:rPr>
                <w:b/>
              </w:rPr>
            </w:pPr>
            <w:r w:rsidRPr="00634E4C">
              <w:rPr>
                <w:rFonts w:asciiTheme="majorHAnsi" w:hAnsiTheme="majorHAnsi"/>
                <w:sz w:val="18"/>
              </w:rPr>
              <w:t>31</w:t>
            </w:r>
          </w:p>
        </w:tc>
        <w:tc>
          <w:tcPr>
            <w:tcW w:w="703"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F89F23A" w14:textId="77777777" w:rsidR="00920B68" w:rsidRPr="00364545" w:rsidRDefault="00920B68" w:rsidP="00920B68">
            <w:pPr>
              <w:spacing w:line="259" w:lineRule="auto"/>
              <w:ind w:left="19"/>
              <w:jc w:val="center"/>
              <w:rPr>
                <w:b/>
              </w:rPr>
            </w:pPr>
            <w:r w:rsidRPr="00634E4C">
              <w:rPr>
                <w:rFonts w:asciiTheme="majorHAnsi" w:hAnsiTheme="majorHAnsi"/>
                <w:sz w:val="18"/>
              </w:rPr>
              <w:t>32</w:t>
            </w:r>
          </w:p>
        </w:tc>
        <w:tc>
          <w:tcPr>
            <w:tcW w:w="70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A1EA05E" w14:textId="77777777" w:rsidR="00920B68" w:rsidRPr="00364545" w:rsidRDefault="00920B68" w:rsidP="00920B68">
            <w:pPr>
              <w:spacing w:line="259" w:lineRule="auto"/>
              <w:ind w:left="19"/>
              <w:jc w:val="center"/>
              <w:rPr>
                <w:b/>
              </w:rPr>
            </w:pPr>
            <w:r w:rsidRPr="00634E4C">
              <w:rPr>
                <w:rFonts w:asciiTheme="majorHAnsi" w:hAnsiTheme="majorHAnsi"/>
                <w:sz w:val="18"/>
              </w:rPr>
              <w:t>6</w:t>
            </w:r>
          </w:p>
        </w:tc>
        <w:tc>
          <w:tcPr>
            <w:tcW w:w="622"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33FB1562" w14:textId="77777777" w:rsidR="00920B68" w:rsidRPr="00364545" w:rsidRDefault="00920B68" w:rsidP="00920B68">
            <w:pPr>
              <w:spacing w:line="259" w:lineRule="auto"/>
              <w:ind w:left="19"/>
              <w:jc w:val="center"/>
              <w:rPr>
                <w:b/>
              </w:rPr>
            </w:pPr>
            <w:r w:rsidRPr="005D0955">
              <w:rPr>
                <w:rFonts w:asciiTheme="majorHAnsi" w:hAnsiTheme="majorHAnsi"/>
                <w:sz w:val="18"/>
                <w:szCs w:val="18"/>
              </w:rPr>
              <w:t>10</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42702545"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6352ABA5"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758FC223"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2717B9D1"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shd w:val="clear" w:color="auto" w:fill="ECE6E2"/>
            <w:vAlign w:val="center"/>
          </w:tcPr>
          <w:p w14:paraId="54405F91" w14:textId="77777777" w:rsidR="00920B68" w:rsidRPr="00364545" w:rsidRDefault="00920B68" w:rsidP="00920B68">
            <w:pPr>
              <w:spacing w:line="259" w:lineRule="auto"/>
              <w:ind w:left="19"/>
              <w:jc w:val="center"/>
              <w:rPr>
                <w:b/>
              </w:rPr>
            </w:pPr>
            <w:r w:rsidRPr="00364545">
              <w:rPr>
                <w:b/>
              </w:rPr>
              <w:t>6</w:t>
            </w:r>
          </w:p>
        </w:tc>
      </w:tr>
      <w:tr w:rsidR="00920B68" w:rsidRPr="00364545" w14:paraId="3557D6DF" w14:textId="77777777" w:rsidTr="00920B68">
        <w:trPr>
          <w:trHeight w:val="346"/>
        </w:trPr>
        <w:tc>
          <w:tcPr>
            <w:tcW w:w="1554" w:type="dxa"/>
            <w:tcBorders>
              <w:top w:val="single" w:sz="2" w:space="0" w:color="000000"/>
              <w:left w:val="single" w:sz="2" w:space="0" w:color="000000"/>
              <w:bottom w:val="single" w:sz="2" w:space="0" w:color="000000"/>
              <w:right w:val="single" w:sz="2" w:space="0" w:color="000000"/>
            </w:tcBorders>
          </w:tcPr>
          <w:p w14:paraId="25A69C84" w14:textId="77777777" w:rsidR="00920B68" w:rsidRPr="00364545" w:rsidRDefault="00920B68" w:rsidP="00920B68">
            <w:pPr>
              <w:spacing w:line="259" w:lineRule="auto"/>
            </w:pPr>
            <w:r w:rsidRPr="00364545">
              <w:rPr>
                <w:b/>
                <w:sz w:val="18"/>
              </w:rPr>
              <w:t xml:space="preserve">Ensemble (avec UTCF) </w:t>
            </w:r>
          </w:p>
        </w:tc>
        <w:tc>
          <w:tcPr>
            <w:tcW w:w="701" w:type="dxa"/>
            <w:tcBorders>
              <w:top w:val="single" w:sz="2" w:space="0" w:color="000000"/>
              <w:left w:val="single" w:sz="2" w:space="0" w:color="000000"/>
              <w:bottom w:val="single" w:sz="2" w:space="0" w:color="000000"/>
              <w:right w:val="single" w:sz="2" w:space="0" w:color="000000"/>
            </w:tcBorders>
            <w:vAlign w:val="center"/>
          </w:tcPr>
          <w:p w14:paraId="03CF3C30" w14:textId="77777777" w:rsidR="00920B68" w:rsidRPr="00364545" w:rsidRDefault="00920B68" w:rsidP="00920B68">
            <w:pPr>
              <w:spacing w:line="259" w:lineRule="auto"/>
              <w:ind w:left="19"/>
              <w:jc w:val="center"/>
              <w:rPr>
                <w:b/>
              </w:rPr>
            </w:pPr>
            <w:r w:rsidRPr="00634E4C">
              <w:rPr>
                <w:rFonts w:asciiTheme="majorHAnsi" w:hAnsiTheme="majorHAnsi"/>
                <w:sz w:val="18"/>
              </w:rPr>
              <w:t>16</w:t>
            </w:r>
          </w:p>
        </w:tc>
        <w:tc>
          <w:tcPr>
            <w:tcW w:w="703" w:type="dxa"/>
            <w:tcBorders>
              <w:top w:val="single" w:sz="2" w:space="0" w:color="000000"/>
              <w:left w:val="single" w:sz="2" w:space="0" w:color="000000"/>
              <w:bottom w:val="single" w:sz="2" w:space="0" w:color="000000"/>
              <w:right w:val="single" w:sz="2" w:space="0" w:color="000000"/>
            </w:tcBorders>
            <w:vAlign w:val="center"/>
          </w:tcPr>
          <w:p w14:paraId="4044B4CF" w14:textId="77777777" w:rsidR="00920B68" w:rsidRPr="00364545" w:rsidRDefault="00920B68" w:rsidP="00920B68">
            <w:pPr>
              <w:spacing w:line="259" w:lineRule="auto"/>
              <w:ind w:left="19"/>
              <w:jc w:val="center"/>
              <w:rPr>
                <w:b/>
              </w:rPr>
            </w:pPr>
            <w:r w:rsidRPr="00634E4C">
              <w:rPr>
                <w:rFonts w:asciiTheme="majorHAnsi" w:hAnsiTheme="majorHAnsi"/>
                <w:sz w:val="18"/>
              </w:rPr>
              <w:t>6</w:t>
            </w:r>
          </w:p>
        </w:tc>
        <w:tc>
          <w:tcPr>
            <w:tcW w:w="707" w:type="dxa"/>
            <w:tcBorders>
              <w:top w:val="single" w:sz="2" w:space="0" w:color="000000"/>
              <w:left w:val="single" w:sz="2" w:space="0" w:color="000000"/>
              <w:bottom w:val="single" w:sz="2" w:space="0" w:color="000000"/>
              <w:right w:val="single" w:sz="2" w:space="0" w:color="000000"/>
            </w:tcBorders>
            <w:vAlign w:val="center"/>
          </w:tcPr>
          <w:p w14:paraId="26D94BF5" w14:textId="77777777" w:rsidR="00920B68" w:rsidRPr="00364545" w:rsidRDefault="00920B68" w:rsidP="00920B68">
            <w:pPr>
              <w:spacing w:line="259" w:lineRule="auto"/>
              <w:ind w:left="19"/>
              <w:jc w:val="center"/>
              <w:rPr>
                <w:b/>
              </w:rPr>
            </w:pPr>
            <w:r w:rsidRPr="00634E4C">
              <w:rPr>
                <w:rFonts w:asciiTheme="majorHAnsi" w:hAnsiTheme="majorHAnsi"/>
                <w:sz w:val="18"/>
              </w:rPr>
              <w:t>20</w:t>
            </w:r>
          </w:p>
        </w:tc>
        <w:tc>
          <w:tcPr>
            <w:tcW w:w="707" w:type="dxa"/>
            <w:tcBorders>
              <w:top w:val="single" w:sz="2" w:space="0" w:color="000000"/>
              <w:left w:val="single" w:sz="2" w:space="0" w:color="000000"/>
              <w:bottom w:val="single" w:sz="2" w:space="0" w:color="000000"/>
              <w:right w:val="single" w:sz="2" w:space="0" w:color="000000"/>
            </w:tcBorders>
            <w:vAlign w:val="center"/>
          </w:tcPr>
          <w:p w14:paraId="7943B8E9" w14:textId="77777777" w:rsidR="00920B68" w:rsidRPr="00364545" w:rsidRDefault="00920B68" w:rsidP="00920B68">
            <w:pPr>
              <w:spacing w:line="259" w:lineRule="auto"/>
              <w:ind w:left="19"/>
              <w:jc w:val="center"/>
              <w:rPr>
                <w:b/>
              </w:rPr>
            </w:pPr>
            <w:r w:rsidRPr="00634E4C">
              <w:rPr>
                <w:rFonts w:asciiTheme="majorHAnsi" w:hAnsiTheme="majorHAnsi"/>
                <w:sz w:val="18"/>
              </w:rPr>
              <w:t>31</w:t>
            </w:r>
          </w:p>
        </w:tc>
        <w:tc>
          <w:tcPr>
            <w:tcW w:w="703" w:type="dxa"/>
            <w:tcBorders>
              <w:top w:val="single" w:sz="2" w:space="0" w:color="000000"/>
              <w:left w:val="single" w:sz="2" w:space="0" w:color="000000"/>
              <w:bottom w:val="single" w:sz="2" w:space="0" w:color="000000"/>
              <w:right w:val="single" w:sz="2" w:space="0" w:color="000000"/>
            </w:tcBorders>
            <w:vAlign w:val="center"/>
          </w:tcPr>
          <w:p w14:paraId="3619CAB7" w14:textId="77777777" w:rsidR="00920B68" w:rsidRPr="00364545" w:rsidRDefault="00920B68" w:rsidP="00920B68">
            <w:pPr>
              <w:spacing w:line="259" w:lineRule="auto"/>
              <w:ind w:left="19"/>
              <w:jc w:val="center"/>
              <w:rPr>
                <w:b/>
              </w:rPr>
            </w:pPr>
            <w:r w:rsidRPr="00634E4C">
              <w:rPr>
                <w:rFonts w:asciiTheme="majorHAnsi" w:hAnsiTheme="majorHAnsi"/>
                <w:sz w:val="18"/>
              </w:rPr>
              <w:t>32</w:t>
            </w:r>
          </w:p>
        </w:tc>
        <w:tc>
          <w:tcPr>
            <w:tcW w:w="702" w:type="dxa"/>
            <w:tcBorders>
              <w:top w:val="single" w:sz="2" w:space="0" w:color="000000"/>
              <w:left w:val="single" w:sz="2" w:space="0" w:color="000000"/>
              <w:bottom w:val="single" w:sz="2" w:space="0" w:color="000000"/>
              <w:right w:val="single" w:sz="2" w:space="0" w:color="000000"/>
            </w:tcBorders>
            <w:vAlign w:val="center"/>
          </w:tcPr>
          <w:p w14:paraId="1682A2ED" w14:textId="77777777" w:rsidR="00920B68" w:rsidRPr="00364545" w:rsidRDefault="00920B68" w:rsidP="00920B68">
            <w:pPr>
              <w:spacing w:line="259" w:lineRule="auto"/>
              <w:ind w:left="19"/>
              <w:jc w:val="center"/>
              <w:rPr>
                <w:b/>
              </w:rPr>
            </w:pPr>
            <w:r w:rsidRPr="00634E4C">
              <w:rPr>
                <w:rFonts w:asciiTheme="majorHAnsi" w:hAnsiTheme="majorHAnsi"/>
                <w:sz w:val="18"/>
              </w:rPr>
              <w:t>6</w:t>
            </w:r>
          </w:p>
        </w:tc>
        <w:tc>
          <w:tcPr>
            <w:tcW w:w="622" w:type="dxa"/>
            <w:tcBorders>
              <w:top w:val="single" w:sz="2" w:space="0" w:color="000000"/>
              <w:left w:val="single" w:sz="2" w:space="0" w:color="000000"/>
              <w:bottom w:val="single" w:sz="2" w:space="0" w:color="000000"/>
              <w:right w:val="single" w:sz="2" w:space="0" w:color="000000"/>
            </w:tcBorders>
            <w:vAlign w:val="center"/>
          </w:tcPr>
          <w:p w14:paraId="2CB12CC6" w14:textId="77777777" w:rsidR="00920B68" w:rsidRPr="00364545" w:rsidRDefault="00920B68" w:rsidP="00920B68">
            <w:pPr>
              <w:spacing w:line="259" w:lineRule="auto"/>
              <w:ind w:left="19"/>
              <w:jc w:val="center"/>
              <w:rPr>
                <w:b/>
              </w:rPr>
            </w:pPr>
            <w:r w:rsidRPr="005D0955">
              <w:rPr>
                <w:rFonts w:asciiTheme="majorHAnsi" w:hAnsiTheme="majorHAnsi"/>
                <w:sz w:val="18"/>
                <w:szCs w:val="18"/>
              </w:rPr>
              <w:t>10</w:t>
            </w:r>
          </w:p>
        </w:tc>
        <w:tc>
          <w:tcPr>
            <w:tcW w:w="707" w:type="dxa"/>
            <w:tcBorders>
              <w:top w:val="single" w:sz="2" w:space="0" w:color="000000"/>
              <w:left w:val="single" w:sz="2" w:space="0" w:color="000000"/>
              <w:bottom w:val="single" w:sz="2" w:space="0" w:color="000000"/>
              <w:right w:val="single" w:sz="2" w:space="0" w:color="000000"/>
            </w:tcBorders>
            <w:vAlign w:val="center"/>
          </w:tcPr>
          <w:p w14:paraId="240F7722"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vAlign w:val="center"/>
          </w:tcPr>
          <w:p w14:paraId="005A069B"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vAlign w:val="center"/>
          </w:tcPr>
          <w:p w14:paraId="18BC2514"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vAlign w:val="center"/>
          </w:tcPr>
          <w:p w14:paraId="04E72FA9" w14:textId="77777777" w:rsidR="00920B68" w:rsidRPr="00364545" w:rsidRDefault="00920B68" w:rsidP="00920B68">
            <w:pPr>
              <w:spacing w:line="259" w:lineRule="auto"/>
              <w:ind w:left="19"/>
              <w:jc w:val="center"/>
              <w:rPr>
                <w:b/>
              </w:rPr>
            </w:pPr>
            <w:r w:rsidRPr="00364545">
              <w:rPr>
                <w:b/>
              </w:rPr>
              <w:t>6</w:t>
            </w:r>
          </w:p>
        </w:tc>
        <w:tc>
          <w:tcPr>
            <w:tcW w:w="707" w:type="dxa"/>
            <w:tcBorders>
              <w:top w:val="single" w:sz="2" w:space="0" w:color="000000"/>
              <w:left w:val="single" w:sz="2" w:space="0" w:color="000000"/>
              <w:bottom w:val="single" w:sz="2" w:space="0" w:color="000000"/>
              <w:right w:val="single" w:sz="2" w:space="0" w:color="000000"/>
            </w:tcBorders>
            <w:vAlign w:val="center"/>
          </w:tcPr>
          <w:p w14:paraId="341C1B80" w14:textId="77777777" w:rsidR="00920B68" w:rsidRPr="00364545" w:rsidRDefault="00920B68" w:rsidP="00920B68">
            <w:pPr>
              <w:spacing w:line="259" w:lineRule="auto"/>
              <w:ind w:left="19"/>
              <w:jc w:val="center"/>
              <w:rPr>
                <w:b/>
              </w:rPr>
            </w:pPr>
            <w:r w:rsidRPr="00364545">
              <w:rPr>
                <w:b/>
              </w:rPr>
              <w:t>6</w:t>
            </w:r>
          </w:p>
        </w:tc>
      </w:tr>
    </w:tbl>
    <w:p w14:paraId="05DAFF1C" w14:textId="77777777" w:rsidR="00920B68" w:rsidRPr="00364545" w:rsidRDefault="00920B68" w:rsidP="00920B68">
      <w:pPr>
        <w:pStyle w:val="Caption"/>
      </w:pPr>
      <w:r w:rsidRPr="00364545">
        <w:t xml:space="preserve">Table </w:t>
      </w:r>
      <w:fldSimple w:instr=" SEQ Tableau \* ARABIC ">
        <w:r w:rsidRPr="00364545">
          <w:rPr>
            <w:noProof/>
          </w:rPr>
          <w:t>32</w:t>
        </w:r>
      </w:fldSimple>
      <w:r w:rsidRPr="00364545">
        <w:t>: NF</w:t>
      </w:r>
      <w:r w:rsidRPr="00364545">
        <w:rPr>
          <w:vertAlign w:val="subscript"/>
        </w:rPr>
        <w:t>3</w:t>
      </w:r>
      <w:r w:rsidRPr="00364545">
        <w:t xml:space="preserve"> emissions projections (in ktCO</w:t>
      </w:r>
      <w:r w:rsidRPr="00364545">
        <w:rPr>
          <w:vertAlign w:val="subscript"/>
        </w:rPr>
        <w:t>2e</w:t>
      </w:r>
      <w:r w:rsidRPr="00364545">
        <w:t>) in the Kyoto scope in the AMS 2018 scenario (with additional measures)</w:t>
      </w:r>
    </w:p>
    <w:p w14:paraId="3D797D55" w14:textId="77777777" w:rsidR="00920B68" w:rsidRPr="00364545" w:rsidRDefault="00920B68" w:rsidP="00920B68">
      <w:pPr>
        <w:pStyle w:val="Caption"/>
      </w:pPr>
      <w:r w:rsidRPr="00364545">
        <w:t>Source: UNF</w:t>
      </w:r>
      <w:r>
        <w:t>CCC inventory, Citepa/MTES, 2022</w:t>
      </w:r>
      <w:r w:rsidRPr="00364545">
        <w:t xml:space="preserve"> submission and MTES emission projections, 2018</w:t>
      </w:r>
    </w:p>
    <w:p w14:paraId="188C9177" w14:textId="1C40AA99" w:rsidR="00DD5B9E" w:rsidRPr="005B54EE" w:rsidRDefault="00DD5B9E" w:rsidP="00DD5B9E">
      <w:pPr>
        <w:pStyle w:val="Titre2Niveau2"/>
      </w:pPr>
      <w:bookmarkStart w:id="128" w:name="_Toc138344699"/>
      <w:r w:rsidRPr="005B54EE">
        <w:t>Meeting France’s targets</w:t>
      </w:r>
      <w:bookmarkEnd w:id="128"/>
    </w:p>
    <w:p w14:paraId="55BC7457" w14:textId="77777777" w:rsidR="006007BA" w:rsidRPr="005B54EE" w:rsidRDefault="006007BA" w:rsidP="0018240E">
      <w:pPr>
        <w:pStyle w:val="Titre4niveau4"/>
      </w:pPr>
      <w:r w:rsidRPr="005B54EE">
        <w:t>Meeting the Kyoto Protocol’s 2020 targets</w:t>
      </w:r>
    </w:p>
    <w:p w14:paraId="49AD1D2E" w14:textId="77777777" w:rsidR="006C000D" w:rsidRPr="005B54EE" w:rsidRDefault="006007BA" w:rsidP="006C000D">
      <w:pPr>
        <w:rPr>
          <w:rFonts w:asciiTheme="minorHAnsi" w:hAnsiTheme="minorHAnsi"/>
          <w:szCs w:val="22"/>
        </w:rPr>
      </w:pPr>
      <w:r w:rsidRPr="005B54EE">
        <w:t>In 2010, the EU committed to reducing its greenhouse gas emissions by 20% below 1990 levels by 2020. This target was submitted by the EU-28 as part of the Convention, and there are no Member State-specific targets. As part of the Energy and Climate Package, the EU has established internal rules that underpin the implementation of this target. This is divided into two sub-targets compared to 2005, one for the ETS sectors for the whole of the EU (a target of -21% in 2020 compared to 2005 emissions) and the other for the non-ETS sectors shared between each Member State (a target of -14% in 2020 compared to 2005 emissions for France</w:t>
      </w:r>
      <w:r w:rsidRPr="005B54EE">
        <w:rPr>
          <w:rFonts w:asciiTheme="minorHAnsi" w:hAnsiTheme="minorHAnsi"/>
        </w:rPr>
        <w:t xml:space="preserve">). The non-ETS target is also a target to be achieved over a period and not in a given year. </w:t>
      </w:r>
    </w:p>
    <w:p w14:paraId="38E4EA1B" w14:textId="2CE28C17" w:rsidR="006007BA" w:rsidRPr="005B54EE" w:rsidRDefault="006C000D" w:rsidP="006C000D">
      <w:pPr>
        <w:rPr>
          <w:rFonts w:asciiTheme="minorHAnsi" w:hAnsiTheme="minorHAnsi"/>
        </w:rPr>
      </w:pPr>
      <w:r w:rsidRPr="005B54EE">
        <w:rPr>
          <w:rFonts w:asciiTheme="minorHAnsi" w:hAnsiTheme="minorHAnsi"/>
        </w:rPr>
        <w:t>The 2020 inventory shows that emissions from sectors not covered by the ETS amounted to 307.8</w:t>
      </w:r>
      <w:r w:rsidRPr="005B54EE">
        <w:rPr>
          <w:rFonts w:ascii="Calibri" w:hAnsi="Calibri"/>
        </w:rPr>
        <w:t> </w:t>
      </w:r>
      <w:r w:rsidRPr="005B54EE">
        <w:rPr>
          <w:rFonts w:asciiTheme="minorHAnsi" w:hAnsiTheme="minorHAnsi"/>
        </w:rPr>
        <w:t>MtCO</w:t>
      </w:r>
      <w:r w:rsidRPr="005B54EE">
        <w:rPr>
          <w:rFonts w:asciiTheme="minorHAnsi" w:hAnsiTheme="minorHAnsi"/>
          <w:vertAlign w:val="subscript"/>
        </w:rPr>
        <w:t>2eq</w:t>
      </w:r>
      <w:r w:rsidRPr="005B54EE">
        <w:rPr>
          <w:rFonts w:asciiTheme="minorHAnsi" w:hAnsiTheme="minorHAnsi"/>
        </w:rPr>
        <w:t xml:space="preserve"> in 2020, whereas the emissions cap was 355.2</w:t>
      </w:r>
      <w:r w:rsidRPr="005B54EE">
        <w:rPr>
          <w:rFonts w:ascii="Calibri" w:hAnsi="Calibri"/>
        </w:rPr>
        <w:t> </w:t>
      </w:r>
      <w:r w:rsidRPr="005B54EE">
        <w:rPr>
          <w:rFonts w:asciiTheme="minorHAnsi" w:hAnsiTheme="minorHAnsi"/>
        </w:rPr>
        <w:t>MtCO</w:t>
      </w:r>
      <w:r w:rsidRPr="005B54EE">
        <w:rPr>
          <w:rFonts w:asciiTheme="minorHAnsi" w:hAnsiTheme="minorHAnsi"/>
          <w:vertAlign w:val="subscript"/>
        </w:rPr>
        <w:t>2eq</w:t>
      </w:r>
      <w:r w:rsidRPr="005B54EE">
        <w:rPr>
          <w:rFonts w:asciiTheme="minorHAnsi" w:hAnsiTheme="minorHAnsi"/>
        </w:rPr>
        <w:t xml:space="preserve">. As French emissions were lower than those resulting from the effort-sharing decision in previous years, France has a surplus of allowances. </w:t>
      </w:r>
      <w:r w:rsidRPr="005B54EE">
        <w:rPr>
          <w:rFonts w:asciiTheme="minorHAnsi" w:hAnsiTheme="minorHAnsi"/>
          <w:b/>
        </w:rPr>
        <w:t>The 2020 target has therefore been met</w:t>
      </w:r>
      <w:r w:rsidRPr="005B54EE">
        <w:rPr>
          <w:rFonts w:asciiTheme="minorHAnsi" w:hAnsiTheme="minorHAnsi"/>
        </w:rPr>
        <w:t>.</w:t>
      </w:r>
    </w:p>
    <w:p w14:paraId="40F5F0DD" w14:textId="77777777" w:rsidR="006007BA" w:rsidRPr="005B54EE" w:rsidRDefault="006007BA" w:rsidP="006007BA">
      <w:pPr>
        <w:pStyle w:val="Standard"/>
        <w:jc w:val="both"/>
        <w:rPr>
          <w:rFonts w:ascii="Times New Roman" w:hAnsi="Times New Roman" w:cs="Times New Roman"/>
          <w:sz w:val="22"/>
          <w:szCs w:val="22"/>
        </w:rPr>
      </w:pPr>
    </w:p>
    <w:p w14:paraId="36262D12" w14:textId="77777777" w:rsidR="006007BA" w:rsidRPr="005B54EE" w:rsidRDefault="006007BA" w:rsidP="0018240E">
      <w:pPr>
        <w:pStyle w:val="Titre4niveau4"/>
      </w:pPr>
      <w:r w:rsidRPr="005B54EE">
        <w:t>Achieving France’s 2030 targets</w:t>
      </w:r>
    </w:p>
    <w:p w14:paraId="719BDCC2" w14:textId="39F5C190" w:rsidR="006007BA" w:rsidRPr="005B54EE" w:rsidRDefault="006007BA" w:rsidP="002F4FA6">
      <w:r w:rsidRPr="005B54EE">
        <w:t>Under the Paris Agreement, the EU has committed to reducing its greenhouse gas emissions by 40% by 2030. As for 2020, this reduction effort is divided between the ETS and non-ETS sectors, the latter being shared between Member States.  The reduction target for France in the non-ETS sectors is -37% compared to 2005. As part of the increase in European ambition via the Green Deal, the EU’s overall target has been set at -55% net by 2030 compared to 1990. For France, this corresponds to a target of -47.5% in 2030 compared to 2005 for the EU’s non-ETS sector</w:t>
      </w:r>
    </w:p>
    <w:p w14:paraId="0370FAC9" w14:textId="77777777" w:rsidR="006007BA" w:rsidRPr="005B54EE" w:rsidRDefault="006007BA" w:rsidP="002F4FA6"/>
    <w:p w14:paraId="2051B1AF" w14:textId="77777777" w:rsidR="006007BA" w:rsidRPr="005B54EE" w:rsidRDefault="006007BA" w:rsidP="002F4FA6">
      <w:r w:rsidRPr="005B54EE">
        <w:t>In addition, France has set a national target of reducing its overall emissions by 40% in 2030 compared to 1990.</w:t>
      </w:r>
    </w:p>
    <w:p w14:paraId="791A570B" w14:textId="77777777" w:rsidR="006007BA" w:rsidRPr="005B54EE" w:rsidRDefault="006007BA" w:rsidP="002F4FA6"/>
    <w:p w14:paraId="028A4459" w14:textId="4AB7D603" w:rsidR="006007BA" w:rsidRPr="005B54EE" w:rsidRDefault="005D77E5" w:rsidP="002F4FA6">
      <w:r w:rsidRPr="005B54EE">
        <w:t>The AME 2021 scenario makes it possible to achieve the objectives of the second carbon budget, as well as the first period of the ESR (2021-2025) - before updating under the Green Deal. In contrast, projected emissions in 2030 amount to 367 MtCO</w:t>
      </w:r>
      <w:r w:rsidRPr="005B54EE">
        <w:rPr>
          <w:vertAlign w:val="subscript"/>
        </w:rPr>
        <w:t>2eq</w:t>
      </w:r>
      <w:r w:rsidRPr="005B54EE">
        <w:t>, a 33% reduction compared to 1990, indicating that additional measures are required to reach the current -40% target. In the AMS scenario, emissions reach 307 MtCO</w:t>
      </w:r>
      <w:r w:rsidRPr="005B54EE">
        <w:rPr>
          <w:vertAlign w:val="subscript"/>
        </w:rPr>
        <w:t>2eq</w:t>
      </w:r>
      <w:r w:rsidRPr="005B54EE">
        <w:t xml:space="preserve"> in 2030, i.e. a 43% reduction compared to 1990, which makes it possible to reach the current -40% target, but will need to be updated in line with the new targets of the Green Deal. This is the subject of the Stratégie Française pour l’Energie et le Climat (French Strategy for Energy and Climate), which is currently being revised. </w:t>
      </w:r>
    </w:p>
    <w:p w14:paraId="28BE932B" w14:textId="35A6534E" w:rsidR="006007BA" w:rsidRPr="005B54EE" w:rsidRDefault="006007BA" w:rsidP="0018240E">
      <w:pPr>
        <w:pStyle w:val="Titre2Niveau2"/>
      </w:pPr>
      <w:bookmarkStart w:id="129" w:name="_Toc121833030"/>
      <w:bookmarkStart w:id="130" w:name="_Toc138344700"/>
      <w:r w:rsidRPr="005B54EE">
        <w:t>The evolution of models and methodologies</w:t>
      </w:r>
      <w:bookmarkEnd w:id="129"/>
      <w:bookmarkEnd w:id="130"/>
    </w:p>
    <w:p w14:paraId="4D7CA54E" w14:textId="77777777" w:rsidR="002F4FA6" w:rsidRPr="005B54EE" w:rsidRDefault="002F4FA6" w:rsidP="00B04A7C">
      <w:pPr>
        <w:pStyle w:val="Titre3Niveau3"/>
      </w:pPr>
      <w:bookmarkStart w:id="131" w:name="_Toc121215537"/>
      <w:bookmarkStart w:id="132" w:name="_Toc122694264"/>
      <w:bookmarkStart w:id="133" w:name="_Toc138344701"/>
      <w:r w:rsidRPr="005B54EE">
        <w:t>Modelling used</w:t>
      </w:r>
      <w:bookmarkEnd w:id="131"/>
      <w:bookmarkEnd w:id="132"/>
      <w:bookmarkEnd w:id="133"/>
    </w:p>
    <w:p w14:paraId="41DE8909" w14:textId="77777777" w:rsidR="002F4FA6" w:rsidRPr="005B54EE" w:rsidRDefault="002F4FA6" w:rsidP="002F4FA6">
      <w:pPr>
        <w:spacing w:before="240" w:after="240"/>
      </w:pPr>
      <w:r w:rsidRPr="005B54EE">
        <w:t xml:space="preserve">The modelling process for the AMS 2018 scenario was presented in the previous national communication and the last biennial report. </w:t>
      </w:r>
    </w:p>
    <w:p w14:paraId="113C0719" w14:textId="77777777" w:rsidR="002F4FA6" w:rsidRPr="005B54EE" w:rsidRDefault="002F4FA6" w:rsidP="002F4FA6">
      <w:pPr>
        <w:pStyle w:val="Textedesaisie"/>
        <w:ind w:left="0"/>
        <w:rPr>
          <w:sz w:val="21"/>
          <w:szCs w:val="21"/>
        </w:rPr>
      </w:pPr>
      <w:r w:rsidRPr="005B54EE">
        <w:rPr>
          <w:sz w:val="21"/>
        </w:rPr>
        <w:t xml:space="preserve">The process for AMS 2021 has broadly followed the same lines, with some notable differences: </w:t>
      </w:r>
    </w:p>
    <w:p w14:paraId="46E901FA" w14:textId="77777777" w:rsidR="002F4FA6" w:rsidRPr="005B54EE" w:rsidRDefault="002F4FA6" w:rsidP="002F4FA6">
      <w:pPr>
        <w:pStyle w:val="Textedesaisie"/>
        <w:ind w:left="0"/>
        <w:rPr>
          <w:sz w:val="21"/>
          <w:szCs w:val="21"/>
        </w:rPr>
      </w:pPr>
      <w:r w:rsidRPr="005B54EE">
        <w:rPr>
          <w:sz w:val="21"/>
        </w:rPr>
        <w:t xml:space="preserve">Unlike the previous period, which was linked to the updating of national programmes, this time the consultations were limited to the administrations concerned (other MTE directorates, MASA/DGPE, MEFR/DGT, ADEME) as well as the external modellers (Citepa and CSTB). Five working groups were set up (agriculture-forest-land / buildings / transport / industry / energy-waste), each of which held between 2 and 4 meetings as required between September 2020 and February 2021. </w:t>
      </w:r>
    </w:p>
    <w:p w14:paraId="73FDC0FD" w14:textId="77777777" w:rsidR="002F4FA6" w:rsidRPr="005B54EE" w:rsidRDefault="002F4FA6" w:rsidP="002F4FA6">
      <w:pPr>
        <w:pStyle w:val="Textedesaisie"/>
        <w:keepNext/>
      </w:pPr>
      <w:r w:rsidRPr="005B54EE">
        <w:rPr>
          <w:noProof/>
          <w:lang w:val="fr-FR"/>
        </w:rPr>
        <w:drawing>
          <wp:inline distT="0" distB="0" distL="0" distR="0" wp14:anchorId="3C28409B" wp14:editId="6F4357BE">
            <wp:extent cx="5762625" cy="3133725"/>
            <wp:effectExtent l="0" t="0" r="9525" b="9525"/>
            <wp:docPr id="28707" name="Image 28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2625" cy="3133725"/>
                    </a:xfrm>
                    <a:prstGeom prst="rect">
                      <a:avLst/>
                    </a:prstGeom>
                    <a:noFill/>
                    <a:ln>
                      <a:noFill/>
                    </a:ln>
                  </pic:spPr>
                </pic:pic>
              </a:graphicData>
            </a:graphic>
          </wp:inline>
        </w:drawing>
      </w:r>
    </w:p>
    <w:p w14:paraId="68E19CB3" w14:textId="2C12078D" w:rsidR="002F4FA6" w:rsidRPr="005B54EE" w:rsidRDefault="002F4FA6" w:rsidP="002F4FA6">
      <w:pPr>
        <w:pStyle w:val="Caption"/>
      </w:pPr>
      <w:bookmarkStart w:id="134" w:name="_Toc122694406"/>
      <w:bookmarkStart w:id="135" w:name="_Toc124153780"/>
      <w:r w:rsidRPr="005B54EE">
        <w:t xml:space="preserve">Figure </w:t>
      </w:r>
      <w:r w:rsidR="00C73940">
        <w:fldChar w:fldCharType="begin"/>
      </w:r>
      <w:r w:rsidR="00C73940">
        <w:instrText xml:space="preserve"> SEQ Figure \* ARABIC </w:instrText>
      </w:r>
      <w:r w:rsidR="00C73940">
        <w:fldChar w:fldCharType="separate"/>
      </w:r>
      <w:r w:rsidR="003402E2">
        <w:rPr>
          <w:noProof/>
        </w:rPr>
        <w:t>26</w:t>
      </w:r>
      <w:r w:rsidR="00C73940">
        <w:rPr>
          <w:noProof/>
        </w:rPr>
        <w:fldChar w:fldCharType="end"/>
      </w:r>
      <w:r w:rsidRPr="005B54EE">
        <w:t>: Modelling process for AME 2021</w:t>
      </w:r>
      <w:bookmarkEnd w:id="134"/>
      <w:bookmarkEnd w:id="135"/>
    </w:p>
    <w:p w14:paraId="3245635C" w14:textId="77777777" w:rsidR="002F4FA6" w:rsidRPr="005B54EE" w:rsidRDefault="002F4FA6" w:rsidP="002F4FA6">
      <w:pPr>
        <w:pStyle w:val="Caption"/>
      </w:pPr>
      <w:r w:rsidRPr="005B54EE">
        <w:t>Source: MTE/DGEC</w:t>
      </w:r>
    </w:p>
    <w:p w14:paraId="2B017C37" w14:textId="77777777" w:rsidR="002F4FA6" w:rsidRPr="005B54EE" w:rsidRDefault="002F4FA6" w:rsidP="002F4FA6"/>
    <w:p w14:paraId="1D9EF8D5" w14:textId="77777777" w:rsidR="00DA7D12" w:rsidRDefault="00DA7D12" w:rsidP="00DA7D12">
      <w:r w:rsidRPr="00364545">
        <w:t>In terms of modelling, the process is largely the same as that used in 2018</w:t>
      </w:r>
      <w:r>
        <w:t xml:space="preserve"> : the use of a large variety of sectoral technico-economic models, whose energy consumptions and GHG emissions are aggregated in accordance with GHG inventory methodologies. This modelling approach allows for a fine description of sectoral transformations associated with the scenario. Its main weakness, compared to the use of a single top-down model, is that extra attention needs to be given to the potential interactions between sectors, and that it takes a long time to proceed to all the modelling (one full run may take up to 6 months). All models have been elaborated with a view to make analysis on GHG emissions and energy consumptions. The integration of several policies and measures at the same time within each sectors helps to prevent double-counting between PaMs. </w:t>
      </w:r>
    </w:p>
    <w:p w14:paraId="76BCB9B3" w14:textId="77777777" w:rsidR="00DA7D12" w:rsidRPr="00364545" w:rsidRDefault="00DA7D12" w:rsidP="00DA7D12">
      <w:r>
        <w:t xml:space="preserve">The main difference with the modelling approach used in 2018 resides in the use </w:t>
      </w:r>
      <w:r w:rsidRPr="00364545">
        <w:t xml:space="preserve">of GEStime, an internal tool developed by the DGEC, which has replaced the use of MedPro for energy aspects and for industry. GEStime </w:t>
      </w:r>
      <w:r>
        <w:t xml:space="preserve">is an accounting model which </w:t>
      </w:r>
      <w:r w:rsidRPr="00364545">
        <w:t>allows energy consumption and greenhouse gas emissions to be represented statically for a given time horizon as a function of a series of physical levers in each of the sectors. It is based on the year 2015 using data from the SDES energy balance and the Citepa inventory. New tools have also been used to model land artificialisation and air transport.</w:t>
      </w:r>
    </w:p>
    <w:p w14:paraId="73AB4452" w14:textId="77777777" w:rsidR="002F4FA6" w:rsidRPr="005B54EE" w:rsidRDefault="002F4FA6" w:rsidP="002F4FA6"/>
    <w:tbl>
      <w:tblPr>
        <w:tblStyle w:val="GridTable4-Accent5"/>
        <w:tblW w:w="0" w:type="auto"/>
        <w:tblLook w:val="04A0" w:firstRow="1" w:lastRow="0" w:firstColumn="1" w:lastColumn="0" w:noHBand="0" w:noVBand="1"/>
      </w:tblPr>
      <w:tblGrid>
        <w:gridCol w:w="3020"/>
        <w:gridCol w:w="4346"/>
        <w:gridCol w:w="1696"/>
      </w:tblGrid>
      <w:tr w:rsidR="002F4FA6" w:rsidRPr="005B54EE" w14:paraId="57E5F4BE" w14:textId="77777777" w:rsidTr="00635A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C68F59A" w14:textId="77777777" w:rsidR="002F4FA6" w:rsidRPr="005B54EE" w:rsidRDefault="002F4FA6" w:rsidP="00635A2E">
            <w:pPr>
              <w:rPr>
                <w:b w:val="0"/>
              </w:rPr>
            </w:pPr>
            <w:r w:rsidRPr="005B54EE">
              <w:rPr>
                <w:b w:val="0"/>
              </w:rPr>
              <w:t>Sector</w:t>
            </w:r>
          </w:p>
        </w:tc>
        <w:tc>
          <w:tcPr>
            <w:tcW w:w="4346" w:type="dxa"/>
          </w:tcPr>
          <w:p w14:paraId="31A2D982" w14:textId="77777777" w:rsidR="002F4FA6" w:rsidRPr="005B54EE" w:rsidRDefault="002F4FA6" w:rsidP="00635A2E">
            <w:pPr>
              <w:cnfStyle w:val="100000000000" w:firstRow="1" w:lastRow="0" w:firstColumn="0" w:lastColumn="0" w:oddVBand="0" w:evenVBand="0" w:oddHBand="0" w:evenHBand="0" w:firstRowFirstColumn="0" w:firstRowLastColumn="0" w:lastRowFirstColumn="0" w:lastRowLastColumn="0"/>
              <w:rPr>
                <w:b w:val="0"/>
              </w:rPr>
            </w:pPr>
            <w:r w:rsidRPr="005B54EE">
              <w:rPr>
                <w:b w:val="0"/>
              </w:rPr>
              <w:t>Tools used</w:t>
            </w:r>
          </w:p>
        </w:tc>
        <w:tc>
          <w:tcPr>
            <w:tcW w:w="1696" w:type="dxa"/>
          </w:tcPr>
          <w:p w14:paraId="4F7F0B6B" w14:textId="77777777" w:rsidR="002F4FA6" w:rsidRPr="005B54EE" w:rsidRDefault="002F4FA6" w:rsidP="00635A2E">
            <w:pPr>
              <w:cnfStyle w:val="100000000000" w:firstRow="1" w:lastRow="0" w:firstColumn="0" w:lastColumn="0" w:oddVBand="0" w:evenVBand="0" w:oddHBand="0" w:evenHBand="0" w:firstRowFirstColumn="0" w:firstRowLastColumn="0" w:lastRowFirstColumn="0" w:lastRowLastColumn="0"/>
              <w:rPr>
                <w:b w:val="0"/>
              </w:rPr>
            </w:pPr>
            <w:r w:rsidRPr="005B54EE">
              <w:rPr>
                <w:b w:val="0"/>
              </w:rPr>
              <w:t>Managed by</w:t>
            </w:r>
          </w:p>
        </w:tc>
      </w:tr>
      <w:tr w:rsidR="002F4FA6" w:rsidRPr="005B54EE" w14:paraId="16277E29"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BEAF3F1" w14:textId="77777777" w:rsidR="002F4FA6" w:rsidRPr="005B54EE" w:rsidRDefault="002F4FA6" w:rsidP="00635A2E">
            <w:r w:rsidRPr="005B54EE">
              <w:t>Agriculture</w:t>
            </w:r>
          </w:p>
        </w:tc>
        <w:tc>
          <w:tcPr>
            <w:tcW w:w="4346" w:type="dxa"/>
          </w:tcPr>
          <w:p w14:paraId="6F9D3300"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Climagri and CITEPA modules</w:t>
            </w:r>
          </w:p>
        </w:tc>
        <w:tc>
          <w:tcPr>
            <w:tcW w:w="1696" w:type="dxa"/>
          </w:tcPr>
          <w:p w14:paraId="7CBA67A7"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CITEPA</w:t>
            </w:r>
          </w:p>
        </w:tc>
      </w:tr>
      <w:tr w:rsidR="002F4FA6" w:rsidRPr="005B54EE" w14:paraId="6B0F4779" w14:textId="77777777" w:rsidTr="00635A2E">
        <w:tc>
          <w:tcPr>
            <w:cnfStyle w:val="001000000000" w:firstRow="0" w:lastRow="0" w:firstColumn="1" w:lastColumn="0" w:oddVBand="0" w:evenVBand="0" w:oddHBand="0" w:evenHBand="0" w:firstRowFirstColumn="0" w:firstRowLastColumn="0" w:lastRowFirstColumn="0" w:lastRowLastColumn="0"/>
            <w:tcW w:w="3020" w:type="dxa"/>
          </w:tcPr>
          <w:p w14:paraId="041FB48E" w14:textId="77777777" w:rsidR="002F4FA6" w:rsidRPr="005B54EE" w:rsidRDefault="002F4FA6" w:rsidP="00635A2E">
            <w:r w:rsidRPr="005B54EE">
              <w:t>Forest</w:t>
            </w:r>
          </w:p>
        </w:tc>
        <w:tc>
          <w:tcPr>
            <w:tcW w:w="4346" w:type="dxa"/>
          </w:tcPr>
          <w:p w14:paraId="4F5E4DE7"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Forestry calculator and CITEPA module</w:t>
            </w:r>
          </w:p>
        </w:tc>
        <w:tc>
          <w:tcPr>
            <w:tcW w:w="1696" w:type="dxa"/>
          </w:tcPr>
          <w:p w14:paraId="6FDF7819"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DGEC, CITEPA</w:t>
            </w:r>
          </w:p>
        </w:tc>
      </w:tr>
      <w:tr w:rsidR="002F4FA6" w:rsidRPr="005B54EE" w14:paraId="114DD755"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435D87B" w14:textId="77777777" w:rsidR="002F4FA6" w:rsidRPr="005B54EE" w:rsidRDefault="002F4FA6" w:rsidP="00635A2E">
            <w:r w:rsidRPr="005B54EE">
              <w:t>Land (artificialisation)</w:t>
            </w:r>
          </w:p>
        </w:tc>
        <w:tc>
          <w:tcPr>
            <w:tcW w:w="4346" w:type="dxa"/>
          </w:tcPr>
          <w:p w14:paraId="60BEB355"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Artificial growth calculator*, CITEPA module</w:t>
            </w:r>
          </w:p>
        </w:tc>
        <w:tc>
          <w:tcPr>
            <w:tcW w:w="1696" w:type="dxa"/>
          </w:tcPr>
          <w:p w14:paraId="0EF2BD1E"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DGEC, CITEPA</w:t>
            </w:r>
          </w:p>
        </w:tc>
      </w:tr>
      <w:tr w:rsidR="002F4FA6" w:rsidRPr="005B54EE" w14:paraId="4A3D7A04" w14:textId="77777777" w:rsidTr="00635A2E">
        <w:tc>
          <w:tcPr>
            <w:cnfStyle w:val="001000000000" w:firstRow="0" w:lastRow="0" w:firstColumn="1" w:lastColumn="0" w:oddVBand="0" w:evenVBand="0" w:oddHBand="0" w:evenHBand="0" w:firstRowFirstColumn="0" w:firstRowLastColumn="0" w:lastRowFirstColumn="0" w:lastRowLastColumn="0"/>
            <w:tcW w:w="3020" w:type="dxa"/>
          </w:tcPr>
          <w:p w14:paraId="724A8A87" w14:textId="77777777" w:rsidR="002F4FA6" w:rsidRPr="005B54EE" w:rsidRDefault="002F4FA6" w:rsidP="00635A2E">
            <w:r w:rsidRPr="005B54EE">
              <w:t>Residential</w:t>
            </w:r>
          </w:p>
        </w:tc>
        <w:tc>
          <w:tcPr>
            <w:tcW w:w="4346" w:type="dxa"/>
          </w:tcPr>
          <w:p w14:paraId="30B15527"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Menfis</w:t>
            </w:r>
          </w:p>
        </w:tc>
        <w:tc>
          <w:tcPr>
            <w:tcW w:w="1696" w:type="dxa"/>
          </w:tcPr>
          <w:p w14:paraId="1E1C999A"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CSTB</w:t>
            </w:r>
          </w:p>
        </w:tc>
      </w:tr>
      <w:tr w:rsidR="002F4FA6" w:rsidRPr="005B54EE" w14:paraId="0A4885A0"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37ED9D3" w14:textId="77777777" w:rsidR="002F4FA6" w:rsidRPr="005B54EE" w:rsidRDefault="002F4FA6" w:rsidP="00635A2E">
            <w:r w:rsidRPr="005B54EE">
              <w:t>Tertiary</w:t>
            </w:r>
          </w:p>
        </w:tc>
        <w:tc>
          <w:tcPr>
            <w:tcW w:w="4346" w:type="dxa"/>
          </w:tcPr>
          <w:p w14:paraId="24773C7C"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Tertiary model</w:t>
            </w:r>
          </w:p>
        </w:tc>
        <w:tc>
          <w:tcPr>
            <w:tcW w:w="1696" w:type="dxa"/>
          </w:tcPr>
          <w:p w14:paraId="0D5829CE"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CGDD</w:t>
            </w:r>
          </w:p>
        </w:tc>
      </w:tr>
      <w:tr w:rsidR="002F4FA6" w:rsidRPr="005B54EE" w14:paraId="317F967D" w14:textId="77777777" w:rsidTr="00635A2E">
        <w:tc>
          <w:tcPr>
            <w:cnfStyle w:val="001000000000" w:firstRow="0" w:lastRow="0" w:firstColumn="1" w:lastColumn="0" w:oddVBand="0" w:evenVBand="0" w:oddHBand="0" w:evenHBand="0" w:firstRowFirstColumn="0" w:firstRowLastColumn="0" w:lastRowFirstColumn="0" w:lastRowLastColumn="0"/>
            <w:tcW w:w="3020" w:type="dxa"/>
          </w:tcPr>
          <w:p w14:paraId="1B3B1109" w14:textId="77777777" w:rsidR="002F4FA6" w:rsidRPr="005B54EE" w:rsidRDefault="002F4FA6" w:rsidP="00635A2E">
            <w:r w:rsidRPr="005B54EE">
              <w:t>Excluding heating (residential and tertiary)</w:t>
            </w:r>
          </w:p>
        </w:tc>
        <w:tc>
          <w:tcPr>
            <w:tcW w:w="4346" w:type="dxa"/>
          </w:tcPr>
          <w:p w14:paraId="44094BCE"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GEStime*</w:t>
            </w:r>
          </w:p>
        </w:tc>
        <w:tc>
          <w:tcPr>
            <w:tcW w:w="1696" w:type="dxa"/>
          </w:tcPr>
          <w:p w14:paraId="33ADE6E4"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DGEC (French Directorate-General for Energy and Climate)</w:t>
            </w:r>
          </w:p>
        </w:tc>
      </w:tr>
      <w:tr w:rsidR="002F4FA6" w:rsidRPr="005B54EE" w14:paraId="6268C11F"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Merge w:val="restart"/>
          </w:tcPr>
          <w:p w14:paraId="06BD1533" w14:textId="77777777" w:rsidR="002F4FA6" w:rsidRPr="005B54EE" w:rsidRDefault="002F4FA6" w:rsidP="00635A2E">
            <w:r w:rsidRPr="005B54EE">
              <w:t>Transport</w:t>
            </w:r>
          </w:p>
        </w:tc>
        <w:tc>
          <w:tcPr>
            <w:tcW w:w="4346" w:type="dxa"/>
          </w:tcPr>
          <w:p w14:paraId="1EE30C90"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Modev (traffic)</w:t>
            </w:r>
          </w:p>
        </w:tc>
        <w:tc>
          <w:tcPr>
            <w:tcW w:w="1696" w:type="dxa"/>
          </w:tcPr>
          <w:p w14:paraId="0765AB49"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CGDD</w:t>
            </w:r>
          </w:p>
        </w:tc>
      </w:tr>
      <w:tr w:rsidR="002F4FA6" w:rsidRPr="005B54EE" w14:paraId="3FFB11A8" w14:textId="77777777" w:rsidTr="00635A2E">
        <w:tc>
          <w:tcPr>
            <w:cnfStyle w:val="001000000000" w:firstRow="0" w:lastRow="0" w:firstColumn="1" w:lastColumn="0" w:oddVBand="0" w:evenVBand="0" w:oddHBand="0" w:evenHBand="0" w:firstRowFirstColumn="0" w:firstRowLastColumn="0" w:lastRowFirstColumn="0" w:lastRowLastColumn="0"/>
            <w:tcW w:w="3020" w:type="dxa"/>
            <w:vMerge/>
          </w:tcPr>
          <w:p w14:paraId="67C5A58A" w14:textId="77777777" w:rsidR="002F4FA6" w:rsidRPr="005B54EE" w:rsidRDefault="002F4FA6" w:rsidP="00635A2E"/>
        </w:tc>
        <w:tc>
          <w:tcPr>
            <w:tcW w:w="4346" w:type="dxa"/>
          </w:tcPr>
          <w:p w14:paraId="246C92D3"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 xml:space="preserve">Private car type model* </w:t>
            </w:r>
          </w:p>
        </w:tc>
        <w:tc>
          <w:tcPr>
            <w:tcW w:w="1696" w:type="dxa"/>
          </w:tcPr>
          <w:p w14:paraId="74496D82"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DGITM</w:t>
            </w:r>
          </w:p>
        </w:tc>
      </w:tr>
      <w:tr w:rsidR="002F4FA6" w:rsidRPr="005B54EE" w14:paraId="07A1BE42"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Merge/>
          </w:tcPr>
          <w:p w14:paraId="1DE13692" w14:textId="77777777" w:rsidR="002F4FA6" w:rsidRPr="005B54EE" w:rsidRDefault="002F4FA6" w:rsidP="00635A2E"/>
        </w:tc>
        <w:tc>
          <w:tcPr>
            <w:tcW w:w="4346" w:type="dxa"/>
          </w:tcPr>
          <w:p w14:paraId="63F73F07"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Aviation*</w:t>
            </w:r>
          </w:p>
        </w:tc>
        <w:tc>
          <w:tcPr>
            <w:tcW w:w="1696" w:type="dxa"/>
          </w:tcPr>
          <w:p w14:paraId="1F39CE08"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DGAC</w:t>
            </w:r>
          </w:p>
        </w:tc>
      </w:tr>
      <w:tr w:rsidR="002F4FA6" w:rsidRPr="005B54EE" w14:paraId="011F9102" w14:textId="77777777" w:rsidTr="00635A2E">
        <w:tc>
          <w:tcPr>
            <w:cnfStyle w:val="001000000000" w:firstRow="0" w:lastRow="0" w:firstColumn="1" w:lastColumn="0" w:oddVBand="0" w:evenVBand="0" w:oddHBand="0" w:evenHBand="0" w:firstRowFirstColumn="0" w:firstRowLastColumn="0" w:lastRowFirstColumn="0" w:lastRowLastColumn="0"/>
            <w:tcW w:w="3020" w:type="dxa"/>
          </w:tcPr>
          <w:p w14:paraId="630CAA0A" w14:textId="77777777" w:rsidR="002F4FA6" w:rsidRPr="005B54EE" w:rsidRDefault="002F4FA6" w:rsidP="00635A2E">
            <w:r w:rsidRPr="005B54EE">
              <w:t>Industry</w:t>
            </w:r>
          </w:p>
        </w:tc>
        <w:tc>
          <w:tcPr>
            <w:tcW w:w="4346" w:type="dxa"/>
          </w:tcPr>
          <w:p w14:paraId="77E42715"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GEStime*</w:t>
            </w:r>
          </w:p>
        </w:tc>
        <w:tc>
          <w:tcPr>
            <w:tcW w:w="1696" w:type="dxa"/>
          </w:tcPr>
          <w:p w14:paraId="06BC4E96"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DGEC (French Directorate-General for Energy and Climate)</w:t>
            </w:r>
          </w:p>
        </w:tc>
      </w:tr>
      <w:tr w:rsidR="002F4FA6" w:rsidRPr="005B54EE" w14:paraId="7733727B"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30ABC44" w14:textId="77777777" w:rsidR="002F4FA6" w:rsidRPr="005B54EE" w:rsidRDefault="002F4FA6" w:rsidP="00635A2E">
            <w:r w:rsidRPr="005B54EE">
              <w:t>Energy production</w:t>
            </w:r>
          </w:p>
        </w:tc>
        <w:tc>
          <w:tcPr>
            <w:tcW w:w="4346" w:type="dxa"/>
          </w:tcPr>
          <w:p w14:paraId="3DE53B92"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GEStime*</w:t>
            </w:r>
          </w:p>
        </w:tc>
        <w:tc>
          <w:tcPr>
            <w:tcW w:w="1696" w:type="dxa"/>
          </w:tcPr>
          <w:p w14:paraId="1E2B1E3B"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DGEC (French Directorate-General for Energy and Climate)</w:t>
            </w:r>
          </w:p>
        </w:tc>
      </w:tr>
      <w:tr w:rsidR="002F4FA6" w:rsidRPr="005B54EE" w14:paraId="06D95090" w14:textId="77777777" w:rsidTr="00635A2E">
        <w:tc>
          <w:tcPr>
            <w:cnfStyle w:val="001000000000" w:firstRow="0" w:lastRow="0" w:firstColumn="1" w:lastColumn="0" w:oddVBand="0" w:evenVBand="0" w:oddHBand="0" w:evenHBand="0" w:firstRowFirstColumn="0" w:firstRowLastColumn="0" w:lastRowFirstColumn="0" w:lastRowLastColumn="0"/>
            <w:tcW w:w="3020" w:type="dxa"/>
          </w:tcPr>
          <w:p w14:paraId="0BBBC99B" w14:textId="77777777" w:rsidR="002F4FA6" w:rsidRPr="005B54EE" w:rsidRDefault="002F4FA6" w:rsidP="00635A2E">
            <w:r w:rsidRPr="005B54EE">
              <w:t>Waste</w:t>
            </w:r>
          </w:p>
        </w:tc>
        <w:tc>
          <w:tcPr>
            <w:tcW w:w="4346" w:type="dxa"/>
          </w:tcPr>
          <w:p w14:paraId="3E31E898"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CITEPA module</w:t>
            </w:r>
          </w:p>
        </w:tc>
        <w:tc>
          <w:tcPr>
            <w:tcW w:w="1696" w:type="dxa"/>
          </w:tcPr>
          <w:p w14:paraId="1BB4EC48"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CITEPA</w:t>
            </w:r>
          </w:p>
        </w:tc>
      </w:tr>
      <w:tr w:rsidR="002F4FA6" w:rsidRPr="005B54EE" w14:paraId="3F5DF8DE" w14:textId="77777777" w:rsidTr="00635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9F465F3" w14:textId="77777777" w:rsidR="002F4FA6" w:rsidRPr="005B54EE" w:rsidRDefault="002F4FA6" w:rsidP="00635A2E">
            <w:r w:rsidRPr="005B54EE">
              <w:t>F-Gas</w:t>
            </w:r>
          </w:p>
        </w:tc>
        <w:tc>
          <w:tcPr>
            <w:tcW w:w="4346" w:type="dxa"/>
          </w:tcPr>
          <w:p w14:paraId="0FF7F99E"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CITEPA module</w:t>
            </w:r>
          </w:p>
        </w:tc>
        <w:tc>
          <w:tcPr>
            <w:tcW w:w="1696" w:type="dxa"/>
          </w:tcPr>
          <w:p w14:paraId="372FC9D0" w14:textId="77777777" w:rsidR="002F4FA6" w:rsidRPr="005B54EE" w:rsidRDefault="002F4FA6" w:rsidP="00635A2E">
            <w:pPr>
              <w:cnfStyle w:val="000000100000" w:firstRow="0" w:lastRow="0" w:firstColumn="0" w:lastColumn="0" w:oddVBand="0" w:evenVBand="0" w:oddHBand="1" w:evenHBand="0" w:firstRowFirstColumn="0" w:firstRowLastColumn="0" w:lastRowFirstColumn="0" w:lastRowLastColumn="0"/>
            </w:pPr>
            <w:r w:rsidRPr="005B54EE">
              <w:t>CITEPA</w:t>
            </w:r>
          </w:p>
        </w:tc>
      </w:tr>
      <w:tr w:rsidR="002F4FA6" w:rsidRPr="005B54EE" w14:paraId="4BA56198" w14:textId="77777777" w:rsidTr="00635A2E">
        <w:tc>
          <w:tcPr>
            <w:cnfStyle w:val="001000000000" w:firstRow="0" w:lastRow="0" w:firstColumn="1" w:lastColumn="0" w:oddVBand="0" w:evenVBand="0" w:oddHBand="0" w:evenHBand="0" w:firstRowFirstColumn="0" w:firstRowLastColumn="0" w:lastRowFirstColumn="0" w:lastRowLastColumn="0"/>
            <w:tcW w:w="3020" w:type="dxa"/>
          </w:tcPr>
          <w:p w14:paraId="1321415B" w14:textId="77777777" w:rsidR="002F4FA6" w:rsidRPr="005B54EE" w:rsidRDefault="002F4FA6" w:rsidP="00635A2E">
            <w:r w:rsidRPr="005B54EE">
              <w:t>GHG aggregations</w:t>
            </w:r>
          </w:p>
        </w:tc>
        <w:tc>
          <w:tcPr>
            <w:tcW w:w="4346" w:type="dxa"/>
          </w:tcPr>
          <w:p w14:paraId="7DD4F854"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CITEPA modules</w:t>
            </w:r>
          </w:p>
        </w:tc>
        <w:tc>
          <w:tcPr>
            <w:tcW w:w="1696" w:type="dxa"/>
          </w:tcPr>
          <w:p w14:paraId="6E479829" w14:textId="77777777" w:rsidR="002F4FA6" w:rsidRPr="005B54EE" w:rsidRDefault="002F4FA6" w:rsidP="00635A2E">
            <w:pPr>
              <w:cnfStyle w:val="000000000000" w:firstRow="0" w:lastRow="0" w:firstColumn="0" w:lastColumn="0" w:oddVBand="0" w:evenVBand="0" w:oddHBand="0" w:evenHBand="0" w:firstRowFirstColumn="0" w:firstRowLastColumn="0" w:lastRowFirstColumn="0" w:lastRowLastColumn="0"/>
            </w:pPr>
            <w:r w:rsidRPr="005B54EE">
              <w:t>CITEPA</w:t>
            </w:r>
          </w:p>
        </w:tc>
      </w:tr>
    </w:tbl>
    <w:p w14:paraId="229DD212" w14:textId="77777777" w:rsidR="002F4FA6" w:rsidRPr="005B54EE" w:rsidRDefault="002F4FA6" w:rsidP="002F4FA6">
      <w:r w:rsidRPr="005B54EE">
        <w:t>* new AME 2021</w:t>
      </w:r>
    </w:p>
    <w:p w14:paraId="1B90CBD1" w14:textId="3BCC56E7" w:rsidR="002F4FA6" w:rsidRPr="005B54EE" w:rsidRDefault="002F4FA6" w:rsidP="002F4FA6">
      <w:pPr>
        <w:pStyle w:val="Caption"/>
      </w:pPr>
      <w:bookmarkStart w:id="136" w:name="_Toc122694457"/>
      <w:bookmarkStart w:id="137" w:name="_Toc124153739"/>
      <w:r w:rsidRPr="005B54EE">
        <w:t xml:space="preserve">Table </w:t>
      </w:r>
      <w:r w:rsidR="00C73940">
        <w:fldChar w:fldCharType="begin"/>
      </w:r>
      <w:r w:rsidR="00C73940">
        <w:instrText xml:space="preserve"> SEQ Tableau \* ARABIC </w:instrText>
      </w:r>
      <w:r w:rsidR="00C73940">
        <w:fldChar w:fldCharType="separate"/>
      </w:r>
      <w:r w:rsidR="005B1C45">
        <w:rPr>
          <w:noProof/>
        </w:rPr>
        <w:t>25</w:t>
      </w:r>
      <w:r w:rsidR="00C73940">
        <w:rPr>
          <w:noProof/>
        </w:rPr>
        <w:fldChar w:fldCharType="end"/>
      </w:r>
      <w:r w:rsidRPr="005B54EE">
        <w:t>: Details of the tools and models used</w:t>
      </w:r>
      <w:bookmarkEnd w:id="136"/>
      <w:bookmarkEnd w:id="137"/>
      <w:r w:rsidR="00DA7D12">
        <w:rPr>
          <w:rStyle w:val="FootnoteReference"/>
        </w:rPr>
        <w:footnoteReference w:id="18"/>
      </w:r>
    </w:p>
    <w:p w14:paraId="1CE7CB26" w14:textId="38967D57" w:rsidR="002F4FA6" w:rsidRDefault="002F4FA6" w:rsidP="002F4FA6">
      <w:pPr>
        <w:pStyle w:val="Caption"/>
      </w:pPr>
      <w:r w:rsidRPr="005B54EE">
        <w:t>Source: MTE/DGEC</w:t>
      </w:r>
    </w:p>
    <w:p w14:paraId="00533B4A" w14:textId="231EC270" w:rsidR="00DA7D12" w:rsidRDefault="00DA7D12" w:rsidP="00C50CEB"/>
    <w:p w14:paraId="5083E62C" w14:textId="77777777" w:rsidR="00DA7D12" w:rsidRPr="00913449" w:rsidRDefault="00DA7D12" w:rsidP="00DA7D12">
      <w:r>
        <w:t>A report describing all the assumptions and the modelling process for AME 2021 is available in French</w:t>
      </w:r>
      <w:r>
        <w:rPr>
          <w:rStyle w:val="FootnoteReference"/>
        </w:rPr>
        <w:footnoteReference w:id="19"/>
      </w:r>
      <w:r>
        <w:t>. It also contains detailed information about the difference between AME2018 (BR4) and AME 2021 (BR5).</w:t>
      </w:r>
    </w:p>
    <w:p w14:paraId="6E161601" w14:textId="77777777" w:rsidR="00DA7D12" w:rsidRPr="00A46044" w:rsidRDefault="00DA7D12" w:rsidP="00C50CEB"/>
    <w:p w14:paraId="03692974" w14:textId="77777777" w:rsidR="002F4FA6" w:rsidRPr="005B54EE" w:rsidRDefault="002F4FA6" w:rsidP="002F4FA6">
      <w:pPr>
        <w:pStyle w:val="Titre4niveau4"/>
        <w:spacing w:before="240"/>
        <w:rPr>
          <w:rFonts w:asciiTheme="minorHAnsi" w:hAnsiTheme="minorHAnsi"/>
          <w:sz w:val="19"/>
        </w:rPr>
      </w:pPr>
      <w:r w:rsidRPr="005B54EE">
        <w:t xml:space="preserve">Sectoral models </w:t>
      </w:r>
    </w:p>
    <w:p w14:paraId="746806E7" w14:textId="77777777" w:rsidR="002F4FA6" w:rsidRPr="005B54EE" w:rsidRDefault="002F4FA6" w:rsidP="002F4FA6">
      <w:pPr>
        <w:pStyle w:val="titreencadre"/>
        <w:spacing w:before="120" w:after="60" w:line="240" w:lineRule="auto"/>
      </w:pPr>
      <w:r w:rsidRPr="005B54EE">
        <w:t xml:space="preserve">Modelling the transport sector </w:t>
      </w:r>
    </w:p>
    <w:p w14:paraId="55DDBBDC" w14:textId="77777777" w:rsidR="002F4FA6" w:rsidRPr="005B54EE" w:rsidRDefault="002F4FA6" w:rsidP="002F4FA6">
      <w:pPr>
        <w:spacing w:before="240" w:after="240"/>
      </w:pPr>
      <w:r w:rsidRPr="005B54EE">
        <w:t xml:space="preserve">Traffic projections are based on the Modev model of the Commissariat Général au Développement Durable (French General Commission for Sustainable Development). Modev model changes in passenger and freight traffic as a function of demographic and economic growth variables (GDP, final household consumption, sectoral added value), changes in transport infrastructure and services, and the prices of the various modes of transport. Modev models changes to the overall demand for transport (passengers and goods) as well as changes to the modal split between the different modes of transport and the traffic on the network. </w:t>
      </w:r>
    </w:p>
    <w:p w14:paraId="367CCF26" w14:textId="77777777" w:rsidR="002F4FA6" w:rsidRPr="005B54EE" w:rsidRDefault="002F4FA6" w:rsidP="002F4FA6">
      <w:pPr>
        <w:spacing w:before="240" w:after="240"/>
      </w:pPr>
      <w:r w:rsidRPr="005B54EE">
        <w:t xml:space="preserve">The traffic modelling is completed with models of vehicle fleets which include, in particular, a modelling of the spread of electric vehicles and changes to the distribution of diesel/petrol engines, according to hypotheses on changes to cost of vehicles and batteries and changes in the unit consumption of the various types of vehicles. </w:t>
      </w:r>
    </w:p>
    <w:p w14:paraId="6D23B1AE" w14:textId="77777777" w:rsidR="002F4FA6" w:rsidRPr="005B54EE" w:rsidRDefault="002F4FA6" w:rsidP="002F4FA6">
      <w:pPr>
        <w:pStyle w:val="titreencadre"/>
        <w:spacing w:before="120" w:after="60" w:line="240" w:lineRule="auto"/>
      </w:pPr>
      <w:r w:rsidRPr="005B54EE">
        <w:t xml:space="preserve">Modelling the building sector </w:t>
      </w:r>
    </w:p>
    <w:p w14:paraId="0D6447FD" w14:textId="77777777" w:rsidR="002F4FA6" w:rsidRPr="005B54EE" w:rsidRDefault="002F4FA6" w:rsidP="002F4FA6">
      <w:pPr>
        <w:spacing w:before="240" w:after="240"/>
      </w:pPr>
      <w:r w:rsidRPr="005B54EE">
        <w:t xml:space="preserve">The residential sector is modelled with the Menfis model managed by the CSTB (Higher Technical Building Council). The Menfis model models changes in the energy performance of the stock of residential buildings annually from 2008 to 2050. The energy performance dynamics are obtained by renovation, destruction of buildings, and new constructions. Renovation processes are central to Menfis. With technical-economic calculations, Menfis determines annually which parts of the building can be renovated and at which energy performance level. By modelling the rebound effect, it predicts changes in energy consumption and greenhouse gas emissions. </w:t>
      </w:r>
    </w:p>
    <w:p w14:paraId="5B2A7E6A" w14:textId="77777777" w:rsidR="002F4FA6" w:rsidRPr="005B54EE" w:rsidRDefault="002F4FA6" w:rsidP="002F4FA6">
      <w:pPr>
        <w:spacing w:before="240" w:after="240"/>
      </w:pPr>
      <w:r w:rsidRPr="005B54EE">
        <w:t xml:space="preserve">The tertiary sector was modelled by the CGDD using the Énergies Demain Enerter® Tertiaire tool, which evaluates the energy consumption of tertiary buildings and estimates the impact of rehabilitation measures on this stock. </w:t>
      </w:r>
    </w:p>
    <w:p w14:paraId="0840899E" w14:textId="77777777" w:rsidR="002F4FA6" w:rsidRPr="005B54EE" w:rsidRDefault="002F4FA6" w:rsidP="002F4FA6">
      <w:pPr>
        <w:pStyle w:val="titreencadre"/>
        <w:spacing w:before="120" w:after="60" w:line="240" w:lineRule="auto"/>
      </w:pPr>
      <w:r w:rsidRPr="005B54EE">
        <w:t xml:space="preserve">Modelling the agriculture and forestry sector </w:t>
      </w:r>
    </w:p>
    <w:p w14:paraId="2EEC3576" w14:textId="77777777" w:rsidR="002F4FA6" w:rsidRPr="005B54EE" w:rsidRDefault="002F4FA6" w:rsidP="002F4FA6">
      <w:pPr>
        <w:spacing w:before="240" w:after="240"/>
      </w:pPr>
      <w:r w:rsidRPr="005B54EE">
        <w:t xml:space="preserve">The agriculture and forestry sector was modelled by Citepa using the ClimAgri® model initially developed in 2009 by Solagro and Bio Intelligence Service for ADEME. ClimAgri models energy consumption and greenhouse gases in the agricultural sector based on assumptions about the characteristics of crop production (description of production, inputs, technical practices and itineraries, yields) and bioconversions, i.e. the transformation of fodder and concentrates into the production of eggs, milk and meat, by describing livestock, inputs and breeding practices. </w:t>
      </w:r>
    </w:p>
    <w:p w14:paraId="36CBB926" w14:textId="77777777" w:rsidR="002F4FA6" w:rsidRPr="005B54EE" w:rsidRDefault="002F4FA6" w:rsidP="002F4FA6">
      <w:pPr>
        <w:pStyle w:val="titreencadre"/>
        <w:spacing w:before="120" w:after="60" w:line="240" w:lineRule="auto"/>
      </w:pPr>
      <w:r w:rsidRPr="005B54EE">
        <w:t xml:space="preserve">Modelling the industrial sector </w:t>
      </w:r>
    </w:p>
    <w:p w14:paraId="408AB302" w14:textId="77777777" w:rsidR="002F4FA6" w:rsidRPr="005B54EE" w:rsidRDefault="002F4FA6" w:rsidP="002F4FA6">
      <w:pPr>
        <w:spacing w:before="240" w:after="240"/>
      </w:pPr>
      <w:r w:rsidRPr="005B54EE">
        <w:t>Changes in tonnages, energy performance, recycling rates and mix developed in the previous scenarios were updated by a group of experts, taking into account recent developments in the sector. The associated energy consumption was calculated using the GEStime tool.</w:t>
      </w:r>
    </w:p>
    <w:p w14:paraId="24022327" w14:textId="77777777" w:rsidR="002F4FA6" w:rsidRPr="005B54EE" w:rsidRDefault="002F4FA6" w:rsidP="002F4FA6">
      <w:pPr>
        <w:pStyle w:val="titreencadre"/>
        <w:spacing w:before="120" w:after="60" w:line="240" w:lineRule="auto"/>
      </w:pPr>
      <w:r w:rsidRPr="005B54EE">
        <w:t xml:space="preserve">Modelling of fluorinated gases </w:t>
      </w:r>
    </w:p>
    <w:p w14:paraId="010B5754" w14:textId="77777777" w:rsidR="002F4FA6" w:rsidRPr="005B54EE" w:rsidRDefault="002F4FA6" w:rsidP="002F4FA6">
      <w:pPr>
        <w:spacing w:before="240" w:after="240"/>
      </w:pPr>
      <w:r w:rsidRPr="005B54EE">
        <w:t xml:space="preserve">For the F-Gas sector, an assessment of HFC emissions was carried out using the RIEP software developed by the Energy and Processes Centre of MINES ParisTech. In the RIEP software, equipment containing fluorinated gases is grouped into eight application areas: domestic refrigeration, commercial refrigeration, refrigerated transport, industry, air conditioning, chillers, on-board air conditioning (including automotive air conditioning) and heat pumps. Each database describes, for 41 equipment sub-sectors, the national markets and production of equipment, the technical characteristics of the equipment (related to load, installed power, lifetime, etc.) as well as the emission levels and recovery efficiency of the maintenance and end-of-life channels. Market and production data are taken from statistical sources available for mainland France and referenced in the French Inventory studies that are updated each year. The other hypotheses are derived from the results of field surveys, communications from equipment manufacturers, results of experimental measurements and expert assessments. </w:t>
      </w:r>
    </w:p>
    <w:p w14:paraId="2B21E1EC" w14:textId="77777777" w:rsidR="002F4FA6" w:rsidRPr="005B54EE" w:rsidRDefault="002F4FA6" w:rsidP="002F4FA6">
      <w:pPr>
        <w:pStyle w:val="Titre4niveau4"/>
        <w:spacing w:before="240"/>
      </w:pPr>
      <w:r w:rsidRPr="005B54EE">
        <w:t xml:space="preserve">Modelling energy scenarios </w:t>
      </w:r>
    </w:p>
    <w:p w14:paraId="4DE4DB40" w14:textId="77777777" w:rsidR="002F4FA6" w:rsidRPr="005B54EE" w:rsidRDefault="002F4FA6" w:rsidP="002F4FA6">
      <w:pPr>
        <w:spacing w:before="240" w:after="240"/>
      </w:pPr>
      <w:r w:rsidRPr="005B54EE">
        <w:t xml:space="preserve">The GEStime tool, developed internally by the DGEC, was used to aggregate energy consumption and to model changes in the energy sector in 5-year steps. </w:t>
      </w:r>
    </w:p>
    <w:p w14:paraId="5FBBF449" w14:textId="77777777" w:rsidR="002F4FA6" w:rsidRPr="005B54EE" w:rsidRDefault="002F4FA6" w:rsidP="002F4FA6">
      <w:pPr>
        <w:pStyle w:val="Titre4niveau4"/>
        <w:spacing w:before="240"/>
      </w:pPr>
      <w:r w:rsidRPr="005B54EE">
        <w:t xml:space="preserve">Modelling greenhouse gas emissions </w:t>
      </w:r>
    </w:p>
    <w:p w14:paraId="4897885C" w14:textId="77777777" w:rsidR="002F4FA6" w:rsidRPr="005B54EE" w:rsidRDefault="002F4FA6" w:rsidP="002F4FA6">
      <w:pPr>
        <w:spacing w:before="240" w:after="240"/>
      </w:pPr>
      <w:r w:rsidRPr="005B54EE">
        <w:t xml:space="preserve">Based on the activity scenarios described above, Citepa developed emission projection scenarios up to 2050. The emission projections are consistent with the national greenhouse gas emission inventory submitted to the UNFCCC. The methods used to convert activity data into emissions are therefore consistent with the inventory report. </w:t>
      </w:r>
    </w:p>
    <w:p w14:paraId="78570437" w14:textId="77777777" w:rsidR="002F4FA6" w:rsidRPr="005B54EE" w:rsidRDefault="002F4FA6" w:rsidP="00B04A7C">
      <w:pPr>
        <w:pStyle w:val="Titre3Niveau3"/>
      </w:pPr>
      <w:bookmarkStart w:id="138" w:name="_Toc121215538"/>
      <w:bookmarkStart w:id="139" w:name="_Toc122694265"/>
      <w:bookmarkStart w:id="140" w:name="_Toc138344702"/>
      <w:r w:rsidRPr="005B54EE">
        <w:t>Baseline scenario assumptions</w:t>
      </w:r>
      <w:bookmarkEnd w:id="138"/>
      <w:bookmarkEnd w:id="139"/>
      <w:bookmarkEnd w:id="140"/>
      <w:r w:rsidRPr="005B54EE">
        <w:t xml:space="preserve"> </w:t>
      </w:r>
    </w:p>
    <w:p w14:paraId="33148340" w14:textId="124EEA25" w:rsidR="00734366" w:rsidRPr="00364545" w:rsidRDefault="00734366" w:rsidP="00734366">
      <w:pPr>
        <w:spacing w:before="240" w:after="240"/>
      </w:pPr>
      <w:r w:rsidRPr="00364545">
        <w:t>The economic framework used to develop the scenarios is as follows</w:t>
      </w:r>
      <w:r>
        <w:t>. It is important to note that the assumptions are different between the AMS and the AME scenario, as the scenarios were not designed at the same time.  Moreover, CTF table 5 contains the assumptions relative to the AME21 scenario.</w:t>
      </w:r>
    </w:p>
    <w:p w14:paraId="3D49A72B" w14:textId="77777777" w:rsidR="002F4FA6" w:rsidRPr="005B54EE" w:rsidRDefault="002F4FA6" w:rsidP="002F4FA6">
      <w:pPr>
        <w:spacing w:before="240" w:after="240"/>
      </w:pPr>
      <w:r w:rsidRPr="005B54EE">
        <w:t xml:space="preserve"> </w:t>
      </w:r>
    </w:p>
    <w:p w14:paraId="4D9EF9C2" w14:textId="77777777" w:rsidR="002F4FA6" w:rsidRPr="005B54EE" w:rsidRDefault="002F4FA6" w:rsidP="002F4FA6">
      <w:pPr>
        <w:pStyle w:val="Titre4niveau4"/>
        <w:spacing w:before="240"/>
      </w:pPr>
      <w:r w:rsidRPr="005B54EE">
        <w:t xml:space="preserve">Assumptions about changes to energy prices </w:t>
      </w:r>
    </w:p>
    <w:p w14:paraId="66E058D9" w14:textId="77777777" w:rsidR="002F4FA6" w:rsidRPr="005B54EE" w:rsidRDefault="002F4FA6" w:rsidP="002F4FA6">
      <w:pPr>
        <w:spacing w:before="240" w:after="240"/>
      </w:pPr>
      <w:r w:rsidRPr="005B54EE">
        <w:t xml:space="preserve">The assumptions used for the price of fossil fuels come from the economic framework proposed by the European Commission to all EU countries. </w:t>
      </w:r>
    </w:p>
    <w:tbl>
      <w:tblPr>
        <w:tblStyle w:val="TableGrid0"/>
        <w:tblW w:w="9941" w:type="dxa"/>
        <w:tblInd w:w="3" w:type="dxa"/>
        <w:tblCellMar>
          <w:top w:w="131" w:type="dxa"/>
          <w:left w:w="28" w:type="dxa"/>
          <w:right w:w="115" w:type="dxa"/>
        </w:tblCellMar>
        <w:tblLook w:val="04A0" w:firstRow="1" w:lastRow="0" w:firstColumn="1" w:lastColumn="0" w:noHBand="0" w:noVBand="1"/>
      </w:tblPr>
      <w:tblGrid>
        <w:gridCol w:w="3791"/>
        <w:gridCol w:w="1046"/>
        <w:gridCol w:w="1047"/>
        <w:gridCol w:w="1047"/>
        <w:gridCol w:w="1048"/>
        <w:gridCol w:w="981"/>
        <w:gridCol w:w="981"/>
      </w:tblGrid>
      <w:tr w:rsidR="002F4FA6" w:rsidRPr="005B54EE" w14:paraId="566BE136" w14:textId="77777777" w:rsidTr="00635A2E">
        <w:trPr>
          <w:trHeight w:val="389"/>
        </w:trPr>
        <w:tc>
          <w:tcPr>
            <w:tcW w:w="3791" w:type="dxa"/>
            <w:tcBorders>
              <w:top w:val="single" w:sz="2" w:space="0" w:color="000000"/>
              <w:left w:val="single" w:sz="2" w:space="0" w:color="000000"/>
              <w:bottom w:val="single" w:sz="2" w:space="0" w:color="000000"/>
              <w:right w:val="single" w:sz="2" w:space="0" w:color="000000"/>
            </w:tcBorders>
            <w:shd w:val="clear" w:color="auto" w:fill="6D2A78"/>
          </w:tcPr>
          <w:p w14:paraId="47BD60B6" w14:textId="77777777" w:rsidR="002F4FA6" w:rsidRPr="005B54EE" w:rsidRDefault="002F4FA6" w:rsidP="00635A2E">
            <w:pPr>
              <w:spacing w:line="259" w:lineRule="auto"/>
              <w:ind w:left="136"/>
              <w:jc w:val="center"/>
            </w:pPr>
            <w:r w:rsidRPr="005B54EE">
              <w:t>AME 2021</w:t>
            </w:r>
          </w:p>
        </w:tc>
        <w:tc>
          <w:tcPr>
            <w:tcW w:w="1046" w:type="dxa"/>
            <w:tcBorders>
              <w:top w:val="single" w:sz="2" w:space="0" w:color="000000"/>
              <w:left w:val="single" w:sz="2" w:space="0" w:color="000000"/>
              <w:bottom w:val="single" w:sz="2" w:space="0" w:color="000000"/>
              <w:right w:val="single" w:sz="2" w:space="0" w:color="000000"/>
            </w:tcBorders>
            <w:shd w:val="clear" w:color="auto" w:fill="6D2A78"/>
          </w:tcPr>
          <w:p w14:paraId="473404D4" w14:textId="77777777" w:rsidR="002F4FA6" w:rsidRPr="005B54EE" w:rsidRDefault="002F4FA6" w:rsidP="00635A2E">
            <w:pPr>
              <w:spacing w:line="259" w:lineRule="auto"/>
              <w:ind w:left="88"/>
              <w:jc w:val="center"/>
            </w:pPr>
            <w:r w:rsidRPr="005B54EE">
              <w:rPr>
                <w:b/>
                <w:color w:val="FFFFFF"/>
                <w:sz w:val="18"/>
              </w:rPr>
              <w:t xml:space="preserve">2020 </w:t>
            </w:r>
          </w:p>
        </w:tc>
        <w:tc>
          <w:tcPr>
            <w:tcW w:w="1047" w:type="dxa"/>
            <w:tcBorders>
              <w:top w:val="single" w:sz="2" w:space="0" w:color="000000"/>
              <w:left w:val="single" w:sz="2" w:space="0" w:color="000000"/>
              <w:bottom w:val="single" w:sz="2" w:space="0" w:color="000000"/>
              <w:right w:val="single" w:sz="2" w:space="0" w:color="000000"/>
            </w:tcBorders>
            <w:shd w:val="clear" w:color="auto" w:fill="6D2A78"/>
          </w:tcPr>
          <w:p w14:paraId="31AA0345" w14:textId="77777777" w:rsidR="002F4FA6" w:rsidRPr="005B54EE" w:rsidRDefault="002F4FA6" w:rsidP="00635A2E">
            <w:pPr>
              <w:spacing w:line="259" w:lineRule="auto"/>
              <w:ind w:left="86"/>
              <w:jc w:val="center"/>
            </w:pPr>
            <w:r w:rsidRPr="005B54EE">
              <w:rPr>
                <w:b/>
                <w:color w:val="FFFFFF"/>
                <w:sz w:val="18"/>
              </w:rPr>
              <w:t xml:space="preserve">2025 </w:t>
            </w:r>
          </w:p>
        </w:tc>
        <w:tc>
          <w:tcPr>
            <w:tcW w:w="1047" w:type="dxa"/>
            <w:tcBorders>
              <w:top w:val="single" w:sz="2" w:space="0" w:color="000000"/>
              <w:left w:val="single" w:sz="2" w:space="0" w:color="000000"/>
              <w:bottom w:val="single" w:sz="2" w:space="0" w:color="000000"/>
              <w:right w:val="single" w:sz="2" w:space="0" w:color="000000"/>
            </w:tcBorders>
            <w:shd w:val="clear" w:color="auto" w:fill="6D2A78"/>
          </w:tcPr>
          <w:p w14:paraId="624C4821" w14:textId="77777777" w:rsidR="002F4FA6" w:rsidRPr="005B54EE" w:rsidRDefault="002F4FA6" w:rsidP="00635A2E">
            <w:pPr>
              <w:spacing w:line="259" w:lineRule="auto"/>
              <w:ind w:left="87"/>
              <w:jc w:val="center"/>
            </w:pPr>
            <w:r w:rsidRPr="005B54EE">
              <w:rPr>
                <w:b/>
                <w:color w:val="FFFFFF"/>
                <w:sz w:val="18"/>
              </w:rPr>
              <w:t xml:space="preserve">2030 </w:t>
            </w:r>
          </w:p>
        </w:tc>
        <w:tc>
          <w:tcPr>
            <w:tcW w:w="1048" w:type="dxa"/>
            <w:tcBorders>
              <w:top w:val="single" w:sz="2" w:space="0" w:color="000000"/>
              <w:left w:val="single" w:sz="2" w:space="0" w:color="000000"/>
              <w:bottom w:val="single" w:sz="2" w:space="0" w:color="000000"/>
              <w:right w:val="single" w:sz="2" w:space="0" w:color="000000"/>
            </w:tcBorders>
            <w:shd w:val="clear" w:color="auto" w:fill="6D2A78"/>
          </w:tcPr>
          <w:p w14:paraId="23780091" w14:textId="77777777" w:rsidR="002F4FA6" w:rsidRPr="005B54EE" w:rsidRDefault="002F4FA6" w:rsidP="00635A2E">
            <w:pPr>
              <w:spacing w:line="259" w:lineRule="auto"/>
              <w:ind w:left="86"/>
              <w:jc w:val="center"/>
            </w:pPr>
            <w:r w:rsidRPr="005B54EE">
              <w:rPr>
                <w:b/>
                <w:color w:val="FFFFFF"/>
                <w:sz w:val="18"/>
              </w:rPr>
              <w:t xml:space="preserve">2035 </w:t>
            </w:r>
          </w:p>
        </w:tc>
        <w:tc>
          <w:tcPr>
            <w:tcW w:w="981" w:type="dxa"/>
            <w:tcBorders>
              <w:top w:val="single" w:sz="2" w:space="0" w:color="000000"/>
              <w:left w:val="single" w:sz="2" w:space="0" w:color="000000"/>
              <w:bottom w:val="single" w:sz="2" w:space="0" w:color="000000"/>
              <w:right w:val="single" w:sz="2" w:space="0" w:color="000000"/>
            </w:tcBorders>
            <w:shd w:val="clear" w:color="auto" w:fill="6D2A78"/>
          </w:tcPr>
          <w:p w14:paraId="4DBA87B4" w14:textId="77777777" w:rsidR="002F4FA6" w:rsidRPr="005B54EE" w:rsidRDefault="002F4FA6" w:rsidP="00635A2E">
            <w:pPr>
              <w:spacing w:line="259" w:lineRule="auto"/>
              <w:ind w:left="86"/>
              <w:jc w:val="center"/>
              <w:rPr>
                <w:b/>
                <w:color w:val="FFFFFF"/>
                <w:sz w:val="18"/>
              </w:rPr>
            </w:pPr>
            <w:r w:rsidRPr="005B54EE">
              <w:rPr>
                <w:b/>
                <w:color w:val="FFFFFF"/>
                <w:sz w:val="18"/>
              </w:rPr>
              <w:t>2040</w:t>
            </w:r>
          </w:p>
        </w:tc>
        <w:tc>
          <w:tcPr>
            <w:tcW w:w="981" w:type="dxa"/>
            <w:tcBorders>
              <w:top w:val="single" w:sz="2" w:space="0" w:color="000000"/>
              <w:left w:val="single" w:sz="2" w:space="0" w:color="000000"/>
              <w:bottom w:val="single" w:sz="2" w:space="0" w:color="000000"/>
              <w:right w:val="single" w:sz="2" w:space="0" w:color="000000"/>
            </w:tcBorders>
            <w:shd w:val="clear" w:color="auto" w:fill="6D2A78"/>
          </w:tcPr>
          <w:p w14:paraId="07F4D3BE" w14:textId="77777777" w:rsidR="002F4FA6" w:rsidRPr="005B54EE" w:rsidRDefault="002F4FA6" w:rsidP="00635A2E">
            <w:pPr>
              <w:spacing w:line="259" w:lineRule="auto"/>
              <w:ind w:left="86"/>
              <w:jc w:val="center"/>
              <w:rPr>
                <w:b/>
                <w:color w:val="FFFFFF"/>
                <w:sz w:val="18"/>
              </w:rPr>
            </w:pPr>
            <w:r w:rsidRPr="005B54EE">
              <w:rPr>
                <w:b/>
                <w:color w:val="FFFFFF"/>
                <w:sz w:val="18"/>
              </w:rPr>
              <w:t>2050</w:t>
            </w:r>
          </w:p>
        </w:tc>
      </w:tr>
      <w:tr w:rsidR="002F4FA6" w:rsidRPr="005B54EE" w14:paraId="2C6A9E64" w14:textId="77777777" w:rsidTr="00635A2E">
        <w:trPr>
          <w:trHeight w:val="407"/>
        </w:trPr>
        <w:tc>
          <w:tcPr>
            <w:tcW w:w="3791" w:type="dxa"/>
            <w:tcBorders>
              <w:top w:val="single" w:sz="2" w:space="0" w:color="000000"/>
              <w:left w:val="single" w:sz="2" w:space="0" w:color="000000"/>
              <w:bottom w:val="single" w:sz="2" w:space="0" w:color="000000"/>
              <w:right w:val="single" w:sz="2" w:space="0" w:color="000000"/>
            </w:tcBorders>
          </w:tcPr>
          <w:p w14:paraId="03ABAF82" w14:textId="77777777" w:rsidR="002F4FA6" w:rsidRPr="005B54EE" w:rsidRDefault="002F4FA6" w:rsidP="00635A2E">
            <w:pPr>
              <w:spacing w:line="259" w:lineRule="auto"/>
            </w:pPr>
            <w:r w:rsidRPr="005B54EE">
              <w:rPr>
                <w:sz w:val="18"/>
              </w:rPr>
              <w:t xml:space="preserve">Oil (Brent crude oil) </w:t>
            </w:r>
          </w:p>
        </w:tc>
        <w:tc>
          <w:tcPr>
            <w:tcW w:w="1046" w:type="dxa"/>
            <w:tcBorders>
              <w:top w:val="single" w:sz="2" w:space="0" w:color="000000"/>
              <w:left w:val="single" w:sz="2" w:space="0" w:color="000000"/>
              <w:bottom w:val="single" w:sz="2" w:space="0" w:color="000000"/>
              <w:right w:val="single" w:sz="2" w:space="0" w:color="000000"/>
            </w:tcBorders>
          </w:tcPr>
          <w:p w14:paraId="6C78CE5D" w14:textId="77777777" w:rsidR="002F4FA6" w:rsidRPr="005B54EE" w:rsidRDefault="002F4FA6" w:rsidP="00635A2E">
            <w:pPr>
              <w:spacing w:line="259" w:lineRule="auto"/>
              <w:ind w:left="91"/>
              <w:jc w:val="center"/>
            </w:pPr>
            <w:r w:rsidRPr="005B54EE">
              <w:t>38</w:t>
            </w:r>
          </w:p>
        </w:tc>
        <w:tc>
          <w:tcPr>
            <w:tcW w:w="1047" w:type="dxa"/>
            <w:tcBorders>
              <w:top w:val="single" w:sz="2" w:space="0" w:color="000000"/>
              <w:left w:val="single" w:sz="2" w:space="0" w:color="000000"/>
              <w:bottom w:val="single" w:sz="2" w:space="0" w:color="000000"/>
              <w:right w:val="single" w:sz="2" w:space="0" w:color="000000"/>
            </w:tcBorders>
          </w:tcPr>
          <w:p w14:paraId="7191B234" w14:textId="77777777" w:rsidR="002F4FA6" w:rsidRPr="005B54EE" w:rsidRDefault="002F4FA6" w:rsidP="00635A2E">
            <w:pPr>
              <w:spacing w:line="259" w:lineRule="auto"/>
              <w:ind w:left="88"/>
              <w:jc w:val="center"/>
            </w:pPr>
            <w:r w:rsidRPr="005B54EE">
              <w:t>67.4</w:t>
            </w:r>
          </w:p>
        </w:tc>
        <w:tc>
          <w:tcPr>
            <w:tcW w:w="1047" w:type="dxa"/>
            <w:tcBorders>
              <w:top w:val="single" w:sz="2" w:space="0" w:color="000000"/>
              <w:left w:val="single" w:sz="2" w:space="0" w:color="000000"/>
              <w:bottom w:val="single" w:sz="2" w:space="0" w:color="000000"/>
              <w:right w:val="single" w:sz="2" w:space="0" w:color="000000"/>
            </w:tcBorders>
          </w:tcPr>
          <w:p w14:paraId="7D6E6ECC" w14:textId="77777777" w:rsidR="002F4FA6" w:rsidRPr="005B54EE" w:rsidRDefault="002F4FA6" w:rsidP="00635A2E">
            <w:pPr>
              <w:spacing w:line="259" w:lineRule="auto"/>
              <w:ind w:left="90"/>
              <w:jc w:val="center"/>
            </w:pPr>
            <w:r w:rsidRPr="005B54EE">
              <w:t>80</w:t>
            </w:r>
          </w:p>
        </w:tc>
        <w:tc>
          <w:tcPr>
            <w:tcW w:w="1048" w:type="dxa"/>
            <w:tcBorders>
              <w:top w:val="single" w:sz="2" w:space="0" w:color="000000"/>
              <w:left w:val="single" w:sz="2" w:space="0" w:color="000000"/>
              <w:bottom w:val="single" w:sz="2" w:space="0" w:color="000000"/>
              <w:right w:val="single" w:sz="2" w:space="0" w:color="000000"/>
            </w:tcBorders>
          </w:tcPr>
          <w:p w14:paraId="109D7655" w14:textId="77777777" w:rsidR="002F4FA6" w:rsidRPr="005B54EE" w:rsidRDefault="002F4FA6" w:rsidP="00635A2E">
            <w:pPr>
              <w:spacing w:line="259" w:lineRule="auto"/>
              <w:ind w:left="89"/>
              <w:jc w:val="center"/>
            </w:pPr>
            <w:r w:rsidRPr="005B54EE">
              <w:t>86.4</w:t>
            </w:r>
          </w:p>
        </w:tc>
        <w:tc>
          <w:tcPr>
            <w:tcW w:w="981" w:type="dxa"/>
            <w:tcBorders>
              <w:top w:val="single" w:sz="2" w:space="0" w:color="000000"/>
              <w:left w:val="single" w:sz="2" w:space="0" w:color="000000"/>
              <w:bottom w:val="single" w:sz="2" w:space="0" w:color="000000"/>
              <w:right w:val="single" w:sz="2" w:space="0" w:color="000000"/>
            </w:tcBorders>
          </w:tcPr>
          <w:p w14:paraId="03D155DA" w14:textId="77777777" w:rsidR="002F4FA6" w:rsidRPr="005B54EE" w:rsidRDefault="002F4FA6" w:rsidP="00635A2E">
            <w:pPr>
              <w:spacing w:line="259" w:lineRule="auto"/>
              <w:ind w:left="89"/>
              <w:jc w:val="center"/>
              <w:rPr>
                <w:sz w:val="18"/>
              </w:rPr>
            </w:pPr>
            <w:r w:rsidRPr="005B54EE">
              <w:rPr>
                <w:sz w:val="18"/>
              </w:rPr>
              <w:t>92.8</w:t>
            </w:r>
          </w:p>
        </w:tc>
        <w:tc>
          <w:tcPr>
            <w:tcW w:w="981" w:type="dxa"/>
            <w:tcBorders>
              <w:top w:val="single" w:sz="2" w:space="0" w:color="000000"/>
              <w:left w:val="single" w:sz="2" w:space="0" w:color="000000"/>
              <w:bottom w:val="single" w:sz="2" w:space="0" w:color="000000"/>
              <w:right w:val="single" w:sz="2" w:space="0" w:color="000000"/>
            </w:tcBorders>
          </w:tcPr>
          <w:p w14:paraId="10D73DCD" w14:textId="77777777" w:rsidR="002F4FA6" w:rsidRPr="005B54EE" w:rsidRDefault="002F4FA6" w:rsidP="00635A2E">
            <w:pPr>
              <w:spacing w:line="259" w:lineRule="auto"/>
              <w:ind w:left="89"/>
              <w:jc w:val="center"/>
              <w:rPr>
                <w:sz w:val="18"/>
              </w:rPr>
            </w:pPr>
            <w:r w:rsidRPr="005B54EE">
              <w:rPr>
                <w:sz w:val="18"/>
              </w:rPr>
              <w:t>113.2</w:t>
            </w:r>
          </w:p>
        </w:tc>
      </w:tr>
      <w:tr w:rsidR="002F4FA6" w:rsidRPr="005B54EE" w14:paraId="7DF393C5" w14:textId="77777777" w:rsidTr="00635A2E">
        <w:trPr>
          <w:trHeight w:val="385"/>
        </w:trPr>
        <w:tc>
          <w:tcPr>
            <w:tcW w:w="3791" w:type="dxa"/>
            <w:tcBorders>
              <w:top w:val="single" w:sz="2" w:space="0" w:color="000000"/>
              <w:left w:val="single" w:sz="2" w:space="0" w:color="000000"/>
              <w:bottom w:val="single" w:sz="2" w:space="0" w:color="000000"/>
              <w:right w:val="single" w:sz="2" w:space="0" w:color="000000"/>
            </w:tcBorders>
            <w:shd w:val="clear" w:color="auto" w:fill="ECE6E2"/>
          </w:tcPr>
          <w:p w14:paraId="114B2FA8" w14:textId="77777777" w:rsidR="002F4FA6" w:rsidRPr="005B54EE" w:rsidRDefault="002F4FA6" w:rsidP="00635A2E">
            <w:pPr>
              <w:spacing w:line="259" w:lineRule="auto"/>
            </w:pPr>
            <w:r w:rsidRPr="005B54EE">
              <w:rPr>
                <w:sz w:val="18"/>
              </w:rPr>
              <w:t xml:space="preserve">Coal (CIF ARA 6000) </w:t>
            </w:r>
          </w:p>
        </w:tc>
        <w:tc>
          <w:tcPr>
            <w:tcW w:w="1046" w:type="dxa"/>
            <w:tcBorders>
              <w:top w:val="single" w:sz="2" w:space="0" w:color="000000"/>
              <w:left w:val="single" w:sz="2" w:space="0" w:color="000000"/>
              <w:bottom w:val="single" w:sz="2" w:space="0" w:color="000000"/>
              <w:right w:val="single" w:sz="2" w:space="0" w:color="000000"/>
            </w:tcBorders>
            <w:shd w:val="clear" w:color="auto" w:fill="ECE6E2"/>
          </w:tcPr>
          <w:p w14:paraId="0C7004E5" w14:textId="77777777" w:rsidR="002F4FA6" w:rsidRPr="005B54EE" w:rsidRDefault="002F4FA6" w:rsidP="00635A2E">
            <w:pPr>
              <w:spacing w:line="259" w:lineRule="auto"/>
              <w:ind w:left="90"/>
              <w:jc w:val="center"/>
            </w:pPr>
            <w:r w:rsidRPr="005B54EE">
              <w:t>74.2</w:t>
            </w:r>
          </w:p>
        </w:tc>
        <w:tc>
          <w:tcPr>
            <w:tcW w:w="1047" w:type="dxa"/>
            <w:tcBorders>
              <w:top w:val="single" w:sz="2" w:space="0" w:color="000000"/>
              <w:left w:val="single" w:sz="2" w:space="0" w:color="000000"/>
              <w:bottom w:val="single" w:sz="2" w:space="0" w:color="000000"/>
              <w:right w:val="single" w:sz="2" w:space="0" w:color="000000"/>
            </w:tcBorders>
            <w:shd w:val="clear" w:color="auto" w:fill="ECE6E2"/>
          </w:tcPr>
          <w:p w14:paraId="407875E5" w14:textId="77777777" w:rsidR="002F4FA6" w:rsidRPr="005B54EE" w:rsidRDefault="002F4FA6" w:rsidP="00635A2E">
            <w:pPr>
              <w:spacing w:line="259" w:lineRule="auto"/>
              <w:ind w:left="88"/>
              <w:jc w:val="center"/>
            </w:pPr>
            <w:r w:rsidRPr="005B54EE">
              <w:t>111.7</w:t>
            </w:r>
          </w:p>
        </w:tc>
        <w:tc>
          <w:tcPr>
            <w:tcW w:w="1047" w:type="dxa"/>
            <w:tcBorders>
              <w:top w:val="single" w:sz="2" w:space="0" w:color="000000"/>
              <w:left w:val="single" w:sz="2" w:space="0" w:color="000000"/>
              <w:bottom w:val="single" w:sz="2" w:space="0" w:color="000000"/>
              <w:right w:val="single" w:sz="2" w:space="0" w:color="000000"/>
            </w:tcBorders>
            <w:shd w:val="clear" w:color="auto" w:fill="ECE6E2"/>
          </w:tcPr>
          <w:p w14:paraId="684FAE93" w14:textId="77777777" w:rsidR="002F4FA6" w:rsidRPr="005B54EE" w:rsidRDefault="002F4FA6" w:rsidP="00635A2E">
            <w:pPr>
              <w:spacing w:line="259" w:lineRule="auto"/>
              <w:ind w:left="90"/>
              <w:jc w:val="center"/>
            </w:pPr>
            <w:r w:rsidRPr="005B54EE">
              <w:t>121.9</w:t>
            </w:r>
          </w:p>
        </w:tc>
        <w:tc>
          <w:tcPr>
            <w:tcW w:w="1048" w:type="dxa"/>
            <w:tcBorders>
              <w:top w:val="single" w:sz="2" w:space="0" w:color="000000"/>
              <w:left w:val="single" w:sz="2" w:space="0" w:color="000000"/>
              <w:bottom w:val="single" w:sz="2" w:space="0" w:color="000000"/>
              <w:right w:val="single" w:sz="2" w:space="0" w:color="000000"/>
            </w:tcBorders>
            <w:shd w:val="clear" w:color="auto" w:fill="ECE6E2"/>
          </w:tcPr>
          <w:p w14:paraId="53E93C2E" w14:textId="77777777" w:rsidR="002F4FA6" w:rsidRPr="005B54EE" w:rsidRDefault="002F4FA6" w:rsidP="00635A2E">
            <w:pPr>
              <w:spacing w:line="259" w:lineRule="auto"/>
              <w:ind w:left="89"/>
              <w:jc w:val="center"/>
            </w:pPr>
            <w:r w:rsidRPr="005B54EE">
              <w:t>131.3</w:t>
            </w:r>
          </w:p>
        </w:tc>
        <w:tc>
          <w:tcPr>
            <w:tcW w:w="981" w:type="dxa"/>
            <w:tcBorders>
              <w:top w:val="single" w:sz="2" w:space="0" w:color="000000"/>
              <w:left w:val="single" w:sz="2" w:space="0" w:color="000000"/>
              <w:bottom w:val="single" w:sz="2" w:space="0" w:color="000000"/>
              <w:right w:val="single" w:sz="2" w:space="0" w:color="000000"/>
            </w:tcBorders>
            <w:shd w:val="clear" w:color="auto" w:fill="ECE6E2"/>
          </w:tcPr>
          <w:p w14:paraId="35B69770" w14:textId="77777777" w:rsidR="002F4FA6" w:rsidRPr="005B54EE" w:rsidRDefault="002F4FA6" w:rsidP="00635A2E">
            <w:pPr>
              <w:spacing w:line="259" w:lineRule="auto"/>
              <w:ind w:left="89"/>
              <w:jc w:val="center"/>
              <w:rPr>
                <w:sz w:val="18"/>
              </w:rPr>
            </w:pPr>
            <w:r w:rsidRPr="005B54EE">
              <w:rPr>
                <w:sz w:val="18"/>
              </w:rPr>
              <w:t>137.8</w:t>
            </w:r>
          </w:p>
        </w:tc>
        <w:tc>
          <w:tcPr>
            <w:tcW w:w="981" w:type="dxa"/>
            <w:tcBorders>
              <w:top w:val="single" w:sz="2" w:space="0" w:color="000000"/>
              <w:left w:val="single" w:sz="2" w:space="0" w:color="000000"/>
              <w:bottom w:val="single" w:sz="2" w:space="0" w:color="000000"/>
              <w:right w:val="single" w:sz="2" w:space="0" w:color="000000"/>
            </w:tcBorders>
            <w:shd w:val="clear" w:color="auto" w:fill="ECE6E2"/>
          </w:tcPr>
          <w:p w14:paraId="38DC7EA7" w14:textId="77777777" w:rsidR="002F4FA6" w:rsidRPr="005B54EE" w:rsidRDefault="002F4FA6" w:rsidP="00635A2E">
            <w:pPr>
              <w:spacing w:line="259" w:lineRule="auto"/>
              <w:ind w:left="89"/>
              <w:jc w:val="center"/>
              <w:rPr>
                <w:sz w:val="18"/>
              </w:rPr>
            </w:pPr>
            <w:r w:rsidRPr="005B54EE">
              <w:rPr>
                <w:sz w:val="18"/>
              </w:rPr>
              <w:t>147.3</w:t>
            </w:r>
          </w:p>
        </w:tc>
      </w:tr>
      <w:tr w:rsidR="002F4FA6" w:rsidRPr="005B54EE" w14:paraId="0F3DC2BA" w14:textId="77777777" w:rsidTr="00635A2E">
        <w:trPr>
          <w:trHeight w:val="407"/>
        </w:trPr>
        <w:tc>
          <w:tcPr>
            <w:tcW w:w="3791" w:type="dxa"/>
            <w:tcBorders>
              <w:top w:val="single" w:sz="2" w:space="0" w:color="000000"/>
              <w:left w:val="single" w:sz="2" w:space="0" w:color="000000"/>
              <w:bottom w:val="single" w:sz="2" w:space="0" w:color="000000"/>
              <w:right w:val="single" w:sz="2" w:space="0" w:color="000000"/>
            </w:tcBorders>
          </w:tcPr>
          <w:p w14:paraId="0478FB3C" w14:textId="77777777" w:rsidR="002F4FA6" w:rsidRPr="003402E2" w:rsidRDefault="002F4FA6" w:rsidP="00635A2E">
            <w:pPr>
              <w:spacing w:line="259" w:lineRule="auto"/>
              <w:rPr>
                <w:lang w:val="fr-FR"/>
              </w:rPr>
            </w:pPr>
            <w:r w:rsidRPr="003402E2">
              <w:rPr>
                <w:sz w:val="18"/>
                <w:lang w:val="fr-FR"/>
              </w:rPr>
              <w:t xml:space="preserve">Gas (GCG average EU import) </w:t>
            </w:r>
          </w:p>
        </w:tc>
        <w:tc>
          <w:tcPr>
            <w:tcW w:w="1046" w:type="dxa"/>
            <w:tcBorders>
              <w:top w:val="single" w:sz="2" w:space="0" w:color="000000"/>
              <w:left w:val="single" w:sz="2" w:space="0" w:color="000000"/>
              <w:bottom w:val="single" w:sz="2" w:space="0" w:color="000000"/>
              <w:right w:val="single" w:sz="2" w:space="0" w:color="000000"/>
            </w:tcBorders>
          </w:tcPr>
          <w:p w14:paraId="304ADA48" w14:textId="77777777" w:rsidR="002F4FA6" w:rsidRPr="005B54EE" w:rsidRDefault="002F4FA6" w:rsidP="00635A2E">
            <w:pPr>
              <w:spacing w:line="259" w:lineRule="auto"/>
              <w:ind w:left="90"/>
              <w:jc w:val="center"/>
            </w:pPr>
            <w:r w:rsidRPr="005B54EE">
              <w:t>146.9</w:t>
            </w:r>
          </w:p>
        </w:tc>
        <w:tc>
          <w:tcPr>
            <w:tcW w:w="1047" w:type="dxa"/>
            <w:tcBorders>
              <w:top w:val="single" w:sz="2" w:space="0" w:color="000000"/>
              <w:left w:val="single" w:sz="2" w:space="0" w:color="000000"/>
              <w:bottom w:val="single" w:sz="2" w:space="0" w:color="000000"/>
              <w:right w:val="single" w:sz="2" w:space="0" w:color="000000"/>
            </w:tcBorders>
          </w:tcPr>
          <w:p w14:paraId="42A4B973" w14:textId="77777777" w:rsidR="002F4FA6" w:rsidRPr="005B54EE" w:rsidRDefault="002F4FA6" w:rsidP="00635A2E">
            <w:pPr>
              <w:spacing w:line="259" w:lineRule="auto"/>
              <w:ind w:left="88"/>
              <w:jc w:val="center"/>
            </w:pPr>
            <w:r w:rsidRPr="005B54EE">
              <w:t>238.2</w:t>
            </w:r>
          </w:p>
        </w:tc>
        <w:tc>
          <w:tcPr>
            <w:tcW w:w="1047" w:type="dxa"/>
            <w:tcBorders>
              <w:top w:val="single" w:sz="2" w:space="0" w:color="000000"/>
              <w:left w:val="single" w:sz="2" w:space="0" w:color="000000"/>
              <w:bottom w:val="single" w:sz="2" w:space="0" w:color="000000"/>
              <w:right w:val="single" w:sz="2" w:space="0" w:color="000000"/>
            </w:tcBorders>
          </w:tcPr>
          <w:p w14:paraId="446B3A95" w14:textId="77777777" w:rsidR="002F4FA6" w:rsidRPr="005B54EE" w:rsidRDefault="002F4FA6" w:rsidP="00635A2E">
            <w:pPr>
              <w:spacing w:line="259" w:lineRule="auto"/>
              <w:ind w:left="90"/>
              <w:jc w:val="center"/>
            </w:pPr>
            <w:r w:rsidRPr="005B54EE">
              <w:t>249.4</w:t>
            </w:r>
          </w:p>
        </w:tc>
        <w:tc>
          <w:tcPr>
            <w:tcW w:w="1048" w:type="dxa"/>
            <w:tcBorders>
              <w:top w:val="single" w:sz="2" w:space="0" w:color="000000"/>
              <w:left w:val="single" w:sz="2" w:space="0" w:color="000000"/>
              <w:bottom w:val="single" w:sz="2" w:space="0" w:color="000000"/>
              <w:right w:val="single" w:sz="2" w:space="0" w:color="000000"/>
            </w:tcBorders>
          </w:tcPr>
          <w:p w14:paraId="60B33CBF" w14:textId="77777777" w:rsidR="002F4FA6" w:rsidRPr="005B54EE" w:rsidRDefault="002F4FA6" w:rsidP="00635A2E">
            <w:pPr>
              <w:spacing w:line="259" w:lineRule="auto"/>
              <w:ind w:left="89"/>
              <w:jc w:val="center"/>
            </w:pPr>
            <w:r w:rsidRPr="005B54EE">
              <w:t>285.8</w:t>
            </w:r>
          </w:p>
        </w:tc>
        <w:tc>
          <w:tcPr>
            <w:tcW w:w="981" w:type="dxa"/>
            <w:tcBorders>
              <w:top w:val="single" w:sz="2" w:space="0" w:color="000000"/>
              <w:left w:val="single" w:sz="2" w:space="0" w:color="000000"/>
              <w:bottom w:val="single" w:sz="2" w:space="0" w:color="000000"/>
              <w:right w:val="single" w:sz="2" w:space="0" w:color="000000"/>
            </w:tcBorders>
          </w:tcPr>
          <w:p w14:paraId="572E4453" w14:textId="77777777" w:rsidR="002F4FA6" w:rsidRPr="005B54EE" w:rsidRDefault="002F4FA6" w:rsidP="00635A2E">
            <w:pPr>
              <w:spacing w:line="259" w:lineRule="auto"/>
              <w:ind w:left="89"/>
              <w:jc w:val="center"/>
              <w:rPr>
                <w:sz w:val="18"/>
              </w:rPr>
            </w:pPr>
            <w:r w:rsidRPr="005B54EE">
              <w:rPr>
                <w:sz w:val="18"/>
              </w:rPr>
              <w:t>341.4</w:t>
            </w:r>
          </w:p>
        </w:tc>
        <w:tc>
          <w:tcPr>
            <w:tcW w:w="981" w:type="dxa"/>
            <w:tcBorders>
              <w:top w:val="single" w:sz="2" w:space="0" w:color="000000"/>
              <w:left w:val="single" w:sz="2" w:space="0" w:color="000000"/>
              <w:bottom w:val="single" w:sz="2" w:space="0" w:color="000000"/>
              <w:right w:val="single" w:sz="2" w:space="0" w:color="000000"/>
            </w:tcBorders>
          </w:tcPr>
          <w:p w14:paraId="2500154C" w14:textId="77777777" w:rsidR="002F4FA6" w:rsidRPr="005B54EE" w:rsidRDefault="002F4FA6" w:rsidP="00635A2E">
            <w:pPr>
              <w:spacing w:line="259" w:lineRule="auto"/>
              <w:ind w:left="89"/>
              <w:jc w:val="center"/>
              <w:rPr>
                <w:sz w:val="18"/>
              </w:rPr>
            </w:pPr>
            <w:r w:rsidRPr="005B54EE">
              <w:rPr>
                <w:sz w:val="18"/>
              </w:rPr>
              <w:t>343.8</w:t>
            </w:r>
          </w:p>
        </w:tc>
      </w:tr>
    </w:tbl>
    <w:p w14:paraId="4F64234D" w14:textId="77777777" w:rsidR="002F4FA6" w:rsidRPr="005B54EE" w:rsidRDefault="002F4FA6" w:rsidP="002F4FA6">
      <w:pPr>
        <w:spacing w:before="240" w:after="240"/>
      </w:pPr>
    </w:p>
    <w:tbl>
      <w:tblPr>
        <w:tblStyle w:val="TableGrid0"/>
        <w:tblW w:w="9917" w:type="dxa"/>
        <w:tblInd w:w="3" w:type="dxa"/>
        <w:tblCellMar>
          <w:top w:w="131" w:type="dxa"/>
          <w:left w:w="28" w:type="dxa"/>
          <w:right w:w="115" w:type="dxa"/>
        </w:tblCellMar>
        <w:tblLook w:val="04A0" w:firstRow="1" w:lastRow="0" w:firstColumn="1" w:lastColumn="0" w:noHBand="0" w:noVBand="1"/>
      </w:tblPr>
      <w:tblGrid>
        <w:gridCol w:w="4177"/>
        <w:gridCol w:w="1092"/>
        <w:gridCol w:w="1091"/>
        <w:gridCol w:w="1095"/>
        <w:gridCol w:w="1092"/>
        <w:gridCol w:w="1370"/>
      </w:tblGrid>
      <w:tr w:rsidR="002F4FA6" w:rsidRPr="005B54EE" w14:paraId="47A7E1C1" w14:textId="77777777" w:rsidTr="00635A2E">
        <w:trPr>
          <w:trHeight w:val="389"/>
        </w:trPr>
        <w:tc>
          <w:tcPr>
            <w:tcW w:w="4177" w:type="dxa"/>
            <w:tcBorders>
              <w:top w:val="single" w:sz="2" w:space="0" w:color="000000"/>
              <w:left w:val="single" w:sz="2" w:space="0" w:color="000000"/>
              <w:bottom w:val="single" w:sz="2" w:space="0" w:color="000000"/>
              <w:right w:val="single" w:sz="2" w:space="0" w:color="000000"/>
            </w:tcBorders>
            <w:shd w:val="clear" w:color="auto" w:fill="6D2A78"/>
          </w:tcPr>
          <w:p w14:paraId="4FAB109F" w14:textId="77777777" w:rsidR="002F4FA6" w:rsidRPr="005B54EE" w:rsidRDefault="002F4FA6" w:rsidP="00635A2E">
            <w:pPr>
              <w:spacing w:line="259" w:lineRule="auto"/>
              <w:ind w:left="136"/>
              <w:jc w:val="center"/>
            </w:pPr>
            <w:r w:rsidRPr="005B54EE">
              <w:t>AMS 2018</w:t>
            </w:r>
          </w:p>
        </w:tc>
        <w:tc>
          <w:tcPr>
            <w:tcW w:w="1092" w:type="dxa"/>
            <w:tcBorders>
              <w:top w:val="single" w:sz="2" w:space="0" w:color="000000"/>
              <w:left w:val="single" w:sz="2" w:space="0" w:color="000000"/>
              <w:bottom w:val="single" w:sz="2" w:space="0" w:color="000000"/>
              <w:right w:val="single" w:sz="2" w:space="0" w:color="000000"/>
            </w:tcBorders>
            <w:shd w:val="clear" w:color="auto" w:fill="6D2A78"/>
          </w:tcPr>
          <w:p w14:paraId="70A980D2" w14:textId="77777777" w:rsidR="002F4FA6" w:rsidRPr="005B54EE" w:rsidRDefault="002F4FA6" w:rsidP="00635A2E">
            <w:pPr>
              <w:spacing w:line="259" w:lineRule="auto"/>
              <w:ind w:left="87"/>
              <w:jc w:val="center"/>
            </w:pPr>
            <w:r w:rsidRPr="005B54EE">
              <w:rPr>
                <w:b/>
                <w:color w:val="FFFFFF"/>
                <w:sz w:val="18"/>
              </w:rPr>
              <w:t xml:space="preserve">2015 </w:t>
            </w:r>
          </w:p>
        </w:tc>
        <w:tc>
          <w:tcPr>
            <w:tcW w:w="1091" w:type="dxa"/>
            <w:tcBorders>
              <w:top w:val="single" w:sz="2" w:space="0" w:color="000000"/>
              <w:left w:val="single" w:sz="2" w:space="0" w:color="000000"/>
              <w:bottom w:val="single" w:sz="2" w:space="0" w:color="000000"/>
              <w:right w:val="single" w:sz="2" w:space="0" w:color="000000"/>
            </w:tcBorders>
            <w:shd w:val="clear" w:color="auto" w:fill="6D2A78"/>
          </w:tcPr>
          <w:p w14:paraId="31BFE90F" w14:textId="77777777" w:rsidR="002F4FA6" w:rsidRPr="005B54EE" w:rsidRDefault="002F4FA6" w:rsidP="00635A2E">
            <w:pPr>
              <w:spacing w:line="259" w:lineRule="auto"/>
              <w:ind w:left="88"/>
              <w:jc w:val="center"/>
            </w:pPr>
            <w:r w:rsidRPr="005B54EE">
              <w:rPr>
                <w:b/>
                <w:color w:val="FFFFFF"/>
                <w:sz w:val="18"/>
              </w:rPr>
              <w:t xml:space="preserve">2020 </w:t>
            </w:r>
          </w:p>
        </w:tc>
        <w:tc>
          <w:tcPr>
            <w:tcW w:w="1095" w:type="dxa"/>
            <w:tcBorders>
              <w:top w:val="single" w:sz="2" w:space="0" w:color="000000"/>
              <w:left w:val="single" w:sz="2" w:space="0" w:color="000000"/>
              <w:bottom w:val="single" w:sz="2" w:space="0" w:color="000000"/>
              <w:right w:val="single" w:sz="2" w:space="0" w:color="000000"/>
            </w:tcBorders>
            <w:shd w:val="clear" w:color="auto" w:fill="6D2A78"/>
          </w:tcPr>
          <w:p w14:paraId="2A5CA62A" w14:textId="77777777" w:rsidR="002F4FA6" w:rsidRPr="005B54EE" w:rsidRDefault="002F4FA6" w:rsidP="00635A2E">
            <w:pPr>
              <w:spacing w:line="259" w:lineRule="auto"/>
              <w:ind w:left="86"/>
              <w:jc w:val="center"/>
            </w:pPr>
            <w:r w:rsidRPr="005B54EE">
              <w:rPr>
                <w:b/>
                <w:color w:val="FFFFFF"/>
                <w:sz w:val="18"/>
              </w:rPr>
              <w:t xml:space="preserve">2025 </w:t>
            </w:r>
          </w:p>
        </w:tc>
        <w:tc>
          <w:tcPr>
            <w:tcW w:w="1092" w:type="dxa"/>
            <w:tcBorders>
              <w:top w:val="single" w:sz="2" w:space="0" w:color="000000"/>
              <w:left w:val="single" w:sz="2" w:space="0" w:color="000000"/>
              <w:bottom w:val="single" w:sz="2" w:space="0" w:color="000000"/>
              <w:right w:val="single" w:sz="2" w:space="0" w:color="000000"/>
            </w:tcBorders>
            <w:shd w:val="clear" w:color="auto" w:fill="6D2A78"/>
          </w:tcPr>
          <w:p w14:paraId="3F5F5833" w14:textId="77777777" w:rsidR="002F4FA6" w:rsidRPr="005B54EE" w:rsidRDefault="002F4FA6" w:rsidP="00635A2E">
            <w:pPr>
              <w:spacing w:line="259" w:lineRule="auto"/>
              <w:ind w:left="87"/>
              <w:jc w:val="center"/>
            </w:pPr>
            <w:r w:rsidRPr="005B54EE">
              <w:rPr>
                <w:b/>
                <w:color w:val="FFFFFF"/>
                <w:sz w:val="18"/>
              </w:rPr>
              <w:t xml:space="preserve">2030 </w:t>
            </w:r>
          </w:p>
        </w:tc>
        <w:tc>
          <w:tcPr>
            <w:tcW w:w="1370" w:type="dxa"/>
            <w:tcBorders>
              <w:top w:val="single" w:sz="2" w:space="0" w:color="000000"/>
              <w:left w:val="single" w:sz="2" w:space="0" w:color="000000"/>
              <w:bottom w:val="single" w:sz="2" w:space="0" w:color="000000"/>
              <w:right w:val="single" w:sz="2" w:space="0" w:color="000000"/>
            </w:tcBorders>
            <w:shd w:val="clear" w:color="auto" w:fill="6D2A78"/>
          </w:tcPr>
          <w:p w14:paraId="47C7662F" w14:textId="77777777" w:rsidR="002F4FA6" w:rsidRPr="005B54EE" w:rsidRDefault="002F4FA6" w:rsidP="00635A2E">
            <w:pPr>
              <w:spacing w:line="259" w:lineRule="auto"/>
              <w:ind w:left="86"/>
              <w:jc w:val="center"/>
            </w:pPr>
            <w:r w:rsidRPr="005B54EE">
              <w:rPr>
                <w:b/>
                <w:color w:val="FFFFFF"/>
                <w:sz w:val="18"/>
              </w:rPr>
              <w:t xml:space="preserve">2035 </w:t>
            </w:r>
          </w:p>
        </w:tc>
      </w:tr>
      <w:tr w:rsidR="002F4FA6" w:rsidRPr="005B54EE" w14:paraId="58A7A136" w14:textId="77777777" w:rsidTr="00635A2E">
        <w:trPr>
          <w:trHeight w:val="407"/>
        </w:trPr>
        <w:tc>
          <w:tcPr>
            <w:tcW w:w="4177" w:type="dxa"/>
            <w:tcBorders>
              <w:top w:val="single" w:sz="2" w:space="0" w:color="000000"/>
              <w:left w:val="single" w:sz="2" w:space="0" w:color="000000"/>
              <w:bottom w:val="single" w:sz="2" w:space="0" w:color="000000"/>
              <w:right w:val="single" w:sz="2" w:space="0" w:color="000000"/>
            </w:tcBorders>
          </w:tcPr>
          <w:p w14:paraId="0E8C8A4C" w14:textId="77777777" w:rsidR="002F4FA6" w:rsidRPr="005B54EE" w:rsidRDefault="002F4FA6" w:rsidP="00635A2E">
            <w:pPr>
              <w:spacing w:line="259" w:lineRule="auto"/>
            </w:pPr>
            <w:r w:rsidRPr="005B54EE">
              <w:rPr>
                <w:sz w:val="18"/>
              </w:rPr>
              <w:t xml:space="preserve">Oil (Brent crude oil) </w:t>
            </w:r>
          </w:p>
        </w:tc>
        <w:tc>
          <w:tcPr>
            <w:tcW w:w="1092" w:type="dxa"/>
            <w:tcBorders>
              <w:top w:val="single" w:sz="2" w:space="0" w:color="000000"/>
              <w:left w:val="single" w:sz="2" w:space="0" w:color="000000"/>
              <w:bottom w:val="single" w:sz="2" w:space="0" w:color="000000"/>
              <w:right w:val="single" w:sz="2" w:space="0" w:color="000000"/>
            </w:tcBorders>
          </w:tcPr>
          <w:p w14:paraId="40A24FA4" w14:textId="77777777" w:rsidR="002F4FA6" w:rsidRPr="005B54EE" w:rsidRDefault="002F4FA6" w:rsidP="00635A2E">
            <w:pPr>
              <w:spacing w:line="259" w:lineRule="auto"/>
              <w:ind w:left="90"/>
              <w:jc w:val="center"/>
            </w:pPr>
            <w:r w:rsidRPr="005B54EE">
              <w:rPr>
                <w:sz w:val="18"/>
              </w:rPr>
              <w:t xml:space="preserve">48.19 </w:t>
            </w:r>
          </w:p>
        </w:tc>
        <w:tc>
          <w:tcPr>
            <w:tcW w:w="1091" w:type="dxa"/>
            <w:tcBorders>
              <w:top w:val="single" w:sz="2" w:space="0" w:color="000000"/>
              <w:left w:val="single" w:sz="2" w:space="0" w:color="000000"/>
              <w:bottom w:val="single" w:sz="2" w:space="0" w:color="000000"/>
              <w:right w:val="single" w:sz="2" w:space="0" w:color="000000"/>
            </w:tcBorders>
          </w:tcPr>
          <w:p w14:paraId="2DD60BBD" w14:textId="77777777" w:rsidR="002F4FA6" w:rsidRPr="005B54EE" w:rsidRDefault="002F4FA6" w:rsidP="00635A2E">
            <w:pPr>
              <w:spacing w:line="259" w:lineRule="auto"/>
              <w:ind w:left="91"/>
              <w:jc w:val="center"/>
            </w:pPr>
            <w:r w:rsidRPr="005B54EE">
              <w:rPr>
                <w:sz w:val="18"/>
              </w:rPr>
              <w:t xml:space="preserve">75.01 </w:t>
            </w:r>
          </w:p>
        </w:tc>
        <w:tc>
          <w:tcPr>
            <w:tcW w:w="1095" w:type="dxa"/>
            <w:tcBorders>
              <w:top w:val="single" w:sz="2" w:space="0" w:color="000000"/>
              <w:left w:val="single" w:sz="2" w:space="0" w:color="000000"/>
              <w:bottom w:val="single" w:sz="2" w:space="0" w:color="000000"/>
              <w:right w:val="single" w:sz="2" w:space="0" w:color="000000"/>
            </w:tcBorders>
          </w:tcPr>
          <w:p w14:paraId="078D1E3E" w14:textId="77777777" w:rsidR="002F4FA6" w:rsidRPr="005B54EE" w:rsidRDefault="002F4FA6" w:rsidP="00635A2E">
            <w:pPr>
              <w:spacing w:line="259" w:lineRule="auto"/>
              <w:ind w:left="88"/>
              <w:jc w:val="center"/>
            </w:pPr>
            <w:r w:rsidRPr="005B54EE">
              <w:rPr>
                <w:sz w:val="18"/>
              </w:rPr>
              <w:t xml:space="preserve">85.15 </w:t>
            </w:r>
          </w:p>
        </w:tc>
        <w:tc>
          <w:tcPr>
            <w:tcW w:w="1092" w:type="dxa"/>
            <w:tcBorders>
              <w:top w:val="single" w:sz="2" w:space="0" w:color="000000"/>
              <w:left w:val="single" w:sz="2" w:space="0" w:color="000000"/>
              <w:bottom w:val="single" w:sz="2" w:space="0" w:color="000000"/>
              <w:right w:val="single" w:sz="2" w:space="0" w:color="000000"/>
            </w:tcBorders>
          </w:tcPr>
          <w:p w14:paraId="4BCDD610" w14:textId="77777777" w:rsidR="002F4FA6" w:rsidRPr="005B54EE" w:rsidRDefault="002F4FA6" w:rsidP="00635A2E">
            <w:pPr>
              <w:spacing w:line="259" w:lineRule="auto"/>
              <w:ind w:left="90"/>
              <w:jc w:val="center"/>
            </w:pPr>
            <w:r w:rsidRPr="005B54EE">
              <w:rPr>
                <w:sz w:val="18"/>
              </w:rPr>
              <w:t xml:space="preserve">93.8 </w:t>
            </w:r>
          </w:p>
        </w:tc>
        <w:tc>
          <w:tcPr>
            <w:tcW w:w="1370" w:type="dxa"/>
            <w:tcBorders>
              <w:top w:val="single" w:sz="2" w:space="0" w:color="000000"/>
              <w:left w:val="single" w:sz="2" w:space="0" w:color="000000"/>
              <w:bottom w:val="single" w:sz="2" w:space="0" w:color="000000"/>
              <w:right w:val="single" w:sz="2" w:space="0" w:color="000000"/>
            </w:tcBorders>
          </w:tcPr>
          <w:p w14:paraId="3299FDBA" w14:textId="77777777" w:rsidR="002F4FA6" w:rsidRPr="005B54EE" w:rsidRDefault="002F4FA6" w:rsidP="00635A2E">
            <w:pPr>
              <w:spacing w:line="259" w:lineRule="auto"/>
              <w:ind w:left="89"/>
              <w:jc w:val="center"/>
            </w:pPr>
            <w:r w:rsidRPr="005B54EE">
              <w:rPr>
                <w:sz w:val="18"/>
              </w:rPr>
              <w:t xml:space="preserve">97.85 </w:t>
            </w:r>
          </w:p>
        </w:tc>
      </w:tr>
      <w:tr w:rsidR="002F4FA6" w:rsidRPr="005B54EE" w14:paraId="2F541840" w14:textId="77777777" w:rsidTr="00635A2E">
        <w:trPr>
          <w:trHeight w:val="385"/>
        </w:trPr>
        <w:tc>
          <w:tcPr>
            <w:tcW w:w="4177" w:type="dxa"/>
            <w:tcBorders>
              <w:top w:val="single" w:sz="2" w:space="0" w:color="000000"/>
              <w:left w:val="single" w:sz="2" w:space="0" w:color="000000"/>
              <w:bottom w:val="single" w:sz="2" w:space="0" w:color="000000"/>
              <w:right w:val="single" w:sz="2" w:space="0" w:color="000000"/>
            </w:tcBorders>
            <w:shd w:val="clear" w:color="auto" w:fill="ECE6E2"/>
          </w:tcPr>
          <w:p w14:paraId="31E069E3" w14:textId="77777777" w:rsidR="002F4FA6" w:rsidRPr="005B54EE" w:rsidRDefault="002F4FA6" w:rsidP="00635A2E">
            <w:pPr>
              <w:spacing w:line="259" w:lineRule="auto"/>
            </w:pPr>
            <w:r w:rsidRPr="005B54EE">
              <w:rPr>
                <w:sz w:val="18"/>
              </w:rPr>
              <w:t xml:space="preserve">Coal (CIF ARA 6000) </w:t>
            </w:r>
          </w:p>
        </w:tc>
        <w:tc>
          <w:tcPr>
            <w:tcW w:w="1092" w:type="dxa"/>
            <w:tcBorders>
              <w:top w:val="single" w:sz="2" w:space="0" w:color="000000"/>
              <w:left w:val="single" w:sz="2" w:space="0" w:color="000000"/>
              <w:bottom w:val="single" w:sz="2" w:space="0" w:color="000000"/>
              <w:right w:val="single" w:sz="2" w:space="0" w:color="000000"/>
            </w:tcBorders>
            <w:shd w:val="clear" w:color="auto" w:fill="ECE6E2"/>
          </w:tcPr>
          <w:p w14:paraId="094AF811" w14:textId="77777777" w:rsidR="002F4FA6" w:rsidRPr="005B54EE" w:rsidRDefault="002F4FA6" w:rsidP="00635A2E">
            <w:pPr>
              <w:spacing w:line="259" w:lineRule="auto"/>
              <w:ind w:left="90"/>
              <w:jc w:val="center"/>
            </w:pPr>
            <w:r w:rsidRPr="005B54EE">
              <w:rPr>
                <w:sz w:val="18"/>
              </w:rPr>
              <w:t xml:space="preserve">11.47 </w:t>
            </w:r>
          </w:p>
        </w:tc>
        <w:tc>
          <w:tcPr>
            <w:tcW w:w="1091" w:type="dxa"/>
            <w:tcBorders>
              <w:top w:val="single" w:sz="2" w:space="0" w:color="000000"/>
              <w:left w:val="single" w:sz="2" w:space="0" w:color="000000"/>
              <w:bottom w:val="single" w:sz="2" w:space="0" w:color="000000"/>
              <w:right w:val="single" w:sz="2" w:space="0" w:color="000000"/>
            </w:tcBorders>
            <w:shd w:val="clear" w:color="auto" w:fill="ECE6E2"/>
          </w:tcPr>
          <w:p w14:paraId="1C1B6C69" w14:textId="77777777" w:rsidR="002F4FA6" w:rsidRPr="005B54EE" w:rsidRDefault="002F4FA6" w:rsidP="00635A2E">
            <w:pPr>
              <w:spacing w:line="259" w:lineRule="auto"/>
              <w:ind w:left="90"/>
              <w:jc w:val="center"/>
            </w:pPr>
            <w:r w:rsidRPr="005B54EE">
              <w:rPr>
                <w:sz w:val="18"/>
              </w:rPr>
              <w:t xml:space="preserve">14.31 </w:t>
            </w:r>
          </w:p>
        </w:tc>
        <w:tc>
          <w:tcPr>
            <w:tcW w:w="1095" w:type="dxa"/>
            <w:tcBorders>
              <w:top w:val="single" w:sz="2" w:space="0" w:color="000000"/>
              <w:left w:val="single" w:sz="2" w:space="0" w:color="000000"/>
              <w:bottom w:val="single" w:sz="2" w:space="0" w:color="000000"/>
              <w:right w:val="single" w:sz="2" w:space="0" w:color="000000"/>
            </w:tcBorders>
            <w:shd w:val="clear" w:color="auto" w:fill="ECE6E2"/>
          </w:tcPr>
          <w:p w14:paraId="631AAF84" w14:textId="77777777" w:rsidR="002F4FA6" w:rsidRPr="005B54EE" w:rsidRDefault="002F4FA6" w:rsidP="00635A2E">
            <w:pPr>
              <w:spacing w:line="259" w:lineRule="auto"/>
              <w:ind w:left="88"/>
              <w:jc w:val="center"/>
            </w:pPr>
            <w:r w:rsidRPr="005B54EE">
              <w:rPr>
                <w:sz w:val="18"/>
              </w:rPr>
              <w:t xml:space="preserve">17.09 </w:t>
            </w:r>
          </w:p>
        </w:tc>
        <w:tc>
          <w:tcPr>
            <w:tcW w:w="1092" w:type="dxa"/>
            <w:tcBorders>
              <w:top w:val="single" w:sz="2" w:space="0" w:color="000000"/>
              <w:left w:val="single" w:sz="2" w:space="0" w:color="000000"/>
              <w:bottom w:val="single" w:sz="2" w:space="0" w:color="000000"/>
              <w:right w:val="single" w:sz="2" w:space="0" w:color="000000"/>
            </w:tcBorders>
            <w:shd w:val="clear" w:color="auto" w:fill="ECE6E2"/>
          </w:tcPr>
          <w:p w14:paraId="11CC3DB6" w14:textId="77777777" w:rsidR="002F4FA6" w:rsidRPr="005B54EE" w:rsidRDefault="002F4FA6" w:rsidP="00635A2E">
            <w:pPr>
              <w:spacing w:line="259" w:lineRule="auto"/>
              <w:ind w:left="90"/>
              <w:jc w:val="center"/>
            </w:pPr>
            <w:r w:rsidRPr="005B54EE">
              <w:rPr>
                <w:sz w:val="18"/>
              </w:rPr>
              <w:t xml:space="preserve">20.51 </w:t>
            </w:r>
          </w:p>
        </w:tc>
        <w:tc>
          <w:tcPr>
            <w:tcW w:w="1370" w:type="dxa"/>
            <w:tcBorders>
              <w:top w:val="single" w:sz="2" w:space="0" w:color="000000"/>
              <w:left w:val="single" w:sz="2" w:space="0" w:color="000000"/>
              <w:bottom w:val="single" w:sz="2" w:space="0" w:color="000000"/>
              <w:right w:val="single" w:sz="2" w:space="0" w:color="000000"/>
            </w:tcBorders>
            <w:shd w:val="clear" w:color="auto" w:fill="ECE6E2"/>
          </w:tcPr>
          <w:p w14:paraId="63683207" w14:textId="77777777" w:rsidR="002F4FA6" w:rsidRPr="005B54EE" w:rsidRDefault="002F4FA6" w:rsidP="00635A2E">
            <w:pPr>
              <w:spacing w:line="259" w:lineRule="auto"/>
              <w:ind w:left="89"/>
              <w:jc w:val="center"/>
            </w:pPr>
            <w:r w:rsidRPr="005B54EE">
              <w:rPr>
                <w:sz w:val="18"/>
              </w:rPr>
              <w:t xml:space="preserve">21.72 </w:t>
            </w:r>
          </w:p>
        </w:tc>
      </w:tr>
      <w:tr w:rsidR="002F4FA6" w:rsidRPr="005B54EE" w14:paraId="5C9E0092" w14:textId="77777777" w:rsidTr="00635A2E">
        <w:trPr>
          <w:trHeight w:val="407"/>
        </w:trPr>
        <w:tc>
          <w:tcPr>
            <w:tcW w:w="4177" w:type="dxa"/>
            <w:tcBorders>
              <w:top w:val="single" w:sz="2" w:space="0" w:color="000000"/>
              <w:left w:val="single" w:sz="2" w:space="0" w:color="000000"/>
              <w:bottom w:val="single" w:sz="2" w:space="0" w:color="000000"/>
              <w:right w:val="single" w:sz="2" w:space="0" w:color="000000"/>
            </w:tcBorders>
          </w:tcPr>
          <w:p w14:paraId="483323B2" w14:textId="77777777" w:rsidR="002F4FA6" w:rsidRPr="003402E2" w:rsidRDefault="002F4FA6" w:rsidP="00635A2E">
            <w:pPr>
              <w:spacing w:line="259" w:lineRule="auto"/>
              <w:rPr>
                <w:lang w:val="fr-FR"/>
              </w:rPr>
            </w:pPr>
            <w:r w:rsidRPr="003402E2">
              <w:rPr>
                <w:sz w:val="18"/>
                <w:lang w:val="fr-FR"/>
              </w:rPr>
              <w:t xml:space="preserve">Gas (NCV, CIF average EU import) </w:t>
            </w:r>
          </w:p>
        </w:tc>
        <w:tc>
          <w:tcPr>
            <w:tcW w:w="1092" w:type="dxa"/>
            <w:tcBorders>
              <w:top w:val="single" w:sz="2" w:space="0" w:color="000000"/>
              <w:left w:val="single" w:sz="2" w:space="0" w:color="000000"/>
              <w:bottom w:val="single" w:sz="2" w:space="0" w:color="000000"/>
              <w:right w:val="single" w:sz="2" w:space="0" w:color="000000"/>
            </w:tcBorders>
          </w:tcPr>
          <w:p w14:paraId="6CED3256" w14:textId="77777777" w:rsidR="002F4FA6" w:rsidRPr="005B54EE" w:rsidRDefault="002F4FA6" w:rsidP="00635A2E">
            <w:pPr>
              <w:spacing w:line="259" w:lineRule="auto"/>
              <w:ind w:left="90"/>
              <w:jc w:val="center"/>
            </w:pPr>
            <w:r w:rsidRPr="005B54EE">
              <w:rPr>
                <w:sz w:val="18"/>
              </w:rPr>
              <w:t xml:space="preserve">38.8 </w:t>
            </w:r>
          </w:p>
        </w:tc>
        <w:tc>
          <w:tcPr>
            <w:tcW w:w="1091" w:type="dxa"/>
            <w:tcBorders>
              <w:top w:val="single" w:sz="2" w:space="0" w:color="000000"/>
              <w:left w:val="single" w:sz="2" w:space="0" w:color="000000"/>
              <w:bottom w:val="single" w:sz="2" w:space="0" w:color="000000"/>
              <w:right w:val="single" w:sz="2" w:space="0" w:color="000000"/>
            </w:tcBorders>
          </w:tcPr>
          <w:p w14:paraId="62B102CE" w14:textId="77777777" w:rsidR="002F4FA6" w:rsidRPr="005B54EE" w:rsidRDefault="002F4FA6" w:rsidP="00635A2E">
            <w:pPr>
              <w:spacing w:line="259" w:lineRule="auto"/>
              <w:ind w:left="90"/>
              <w:jc w:val="center"/>
            </w:pPr>
            <w:r w:rsidRPr="005B54EE">
              <w:rPr>
                <w:sz w:val="18"/>
              </w:rPr>
              <w:t xml:space="preserve">48.25 </w:t>
            </w:r>
          </w:p>
        </w:tc>
        <w:tc>
          <w:tcPr>
            <w:tcW w:w="1095" w:type="dxa"/>
            <w:tcBorders>
              <w:top w:val="single" w:sz="2" w:space="0" w:color="000000"/>
              <w:left w:val="single" w:sz="2" w:space="0" w:color="000000"/>
              <w:bottom w:val="single" w:sz="2" w:space="0" w:color="000000"/>
              <w:right w:val="single" w:sz="2" w:space="0" w:color="000000"/>
            </w:tcBorders>
          </w:tcPr>
          <w:p w14:paraId="3BC57287" w14:textId="77777777" w:rsidR="002F4FA6" w:rsidRPr="005B54EE" w:rsidRDefault="002F4FA6" w:rsidP="00635A2E">
            <w:pPr>
              <w:spacing w:line="259" w:lineRule="auto"/>
              <w:ind w:left="88"/>
              <w:jc w:val="center"/>
            </w:pPr>
            <w:r w:rsidRPr="005B54EE">
              <w:rPr>
                <w:sz w:val="18"/>
              </w:rPr>
              <w:t xml:space="preserve">52.21 </w:t>
            </w:r>
          </w:p>
        </w:tc>
        <w:tc>
          <w:tcPr>
            <w:tcW w:w="1092" w:type="dxa"/>
            <w:tcBorders>
              <w:top w:val="single" w:sz="2" w:space="0" w:color="000000"/>
              <w:left w:val="single" w:sz="2" w:space="0" w:color="000000"/>
              <w:bottom w:val="single" w:sz="2" w:space="0" w:color="000000"/>
              <w:right w:val="single" w:sz="2" w:space="0" w:color="000000"/>
            </w:tcBorders>
          </w:tcPr>
          <w:p w14:paraId="20C768C8" w14:textId="77777777" w:rsidR="002F4FA6" w:rsidRPr="005B54EE" w:rsidRDefault="002F4FA6" w:rsidP="00635A2E">
            <w:pPr>
              <w:spacing w:line="259" w:lineRule="auto"/>
              <w:ind w:left="90"/>
              <w:jc w:val="center"/>
            </w:pPr>
            <w:r w:rsidRPr="005B54EE">
              <w:rPr>
                <w:sz w:val="18"/>
              </w:rPr>
              <w:t xml:space="preserve">56.77 </w:t>
            </w:r>
          </w:p>
        </w:tc>
        <w:tc>
          <w:tcPr>
            <w:tcW w:w="1370" w:type="dxa"/>
            <w:tcBorders>
              <w:top w:val="single" w:sz="2" w:space="0" w:color="000000"/>
              <w:left w:val="single" w:sz="2" w:space="0" w:color="000000"/>
              <w:bottom w:val="single" w:sz="2" w:space="0" w:color="000000"/>
              <w:right w:val="single" w:sz="2" w:space="0" w:color="000000"/>
            </w:tcBorders>
          </w:tcPr>
          <w:p w14:paraId="1D0B7BED" w14:textId="77777777" w:rsidR="002F4FA6" w:rsidRPr="005B54EE" w:rsidRDefault="002F4FA6" w:rsidP="00635A2E">
            <w:pPr>
              <w:spacing w:line="259" w:lineRule="auto"/>
              <w:ind w:left="89"/>
              <w:jc w:val="center"/>
            </w:pPr>
            <w:r w:rsidRPr="005B54EE">
              <w:rPr>
                <w:sz w:val="18"/>
              </w:rPr>
              <w:t xml:space="preserve">60.63 </w:t>
            </w:r>
          </w:p>
        </w:tc>
      </w:tr>
    </w:tbl>
    <w:p w14:paraId="3488DA33" w14:textId="7FAE00C3" w:rsidR="002F4FA6" w:rsidRPr="005B54EE" w:rsidRDefault="002F4FA6" w:rsidP="002F4FA6">
      <w:pPr>
        <w:pStyle w:val="Caption"/>
      </w:pPr>
      <w:bookmarkStart w:id="141" w:name="_Toc122694458"/>
      <w:bookmarkStart w:id="142" w:name="_Toc124153740"/>
      <w:r w:rsidRPr="005B54EE">
        <w:t xml:space="preserve">Table </w:t>
      </w:r>
      <w:r w:rsidR="00C73940">
        <w:fldChar w:fldCharType="begin"/>
      </w:r>
      <w:r w:rsidR="00C73940">
        <w:instrText xml:space="preserve"> SEQ Tableau \* ARABIC </w:instrText>
      </w:r>
      <w:r w:rsidR="00C73940">
        <w:fldChar w:fldCharType="separate"/>
      </w:r>
      <w:r w:rsidR="005B1C45">
        <w:rPr>
          <w:noProof/>
        </w:rPr>
        <w:t>26</w:t>
      </w:r>
      <w:r w:rsidR="00C73940">
        <w:rPr>
          <w:noProof/>
        </w:rPr>
        <w:fldChar w:fldCharType="end"/>
      </w:r>
      <w:r w:rsidRPr="005B54EE">
        <w:t xml:space="preserve">: </w:t>
      </w:r>
      <w:r w:rsidRPr="005B54EE">
        <w:rPr>
          <w:sz w:val="21"/>
        </w:rPr>
        <w:t>Imported energy price assumptions (in € 2013/boe)</w:t>
      </w:r>
      <w:r w:rsidRPr="005B54EE">
        <w:t xml:space="preserve"> in AME 21 and AMS 18</w:t>
      </w:r>
      <w:bookmarkEnd w:id="141"/>
      <w:bookmarkEnd w:id="142"/>
    </w:p>
    <w:p w14:paraId="0127A55B" w14:textId="77777777" w:rsidR="002F4FA6" w:rsidRPr="005B54EE" w:rsidRDefault="002F4FA6" w:rsidP="002F4FA6">
      <w:pPr>
        <w:pStyle w:val="Caption"/>
      </w:pPr>
      <w:r w:rsidRPr="005B54EE">
        <w:t>Source: EU economic framework</w:t>
      </w:r>
    </w:p>
    <w:p w14:paraId="68FF4AD4" w14:textId="77777777" w:rsidR="002F4FA6" w:rsidRPr="005B54EE" w:rsidRDefault="002F4FA6" w:rsidP="002F4FA6">
      <w:pPr>
        <w:pStyle w:val="Titre4niveau4"/>
        <w:spacing w:before="240"/>
      </w:pPr>
      <w:r w:rsidRPr="005B54EE">
        <w:t xml:space="preserve">Carbon price assumptions under the ETS </w:t>
      </w:r>
    </w:p>
    <w:p w14:paraId="24E69EC1" w14:textId="77777777" w:rsidR="002F4FA6" w:rsidRPr="005B54EE" w:rsidRDefault="002F4FA6" w:rsidP="002F4FA6">
      <w:pPr>
        <w:spacing w:before="240" w:after="240"/>
      </w:pPr>
      <w:r w:rsidRPr="005B54EE">
        <w:t xml:space="preserve">The carbon price assumptions for companies included in the ETS come from the economic framework proposed by the European Commission to all EU countries. </w:t>
      </w:r>
    </w:p>
    <w:tbl>
      <w:tblPr>
        <w:tblStyle w:val="TableGrid0"/>
        <w:tblW w:w="9943" w:type="dxa"/>
        <w:tblInd w:w="1" w:type="dxa"/>
        <w:tblCellMar>
          <w:top w:w="124" w:type="dxa"/>
          <w:left w:w="28" w:type="dxa"/>
          <w:right w:w="115" w:type="dxa"/>
        </w:tblCellMar>
        <w:tblLook w:val="04A0" w:firstRow="1" w:lastRow="0" w:firstColumn="1" w:lastColumn="0" w:noHBand="0" w:noVBand="1"/>
      </w:tblPr>
      <w:tblGrid>
        <w:gridCol w:w="2987"/>
        <w:gridCol w:w="915"/>
        <w:gridCol w:w="924"/>
        <w:gridCol w:w="924"/>
        <w:gridCol w:w="924"/>
        <w:gridCol w:w="923"/>
        <w:gridCol w:w="811"/>
        <w:gridCol w:w="811"/>
        <w:gridCol w:w="724"/>
      </w:tblGrid>
      <w:tr w:rsidR="002F4FA6" w:rsidRPr="005B54EE" w14:paraId="61EAF3D9" w14:textId="77777777" w:rsidTr="00635A2E">
        <w:trPr>
          <w:trHeight w:val="378"/>
        </w:trPr>
        <w:tc>
          <w:tcPr>
            <w:tcW w:w="2987" w:type="dxa"/>
            <w:tcBorders>
              <w:top w:val="single" w:sz="2" w:space="0" w:color="000000"/>
              <w:left w:val="single" w:sz="2" w:space="0" w:color="000000"/>
              <w:bottom w:val="single" w:sz="2" w:space="0" w:color="000000"/>
              <w:right w:val="single" w:sz="2" w:space="0" w:color="000000"/>
            </w:tcBorders>
            <w:shd w:val="clear" w:color="auto" w:fill="6D2A78"/>
          </w:tcPr>
          <w:p w14:paraId="3E651B18" w14:textId="77777777" w:rsidR="002F4FA6" w:rsidRPr="005B54EE" w:rsidRDefault="002F4FA6" w:rsidP="00635A2E">
            <w:pPr>
              <w:spacing w:line="259" w:lineRule="auto"/>
              <w:ind w:left="133"/>
              <w:jc w:val="center"/>
            </w:pPr>
            <w:r w:rsidRPr="005B54EE">
              <w:rPr>
                <w:sz w:val="18"/>
              </w:rPr>
              <w:t>EU ETS carbon price</w:t>
            </w:r>
          </w:p>
        </w:tc>
        <w:tc>
          <w:tcPr>
            <w:tcW w:w="915" w:type="dxa"/>
            <w:tcBorders>
              <w:top w:val="single" w:sz="2" w:space="0" w:color="000000"/>
              <w:left w:val="single" w:sz="2" w:space="0" w:color="000000"/>
              <w:bottom w:val="single" w:sz="2" w:space="0" w:color="000000"/>
              <w:right w:val="single" w:sz="2" w:space="0" w:color="000000"/>
            </w:tcBorders>
            <w:shd w:val="clear" w:color="auto" w:fill="6D2A78"/>
          </w:tcPr>
          <w:p w14:paraId="47CD3E69" w14:textId="77777777" w:rsidR="002F4FA6" w:rsidRPr="005B54EE" w:rsidRDefault="002F4FA6" w:rsidP="00635A2E">
            <w:pPr>
              <w:spacing w:line="259" w:lineRule="auto"/>
              <w:ind w:left="85"/>
              <w:jc w:val="center"/>
            </w:pPr>
            <w:r w:rsidRPr="005B54EE">
              <w:rPr>
                <w:b/>
                <w:color w:val="FFFFFF"/>
                <w:sz w:val="18"/>
              </w:rPr>
              <w:t xml:space="preserve">2015 </w:t>
            </w:r>
          </w:p>
        </w:tc>
        <w:tc>
          <w:tcPr>
            <w:tcW w:w="924" w:type="dxa"/>
            <w:tcBorders>
              <w:top w:val="single" w:sz="2" w:space="0" w:color="000000"/>
              <w:left w:val="single" w:sz="2" w:space="0" w:color="000000"/>
              <w:bottom w:val="single" w:sz="2" w:space="0" w:color="000000"/>
              <w:right w:val="single" w:sz="2" w:space="0" w:color="000000"/>
            </w:tcBorders>
            <w:shd w:val="clear" w:color="auto" w:fill="6D2A78"/>
          </w:tcPr>
          <w:p w14:paraId="27E0220E" w14:textId="77777777" w:rsidR="002F4FA6" w:rsidRPr="005B54EE" w:rsidRDefault="002F4FA6" w:rsidP="00635A2E">
            <w:pPr>
              <w:spacing w:line="259" w:lineRule="auto"/>
              <w:ind w:left="85"/>
              <w:jc w:val="center"/>
            </w:pPr>
            <w:r w:rsidRPr="005B54EE">
              <w:rPr>
                <w:b/>
                <w:color w:val="FFFFFF"/>
                <w:sz w:val="18"/>
              </w:rPr>
              <w:t xml:space="preserve">2020 </w:t>
            </w:r>
          </w:p>
        </w:tc>
        <w:tc>
          <w:tcPr>
            <w:tcW w:w="924" w:type="dxa"/>
            <w:tcBorders>
              <w:top w:val="single" w:sz="2" w:space="0" w:color="000000"/>
              <w:left w:val="single" w:sz="2" w:space="0" w:color="000000"/>
              <w:bottom w:val="single" w:sz="2" w:space="0" w:color="000000"/>
              <w:right w:val="single" w:sz="2" w:space="0" w:color="000000"/>
            </w:tcBorders>
            <w:shd w:val="clear" w:color="auto" w:fill="6D2A78"/>
          </w:tcPr>
          <w:p w14:paraId="5C8739BE" w14:textId="77777777" w:rsidR="002F4FA6" w:rsidRPr="005B54EE" w:rsidRDefault="002F4FA6" w:rsidP="00635A2E">
            <w:pPr>
              <w:spacing w:line="259" w:lineRule="auto"/>
              <w:ind w:left="85"/>
              <w:jc w:val="center"/>
            </w:pPr>
            <w:r w:rsidRPr="005B54EE">
              <w:rPr>
                <w:b/>
                <w:color w:val="FFFFFF"/>
                <w:sz w:val="18"/>
              </w:rPr>
              <w:t xml:space="preserve">2025 </w:t>
            </w:r>
          </w:p>
        </w:tc>
        <w:tc>
          <w:tcPr>
            <w:tcW w:w="924" w:type="dxa"/>
            <w:tcBorders>
              <w:top w:val="single" w:sz="2" w:space="0" w:color="000000"/>
              <w:left w:val="single" w:sz="2" w:space="0" w:color="000000"/>
              <w:bottom w:val="single" w:sz="2" w:space="0" w:color="000000"/>
              <w:right w:val="single" w:sz="2" w:space="0" w:color="000000"/>
            </w:tcBorders>
            <w:shd w:val="clear" w:color="auto" w:fill="6D2A78"/>
          </w:tcPr>
          <w:p w14:paraId="4ABF12E0" w14:textId="77777777" w:rsidR="002F4FA6" w:rsidRPr="005B54EE" w:rsidRDefault="002F4FA6" w:rsidP="00635A2E">
            <w:pPr>
              <w:spacing w:line="259" w:lineRule="auto"/>
              <w:ind w:left="86"/>
              <w:jc w:val="center"/>
            </w:pPr>
            <w:r w:rsidRPr="005B54EE">
              <w:rPr>
                <w:b/>
                <w:color w:val="FFFFFF"/>
                <w:sz w:val="18"/>
              </w:rPr>
              <w:t xml:space="preserve">2030 </w:t>
            </w:r>
          </w:p>
        </w:tc>
        <w:tc>
          <w:tcPr>
            <w:tcW w:w="923" w:type="dxa"/>
            <w:tcBorders>
              <w:top w:val="single" w:sz="2" w:space="0" w:color="000000"/>
              <w:left w:val="single" w:sz="2" w:space="0" w:color="000000"/>
              <w:bottom w:val="single" w:sz="2" w:space="0" w:color="000000"/>
              <w:right w:val="single" w:sz="2" w:space="0" w:color="000000"/>
            </w:tcBorders>
            <w:shd w:val="clear" w:color="auto" w:fill="6D2A78"/>
          </w:tcPr>
          <w:p w14:paraId="1F4407F3" w14:textId="77777777" w:rsidR="002F4FA6" w:rsidRPr="005B54EE" w:rsidRDefault="002F4FA6" w:rsidP="00635A2E">
            <w:pPr>
              <w:spacing w:line="259" w:lineRule="auto"/>
              <w:ind w:left="84"/>
              <w:jc w:val="center"/>
            </w:pPr>
            <w:r w:rsidRPr="005B54EE">
              <w:rPr>
                <w:b/>
                <w:color w:val="FFFFFF"/>
                <w:sz w:val="18"/>
              </w:rPr>
              <w:t xml:space="preserve">2035 </w:t>
            </w:r>
          </w:p>
        </w:tc>
        <w:tc>
          <w:tcPr>
            <w:tcW w:w="811" w:type="dxa"/>
            <w:tcBorders>
              <w:top w:val="single" w:sz="2" w:space="0" w:color="000000"/>
              <w:left w:val="single" w:sz="2" w:space="0" w:color="000000"/>
              <w:bottom w:val="single" w:sz="2" w:space="0" w:color="000000"/>
              <w:right w:val="single" w:sz="2" w:space="0" w:color="000000"/>
            </w:tcBorders>
            <w:shd w:val="clear" w:color="auto" w:fill="6D2A78"/>
          </w:tcPr>
          <w:p w14:paraId="0FF1B053" w14:textId="77777777" w:rsidR="002F4FA6" w:rsidRPr="005B54EE" w:rsidRDefault="002F4FA6" w:rsidP="00635A2E">
            <w:pPr>
              <w:spacing w:line="259" w:lineRule="auto"/>
              <w:ind w:left="84"/>
              <w:jc w:val="center"/>
              <w:rPr>
                <w:b/>
                <w:color w:val="FFFFFF"/>
                <w:sz w:val="18"/>
              </w:rPr>
            </w:pPr>
            <w:r w:rsidRPr="005B54EE">
              <w:rPr>
                <w:b/>
                <w:color w:val="FFFFFF"/>
                <w:sz w:val="18"/>
              </w:rPr>
              <w:t>2040</w:t>
            </w:r>
          </w:p>
        </w:tc>
        <w:tc>
          <w:tcPr>
            <w:tcW w:w="811" w:type="dxa"/>
            <w:tcBorders>
              <w:top w:val="single" w:sz="2" w:space="0" w:color="000000"/>
              <w:left w:val="single" w:sz="2" w:space="0" w:color="000000"/>
              <w:bottom w:val="single" w:sz="2" w:space="0" w:color="000000"/>
              <w:right w:val="single" w:sz="2" w:space="0" w:color="000000"/>
            </w:tcBorders>
            <w:shd w:val="clear" w:color="auto" w:fill="6D2A78"/>
          </w:tcPr>
          <w:p w14:paraId="460618B9" w14:textId="77777777" w:rsidR="002F4FA6" w:rsidRPr="005B54EE" w:rsidRDefault="002F4FA6" w:rsidP="00635A2E">
            <w:pPr>
              <w:spacing w:line="259" w:lineRule="auto"/>
              <w:ind w:left="84"/>
              <w:jc w:val="center"/>
              <w:rPr>
                <w:b/>
                <w:color w:val="FFFFFF"/>
                <w:sz w:val="18"/>
              </w:rPr>
            </w:pPr>
            <w:r w:rsidRPr="005B54EE">
              <w:rPr>
                <w:b/>
                <w:color w:val="FFFFFF"/>
                <w:sz w:val="18"/>
              </w:rPr>
              <w:t>2045</w:t>
            </w:r>
          </w:p>
        </w:tc>
        <w:tc>
          <w:tcPr>
            <w:tcW w:w="724" w:type="dxa"/>
            <w:tcBorders>
              <w:top w:val="single" w:sz="2" w:space="0" w:color="000000"/>
              <w:left w:val="single" w:sz="2" w:space="0" w:color="000000"/>
              <w:bottom w:val="single" w:sz="2" w:space="0" w:color="000000"/>
              <w:right w:val="single" w:sz="2" w:space="0" w:color="000000"/>
            </w:tcBorders>
            <w:shd w:val="clear" w:color="auto" w:fill="6D2A78"/>
          </w:tcPr>
          <w:p w14:paraId="72EF505D" w14:textId="77777777" w:rsidR="002F4FA6" w:rsidRPr="005B54EE" w:rsidRDefault="002F4FA6" w:rsidP="00635A2E">
            <w:pPr>
              <w:spacing w:line="259" w:lineRule="auto"/>
              <w:ind w:left="84"/>
              <w:jc w:val="center"/>
              <w:rPr>
                <w:b/>
                <w:color w:val="FFFFFF"/>
                <w:sz w:val="18"/>
              </w:rPr>
            </w:pPr>
            <w:r w:rsidRPr="005B54EE">
              <w:rPr>
                <w:b/>
                <w:color w:val="FFFFFF"/>
                <w:sz w:val="18"/>
              </w:rPr>
              <w:t>2050</w:t>
            </w:r>
          </w:p>
        </w:tc>
      </w:tr>
      <w:tr w:rsidR="002F4FA6" w:rsidRPr="005B54EE" w14:paraId="4598EA16" w14:textId="77777777" w:rsidTr="00635A2E">
        <w:trPr>
          <w:trHeight w:val="407"/>
        </w:trPr>
        <w:tc>
          <w:tcPr>
            <w:tcW w:w="2987" w:type="dxa"/>
            <w:tcBorders>
              <w:top w:val="single" w:sz="2" w:space="0" w:color="000000"/>
              <w:left w:val="single" w:sz="2" w:space="0" w:color="000000"/>
              <w:bottom w:val="single" w:sz="2" w:space="0" w:color="000000"/>
              <w:right w:val="single" w:sz="2" w:space="0" w:color="000000"/>
            </w:tcBorders>
          </w:tcPr>
          <w:p w14:paraId="0D99B39C" w14:textId="67E6275D" w:rsidR="002F4FA6" w:rsidRPr="005B54EE" w:rsidRDefault="002F4FA6" w:rsidP="00635A2E">
            <w:pPr>
              <w:rPr>
                <w:i/>
                <w:iCs/>
                <w:sz w:val="16"/>
                <w:szCs w:val="16"/>
              </w:rPr>
            </w:pPr>
            <w:r w:rsidRPr="005B54EE">
              <w:rPr>
                <w:sz w:val="18"/>
              </w:rPr>
              <w:t>AMS 2018 (€</w:t>
            </w:r>
            <w:r w:rsidRPr="005B54EE">
              <w:rPr>
                <w:sz w:val="12"/>
              </w:rPr>
              <w:t>2013</w:t>
            </w:r>
            <w:r w:rsidRPr="005B54EE">
              <w:rPr>
                <w:sz w:val="18"/>
              </w:rPr>
              <w:t>/t</w:t>
            </w:r>
            <w:r w:rsidRPr="005B54EE">
              <w:t>CO</w:t>
            </w:r>
            <w:r w:rsidRPr="005B54EE">
              <w:rPr>
                <w:vertAlign w:val="subscript"/>
              </w:rPr>
              <w:t>2</w:t>
            </w:r>
            <w:r w:rsidRPr="005B54EE">
              <w:rPr>
                <w:sz w:val="18"/>
              </w:rPr>
              <w:t>)</w:t>
            </w:r>
          </w:p>
        </w:tc>
        <w:tc>
          <w:tcPr>
            <w:tcW w:w="915" w:type="dxa"/>
            <w:tcBorders>
              <w:top w:val="single" w:sz="2" w:space="0" w:color="000000"/>
              <w:left w:val="single" w:sz="2" w:space="0" w:color="000000"/>
              <w:bottom w:val="single" w:sz="2" w:space="0" w:color="000000"/>
              <w:right w:val="single" w:sz="2" w:space="0" w:color="000000"/>
            </w:tcBorders>
          </w:tcPr>
          <w:p w14:paraId="5C8C311A" w14:textId="77777777" w:rsidR="002F4FA6" w:rsidRPr="005B54EE" w:rsidRDefault="002F4FA6" w:rsidP="00635A2E">
            <w:pPr>
              <w:spacing w:line="259" w:lineRule="auto"/>
              <w:ind w:left="88"/>
              <w:jc w:val="center"/>
            </w:pPr>
            <w:r w:rsidRPr="005B54EE">
              <w:rPr>
                <w:sz w:val="18"/>
              </w:rPr>
              <w:t xml:space="preserve">7,5 </w:t>
            </w:r>
          </w:p>
        </w:tc>
        <w:tc>
          <w:tcPr>
            <w:tcW w:w="924" w:type="dxa"/>
            <w:tcBorders>
              <w:top w:val="single" w:sz="2" w:space="0" w:color="000000"/>
              <w:left w:val="single" w:sz="2" w:space="0" w:color="000000"/>
              <w:bottom w:val="single" w:sz="2" w:space="0" w:color="000000"/>
              <w:right w:val="single" w:sz="2" w:space="0" w:color="000000"/>
            </w:tcBorders>
          </w:tcPr>
          <w:p w14:paraId="09448C96" w14:textId="77777777" w:rsidR="002F4FA6" w:rsidRPr="005B54EE" w:rsidRDefault="002F4FA6" w:rsidP="00635A2E">
            <w:pPr>
              <w:spacing w:line="259" w:lineRule="auto"/>
              <w:ind w:left="86"/>
              <w:jc w:val="center"/>
            </w:pPr>
            <w:r w:rsidRPr="005B54EE">
              <w:rPr>
                <w:sz w:val="18"/>
              </w:rPr>
              <w:t xml:space="preserve">15 </w:t>
            </w:r>
          </w:p>
        </w:tc>
        <w:tc>
          <w:tcPr>
            <w:tcW w:w="924" w:type="dxa"/>
            <w:tcBorders>
              <w:top w:val="single" w:sz="2" w:space="0" w:color="000000"/>
              <w:left w:val="single" w:sz="2" w:space="0" w:color="000000"/>
              <w:bottom w:val="single" w:sz="2" w:space="0" w:color="000000"/>
              <w:right w:val="single" w:sz="2" w:space="0" w:color="000000"/>
            </w:tcBorders>
          </w:tcPr>
          <w:p w14:paraId="25D21DAD" w14:textId="77777777" w:rsidR="002F4FA6" w:rsidRPr="005B54EE" w:rsidRDefault="002F4FA6" w:rsidP="00635A2E">
            <w:pPr>
              <w:spacing w:line="259" w:lineRule="auto"/>
              <w:ind w:left="88"/>
              <w:jc w:val="center"/>
            </w:pPr>
            <w:r w:rsidRPr="005B54EE">
              <w:rPr>
                <w:sz w:val="18"/>
              </w:rPr>
              <w:t xml:space="preserve">22,5 </w:t>
            </w:r>
          </w:p>
        </w:tc>
        <w:tc>
          <w:tcPr>
            <w:tcW w:w="924" w:type="dxa"/>
            <w:tcBorders>
              <w:top w:val="single" w:sz="2" w:space="0" w:color="000000"/>
              <w:left w:val="single" w:sz="2" w:space="0" w:color="000000"/>
              <w:bottom w:val="single" w:sz="2" w:space="0" w:color="000000"/>
              <w:right w:val="single" w:sz="2" w:space="0" w:color="000000"/>
            </w:tcBorders>
          </w:tcPr>
          <w:p w14:paraId="08C93EC2" w14:textId="77777777" w:rsidR="002F4FA6" w:rsidRPr="005B54EE" w:rsidRDefault="002F4FA6" w:rsidP="00635A2E">
            <w:pPr>
              <w:spacing w:line="259" w:lineRule="auto"/>
              <w:ind w:left="89"/>
              <w:jc w:val="center"/>
            </w:pPr>
            <w:r w:rsidRPr="005B54EE">
              <w:rPr>
                <w:sz w:val="18"/>
              </w:rPr>
              <w:t xml:space="preserve">33,5 </w:t>
            </w:r>
          </w:p>
        </w:tc>
        <w:tc>
          <w:tcPr>
            <w:tcW w:w="923" w:type="dxa"/>
            <w:tcBorders>
              <w:top w:val="single" w:sz="2" w:space="0" w:color="000000"/>
              <w:left w:val="single" w:sz="2" w:space="0" w:color="000000"/>
              <w:bottom w:val="single" w:sz="2" w:space="0" w:color="000000"/>
              <w:right w:val="single" w:sz="2" w:space="0" w:color="000000"/>
            </w:tcBorders>
          </w:tcPr>
          <w:p w14:paraId="2B7941D7" w14:textId="77777777" w:rsidR="002F4FA6" w:rsidRPr="005B54EE" w:rsidRDefault="002F4FA6" w:rsidP="00635A2E">
            <w:pPr>
              <w:spacing w:line="259" w:lineRule="auto"/>
              <w:ind w:left="85"/>
              <w:jc w:val="center"/>
              <w:rPr>
                <w:sz w:val="18"/>
              </w:rPr>
            </w:pPr>
            <w:r w:rsidRPr="005B54EE">
              <w:rPr>
                <w:sz w:val="18"/>
              </w:rPr>
              <w:t xml:space="preserve">42 </w:t>
            </w:r>
          </w:p>
        </w:tc>
        <w:tc>
          <w:tcPr>
            <w:tcW w:w="811" w:type="dxa"/>
            <w:tcBorders>
              <w:top w:val="single" w:sz="2" w:space="0" w:color="000000"/>
              <w:left w:val="single" w:sz="2" w:space="0" w:color="000000"/>
              <w:bottom w:val="single" w:sz="2" w:space="0" w:color="000000"/>
              <w:right w:val="single" w:sz="2" w:space="0" w:color="000000"/>
            </w:tcBorders>
          </w:tcPr>
          <w:p w14:paraId="65DF92C5" w14:textId="77777777" w:rsidR="002F4FA6" w:rsidRPr="005B54EE" w:rsidRDefault="002F4FA6" w:rsidP="00635A2E">
            <w:pPr>
              <w:spacing w:line="259" w:lineRule="auto"/>
              <w:ind w:left="85"/>
              <w:jc w:val="center"/>
              <w:rPr>
                <w:sz w:val="18"/>
              </w:rPr>
            </w:pPr>
          </w:p>
        </w:tc>
        <w:tc>
          <w:tcPr>
            <w:tcW w:w="811" w:type="dxa"/>
            <w:tcBorders>
              <w:top w:val="single" w:sz="2" w:space="0" w:color="000000"/>
              <w:left w:val="single" w:sz="2" w:space="0" w:color="000000"/>
              <w:bottom w:val="single" w:sz="2" w:space="0" w:color="000000"/>
              <w:right w:val="single" w:sz="2" w:space="0" w:color="000000"/>
            </w:tcBorders>
          </w:tcPr>
          <w:p w14:paraId="4D0E7C36" w14:textId="77777777" w:rsidR="002F4FA6" w:rsidRPr="005B54EE" w:rsidRDefault="002F4FA6" w:rsidP="00635A2E">
            <w:pPr>
              <w:spacing w:line="259" w:lineRule="auto"/>
              <w:ind w:left="85"/>
              <w:jc w:val="center"/>
              <w:rPr>
                <w:sz w:val="18"/>
              </w:rPr>
            </w:pPr>
          </w:p>
        </w:tc>
        <w:tc>
          <w:tcPr>
            <w:tcW w:w="724" w:type="dxa"/>
            <w:tcBorders>
              <w:top w:val="single" w:sz="2" w:space="0" w:color="000000"/>
              <w:left w:val="single" w:sz="2" w:space="0" w:color="000000"/>
              <w:bottom w:val="single" w:sz="2" w:space="0" w:color="000000"/>
              <w:right w:val="single" w:sz="2" w:space="0" w:color="000000"/>
            </w:tcBorders>
          </w:tcPr>
          <w:p w14:paraId="3FC00BFE" w14:textId="77777777" w:rsidR="002F4FA6" w:rsidRPr="005B54EE" w:rsidRDefault="002F4FA6" w:rsidP="00635A2E">
            <w:pPr>
              <w:spacing w:line="259" w:lineRule="auto"/>
              <w:ind w:left="85"/>
              <w:jc w:val="center"/>
              <w:rPr>
                <w:sz w:val="18"/>
              </w:rPr>
            </w:pPr>
          </w:p>
        </w:tc>
      </w:tr>
      <w:tr w:rsidR="002F4FA6" w:rsidRPr="005B54EE" w14:paraId="2A89B3F8" w14:textId="77777777" w:rsidTr="00635A2E">
        <w:trPr>
          <w:trHeight w:val="407"/>
        </w:trPr>
        <w:tc>
          <w:tcPr>
            <w:tcW w:w="2987" w:type="dxa"/>
            <w:tcBorders>
              <w:top w:val="single" w:sz="2" w:space="0" w:color="000000"/>
              <w:left w:val="single" w:sz="2" w:space="0" w:color="000000"/>
              <w:bottom w:val="single" w:sz="2" w:space="0" w:color="000000"/>
              <w:right w:val="single" w:sz="2" w:space="0" w:color="000000"/>
            </w:tcBorders>
          </w:tcPr>
          <w:p w14:paraId="16592D87" w14:textId="09825E45" w:rsidR="002F4FA6" w:rsidRPr="005B54EE" w:rsidDel="0084154F" w:rsidRDefault="002F4FA6" w:rsidP="00635A2E">
            <w:pPr>
              <w:rPr>
                <w:sz w:val="18"/>
              </w:rPr>
            </w:pPr>
            <w:r w:rsidRPr="005B54EE">
              <w:rPr>
                <w:sz w:val="18"/>
              </w:rPr>
              <w:t>AME 2021 (€</w:t>
            </w:r>
            <w:r w:rsidRPr="005B54EE">
              <w:rPr>
                <w:sz w:val="18"/>
                <w:vertAlign w:val="subscript"/>
              </w:rPr>
              <w:t>2016</w:t>
            </w:r>
            <w:r w:rsidRPr="005B54EE">
              <w:rPr>
                <w:sz w:val="18"/>
              </w:rPr>
              <w:t>/t</w:t>
            </w:r>
            <w:r w:rsidRPr="005B54EE">
              <w:t>CO</w:t>
            </w:r>
            <w:r w:rsidRPr="005B54EE">
              <w:rPr>
                <w:vertAlign w:val="subscript"/>
              </w:rPr>
              <w:t>2</w:t>
            </w:r>
            <w:r w:rsidRPr="005B54EE">
              <w:rPr>
                <w:sz w:val="18"/>
              </w:rPr>
              <w:t>)</w:t>
            </w:r>
          </w:p>
        </w:tc>
        <w:tc>
          <w:tcPr>
            <w:tcW w:w="915" w:type="dxa"/>
            <w:tcBorders>
              <w:top w:val="single" w:sz="2" w:space="0" w:color="000000"/>
              <w:left w:val="single" w:sz="2" w:space="0" w:color="000000"/>
              <w:bottom w:val="single" w:sz="2" w:space="0" w:color="000000"/>
              <w:right w:val="single" w:sz="2" w:space="0" w:color="000000"/>
            </w:tcBorders>
          </w:tcPr>
          <w:p w14:paraId="76345E38" w14:textId="77777777" w:rsidR="002F4FA6" w:rsidRPr="005B54EE" w:rsidRDefault="002F4FA6" w:rsidP="00635A2E">
            <w:pPr>
              <w:spacing w:line="259" w:lineRule="auto"/>
              <w:ind w:left="88"/>
              <w:jc w:val="center"/>
              <w:rPr>
                <w:sz w:val="18"/>
              </w:rPr>
            </w:pPr>
          </w:p>
        </w:tc>
        <w:tc>
          <w:tcPr>
            <w:tcW w:w="924" w:type="dxa"/>
            <w:tcBorders>
              <w:top w:val="single" w:sz="2" w:space="0" w:color="000000"/>
              <w:left w:val="single" w:sz="2" w:space="0" w:color="000000"/>
              <w:bottom w:val="single" w:sz="2" w:space="0" w:color="000000"/>
              <w:right w:val="single" w:sz="2" w:space="0" w:color="000000"/>
            </w:tcBorders>
          </w:tcPr>
          <w:p w14:paraId="520F83CD" w14:textId="77777777" w:rsidR="002F4FA6" w:rsidRPr="005B54EE" w:rsidRDefault="002F4FA6" w:rsidP="00635A2E">
            <w:pPr>
              <w:spacing w:line="259" w:lineRule="auto"/>
              <w:ind w:left="86"/>
              <w:jc w:val="center"/>
              <w:rPr>
                <w:sz w:val="18"/>
              </w:rPr>
            </w:pPr>
            <w:r w:rsidRPr="005B54EE">
              <w:rPr>
                <w:sz w:val="18"/>
              </w:rPr>
              <w:t>25</w:t>
            </w:r>
          </w:p>
        </w:tc>
        <w:tc>
          <w:tcPr>
            <w:tcW w:w="924" w:type="dxa"/>
            <w:tcBorders>
              <w:top w:val="single" w:sz="2" w:space="0" w:color="000000"/>
              <w:left w:val="single" w:sz="2" w:space="0" w:color="000000"/>
              <w:bottom w:val="single" w:sz="2" w:space="0" w:color="000000"/>
              <w:right w:val="single" w:sz="2" w:space="0" w:color="000000"/>
            </w:tcBorders>
          </w:tcPr>
          <w:p w14:paraId="38403A3F" w14:textId="77777777" w:rsidR="002F4FA6" w:rsidRPr="005B54EE" w:rsidRDefault="002F4FA6" w:rsidP="00635A2E">
            <w:pPr>
              <w:spacing w:line="259" w:lineRule="auto"/>
              <w:ind w:left="88"/>
              <w:jc w:val="center"/>
              <w:rPr>
                <w:sz w:val="18"/>
              </w:rPr>
            </w:pPr>
            <w:r w:rsidRPr="005B54EE">
              <w:rPr>
                <w:sz w:val="18"/>
              </w:rPr>
              <w:t>28</w:t>
            </w:r>
          </w:p>
        </w:tc>
        <w:tc>
          <w:tcPr>
            <w:tcW w:w="924" w:type="dxa"/>
            <w:tcBorders>
              <w:top w:val="single" w:sz="2" w:space="0" w:color="000000"/>
              <w:left w:val="single" w:sz="2" w:space="0" w:color="000000"/>
              <w:bottom w:val="single" w:sz="2" w:space="0" w:color="000000"/>
              <w:right w:val="single" w:sz="2" w:space="0" w:color="000000"/>
            </w:tcBorders>
          </w:tcPr>
          <w:p w14:paraId="13075682" w14:textId="77777777" w:rsidR="002F4FA6" w:rsidRPr="005B54EE" w:rsidRDefault="002F4FA6" w:rsidP="00635A2E">
            <w:pPr>
              <w:spacing w:line="259" w:lineRule="auto"/>
              <w:ind w:left="89"/>
              <w:jc w:val="center"/>
              <w:rPr>
                <w:sz w:val="18"/>
              </w:rPr>
            </w:pPr>
            <w:r w:rsidRPr="005B54EE">
              <w:rPr>
                <w:sz w:val="18"/>
              </w:rPr>
              <w:t>30</w:t>
            </w:r>
          </w:p>
        </w:tc>
        <w:tc>
          <w:tcPr>
            <w:tcW w:w="923" w:type="dxa"/>
            <w:tcBorders>
              <w:top w:val="single" w:sz="2" w:space="0" w:color="000000"/>
              <w:left w:val="single" w:sz="2" w:space="0" w:color="000000"/>
              <w:bottom w:val="single" w:sz="2" w:space="0" w:color="000000"/>
              <w:right w:val="single" w:sz="2" w:space="0" w:color="000000"/>
            </w:tcBorders>
          </w:tcPr>
          <w:p w14:paraId="1B8E87FB" w14:textId="77777777" w:rsidR="002F4FA6" w:rsidRPr="005B54EE" w:rsidRDefault="002F4FA6" w:rsidP="00635A2E">
            <w:pPr>
              <w:spacing w:line="259" w:lineRule="auto"/>
              <w:ind w:left="85"/>
              <w:jc w:val="center"/>
              <w:rPr>
                <w:sz w:val="18"/>
              </w:rPr>
            </w:pPr>
            <w:r w:rsidRPr="005B54EE">
              <w:rPr>
                <w:sz w:val="18"/>
              </w:rPr>
              <w:t>40</w:t>
            </w:r>
          </w:p>
        </w:tc>
        <w:tc>
          <w:tcPr>
            <w:tcW w:w="811" w:type="dxa"/>
            <w:tcBorders>
              <w:top w:val="single" w:sz="2" w:space="0" w:color="000000"/>
              <w:left w:val="single" w:sz="2" w:space="0" w:color="000000"/>
              <w:bottom w:val="single" w:sz="2" w:space="0" w:color="000000"/>
              <w:right w:val="single" w:sz="2" w:space="0" w:color="000000"/>
            </w:tcBorders>
          </w:tcPr>
          <w:p w14:paraId="460357FD" w14:textId="77777777" w:rsidR="002F4FA6" w:rsidRPr="005B54EE" w:rsidRDefault="002F4FA6" w:rsidP="00635A2E">
            <w:pPr>
              <w:spacing w:line="259" w:lineRule="auto"/>
              <w:ind w:left="85"/>
              <w:jc w:val="center"/>
              <w:rPr>
                <w:sz w:val="18"/>
              </w:rPr>
            </w:pPr>
            <w:r w:rsidRPr="005B54EE">
              <w:rPr>
                <w:sz w:val="18"/>
              </w:rPr>
              <w:t>53</w:t>
            </w:r>
          </w:p>
        </w:tc>
        <w:tc>
          <w:tcPr>
            <w:tcW w:w="811" w:type="dxa"/>
            <w:tcBorders>
              <w:top w:val="single" w:sz="2" w:space="0" w:color="000000"/>
              <w:left w:val="single" w:sz="2" w:space="0" w:color="000000"/>
              <w:bottom w:val="single" w:sz="2" w:space="0" w:color="000000"/>
              <w:right w:val="single" w:sz="2" w:space="0" w:color="000000"/>
            </w:tcBorders>
          </w:tcPr>
          <w:p w14:paraId="09535A68" w14:textId="77777777" w:rsidR="002F4FA6" w:rsidRPr="005B54EE" w:rsidRDefault="002F4FA6" w:rsidP="00635A2E">
            <w:pPr>
              <w:spacing w:line="259" w:lineRule="auto"/>
              <w:ind w:left="85"/>
              <w:jc w:val="center"/>
              <w:rPr>
                <w:sz w:val="18"/>
              </w:rPr>
            </w:pPr>
            <w:r w:rsidRPr="005B54EE">
              <w:rPr>
                <w:sz w:val="18"/>
              </w:rPr>
              <w:t>70,1</w:t>
            </w:r>
          </w:p>
        </w:tc>
        <w:tc>
          <w:tcPr>
            <w:tcW w:w="724" w:type="dxa"/>
            <w:tcBorders>
              <w:top w:val="single" w:sz="2" w:space="0" w:color="000000"/>
              <w:left w:val="single" w:sz="2" w:space="0" w:color="000000"/>
              <w:bottom w:val="single" w:sz="2" w:space="0" w:color="000000"/>
              <w:right w:val="single" w:sz="2" w:space="0" w:color="000000"/>
            </w:tcBorders>
          </w:tcPr>
          <w:p w14:paraId="5DC004EC" w14:textId="77777777" w:rsidR="002F4FA6" w:rsidRPr="005B54EE" w:rsidRDefault="002F4FA6" w:rsidP="00635A2E">
            <w:pPr>
              <w:spacing w:line="259" w:lineRule="auto"/>
              <w:ind w:left="85"/>
              <w:jc w:val="center"/>
              <w:rPr>
                <w:sz w:val="18"/>
              </w:rPr>
            </w:pPr>
            <w:r w:rsidRPr="005B54EE">
              <w:rPr>
                <w:sz w:val="18"/>
              </w:rPr>
              <w:t>89,4</w:t>
            </w:r>
          </w:p>
        </w:tc>
      </w:tr>
    </w:tbl>
    <w:p w14:paraId="7FC9E996" w14:textId="182A4720" w:rsidR="002F4FA6" w:rsidRPr="005B54EE" w:rsidRDefault="002F4FA6" w:rsidP="002F4FA6">
      <w:pPr>
        <w:pStyle w:val="Caption"/>
      </w:pPr>
      <w:bookmarkStart w:id="143" w:name="_Toc122694459"/>
      <w:bookmarkStart w:id="144" w:name="_Toc124153741"/>
      <w:r w:rsidRPr="005B54EE">
        <w:t xml:space="preserve">Table </w:t>
      </w:r>
      <w:r w:rsidR="00C73940">
        <w:fldChar w:fldCharType="begin"/>
      </w:r>
      <w:r w:rsidR="00C73940">
        <w:instrText xml:space="preserve"> SEQ Tableau \* ARABIC </w:instrText>
      </w:r>
      <w:r w:rsidR="00C73940">
        <w:fldChar w:fldCharType="separate"/>
      </w:r>
      <w:r w:rsidR="005B1C45">
        <w:rPr>
          <w:noProof/>
        </w:rPr>
        <w:t>27</w:t>
      </w:r>
      <w:r w:rsidR="00C73940">
        <w:rPr>
          <w:noProof/>
        </w:rPr>
        <w:fldChar w:fldCharType="end"/>
      </w:r>
      <w:r w:rsidRPr="005B54EE">
        <w:t>: Carbon price assumptions under the ETS</w:t>
      </w:r>
      <w:bookmarkEnd w:id="143"/>
      <w:bookmarkEnd w:id="144"/>
      <w:r w:rsidRPr="005B54EE">
        <w:t xml:space="preserve"> </w:t>
      </w:r>
    </w:p>
    <w:p w14:paraId="00131E0D" w14:textId="77777777" w:rsidR="002F4FA6" w:rsidRPr="005B54EE" w:rsidRDefault="002F4FA6" w:rsidP="002F4FA6">
      <w:pPr>
        <w:pStyle w:val="Caption"/>
      </w:pPr>
      <w:r w:rsidRPr="005B54EE">
        <w:t>Source: EU economic framework</w:t>
      </w:r>
    </w:p>
    <w:p w14:paraId="78748441" w14:textId="77777777" w:rsidR="002F4FA6" w:rsidRPr="005B54EE" w:rsidRDefault="002F4FA6" w:rsidP="002F4FA6">
      <w:pPr>
        <w:pStyle w:val="Titre4niveau4"/>
        <w:spacing w:before="240"/>
      </w:pPr>
      <w:r w:rsidRPr="005B54EE">
        <w:t>Demographic assumptions</w:t>
      </w:r>
    </w:p>
    <w:p w14:paraId="29029FE9" w14:textId="77777777" w:rsidR="002F4FA6" w:rsidRPr="005B54EE" w:rsidRDefault="002F4FA6" w:rsidP="002F4FA6">
      <w:pPr>
        <w:spacing w:before="240" w:after="240"/>
      </w:pPr>
      <w:r w:rsidRPr="005B54EE">
        <w:t xml:space="preserve">The population growth assumptions for AMS 2018 come from the central scenario by INSEE (French National Institute of Statistics and Economic Studies) which produces the reference demographic projections for France. </w:t>
      </w:r>
    </w:p>
    <w:p w14:paraId="64BD7D4B" w14:textId="77777777" w:rsidR="002F4FA6" w:rsidRPr="005B54EE" w:rsidRDefault="002F4FA6" w:rsidP="002F4FA6">
      <w:pPr>
        <w:spacing w:before="240" w:after="240"/>
      </w:pPr>
      <w:r w:rsidRPr="005B54EE">
        <w:t>The Eurostat scenario, provided in the European Commission’s framework, was used for AMS 2021. Indeed, the data observed up to 2019 already deviated from the data in the 2016 INSEE scenario, which justified this change of source, leading to a decrease in the population of about 2 million inhabitants in 2050. As Eurostat does not provide a disaggregated figure between mainland France and the DROMs, the figures from the INSEE low fertility scenario, recalculated on the Eurostat totals, were used to calculate the population of the DROMs.</w:t>
      </w:r>
    </w:p>
    <w:p w14:paraId="547C834E" w14:textId="77777777" w:rsidR="002F4FA6" w:rsidRPr="005B54EE" w:rsidRDefault="002F4FA6" w:rsidP="002F4FA6">
      <w:pPr>
        <w:pStyle w:val="titreencadre"/>
        <w:spacing w:before="120" w:after="60" w:line="240" w:lineRule="auto"/>
      </w:pPr>
      <w:r w:rsidRPr="005B54EE">
        <w:t>AME 2021</w:t>
      </w:r>
    </w:p>
    <w:tbl>
      <w:tblPr>
        <w:tblStyle w:val="TableGrid0"/>
        <w:tblW w:w="9943" w:type="dxa"/>
        <w:tblInd w:w="1" w:type="dxa"/>
        <w:tblCellMar>
          <w:top w:w="124" w:type="dxa"/>
          <w:left w:w="28" w:type="dxa"/>
          <w:bottom w:w="20" w:type="dxa"/>
          <w:right w:w="115" w:type="dxa"/>
        </w:tblCellMar>
        <w:tblLook w:val="04A0" w:firstRow="1" w:lastRow="0" w:firstColumn="1" w:lastColumn="0" w:noHBand="0" w:noVBand="1"/>
      </w:tblPr>
      <w:tblGrid>
        <w:gridCol w:w="1981"/>
        <w:gridCol w:w="995"/>
        <w:gridCol w:w="995"/>
        <w:gridCol w:w="995"/>
        <w:gridCol w:w="996"/>
        <w:gridCol w:w="995"/>
        <w:gridCol w:w="995"/>
        <w:gridCol w:w="995"/>
        <w:gridCol w:w="996"/>
      </w:tblGrid>
      <w:tr w:rsidR="002F4FA6" w:rsidRPr="005B54EE" w14:paraId="1499807F" w14:textId="77777777" w:rsidTr="00635A2E">
        <w:trPr>
          <w:trHeight w:val="378"/>
        </w:trPr>
        <w:tc>
          <w:tcPr>
            <w:tcW w:w="1981" w:type="dxa"/>
            <w:tcBorders>
              <w:top w:val="single" w:sz="2" w:space="0" w:color="000000"/>
              <w:left w:val="single" w:sz="2" w:space="0" w:color="000000"/>
              <w:bottom w:val="single" w:sz="2" w:space="0" w:color="000000"/>
              <w:right w:val="single" w:sz="4" w:space="0" w:color="auto"/>
            </w:tcBorders>
            <w:shd w:val="clear" w:color="auto" w:fill="6D2A78"/>
          </w:tcPr>
          <w:p w14:paraId="47C6381A" w14:textId="77777777" w:rsidR="002F4FA6" w:rsidRPr="005B54EE" w:rsidRDefault="002F4FA6" w:rsidP="00635A2E">
            <w:pPr>
              <w:spacing w:line="259" w:lineRule="auto"/>
            </w:pPr>
            <w:r w:rsidRPr="005B54EE">
              <w:rPr>
                <w:color w:val="FFFFFF"/>
                <w:sz w:val="18"/>
              </w:rPr>
              <w:t xml:space="preserve">Population (in thousands of inhabitants) </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1A632573" w14:textId="77777777" w:rsidR="002F4FA6" w:rsidRPr="005B54EE" w:rsidRDefault="002F4FA6" w:rsidP="00635A2E">
            <w:pPr>
              <w:spacing w:line="259" w:lineRule="auto"/>
              <w:ind w:left="85"/>
              <w:jc w:val="center"/>
            </w:pPr>
            <w:r w:rsidRPr="005B54EE">
              <w:rPr>
                <w:b/>
                <w:color w:val="FFFFFF"/>
                <w:sz w:val="18"/>
              </w:rPr>
              <w:t>2019</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68A064BF" w14:textId="77777777" w:rsidR="002F4FA6" w:rsidRPr="005B54EE" w:rsidRDefault="002F4FA6" w:rsidP="00635A2E">
            <w:pPr>
              <w:spacing w:line="259" w:lineRule="auto"/>
              <w:ind w:left="85"/>
              <w:jc w:val="center"/>
            </w:pPr>
            <w:r w:rsidRPr="005B54EE">
              <w:rPr>
                <w:b/>
                <w:color w:val="FFFFFF"/>
                <w:sz w:val="18"/>
              </w:rPr>
              <w:t>2020</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6C45E786" w14:textId="77777777" w:rsidR="002F4FA6" w:rsidRPr="005B54EE" w:rsidRDefault="002F4FA6" w:rsidP="00635A2E">
            <w:pPr>
              <w:spacing w:line="259" w:lineRule="auto"/>
              <w:ind w:left="85"/>
              <w:jc w:val="center"/>
            </w:pPr>
            <w:r w:rsidRPr="005B54EE">
              <w:rPr>
                <w:b/>
                <w:color w:val="FFFFFF"/>
                <w:sz w:val="18"/>
              </w:rPr>
              <w:t>2025</w:t>
            </w:r>
          </w:p>
        </w:tc>
        <w:tc>
          <w:tcPr>
            <w:tcW w:w="996" w:type="dxa"/>
            <w:tcBorders>
              <w:top w:val="single" w:sz="4" w:space="0" w:color="auto"/>
              <w:left w:val="single" w:sz="4" w:space="0" w:color="auto"/>
              <w:bottom w:val="single" w:sz="4" w:space="0" w:color="auto"/>
              <w:right w:val="single" w:sz="4" w:space="0" w:color="auto"/>
            </w:tcBorders>
            <w:shd w:val="clear" w:color="auto" w:fill="6D2A78"/>
            <w:vAlign w:val="center"/>
          </w:tcPr>
          <w:p w14:paraId="50CFEE59" w14:textId="77777777" w:rsidR="002F4FA6" w:rsidRPr="005B54EE" w:rsidRDefault="002F4FA6" w:rsidP="00635A2E">
            <w:pPr>
              <w:spacing w:line="259" w:lineRule="auto"/>
              <w:ind w:left="86"/>
              <w:jc w:val="center"/>
            </w:pPr>
            <w:r w:rsidRPr="005B54EE">
              <w:rPr>
                <w:b/>
                <w:color w:val="FFFFFF"/>
                <w:sz w:val="18"/>
              </w:rPr>
              <w:t>2030</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53F7B11C" w14:textId="77777777" w:rsidR="002F4FA6" w:rsidRPr="005B54EE" w:rsidRDefault="002F4FA6" w:rsidP="00635A2E">
            <w:pPr>
              <w:spacing w:line="259" w:lineRule="auto"/>
              <w:ind w:left="84"/>
              <w:jc w:val="center"/>
            </w:pPr>
            <w:r w:rsidRPr="005B54EE">
              <w:rPr>
                <w:b/>
                <w:color w:val="FFFFFF"/>
                <w:sz w:val="18"/>
              </w:rPr>
              <w:t>2035</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605264C6" w14:textId="77777777" w:rsidR="002F4FA6" w:rsidRPr="005B54EE" w:rsidRDefault="002F4FA6" w:rsidP="00635A2E">
            <w:pPr>
              <w:spacing w:line="259" w:lineRule="auto"/>
              <w:ind w:left="84"/>
              <w:jc w:val="center"/>
              <w:rPr>
                <w:b/>
                <w:color w:val="FFFFFF"/>
                <w:sz w:val="18"/>
              </w:rPr>
            </w:pPr>
            <w:r w:rsidRPr="005B54EE">
              <w:rPr>
                <w:b/>
                <w:color w:val="FFFFFF"/>
                <w:sz w:val="18"/>
              </w:rPr>
              <w:t>2040</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53F0E575" w14:textId="77777777" w:rsidR="002F4FA6" w:rsidRPr="005B54EE" w:rsidRDefault="002F4FA6" w:rsidP="00635A2E">
            <w:pPr>
              <w:spacing w:line="259" w:lineRule="auto"/>
              <w:ind w:left="84"/>
              <w:jc w:val="center"/>
              <w:rPr>
                <w:b/>
                <w:color w:val="FFFFFF"/>
                <w:sz w:val="18"/>
              </w:rPr>
            </w:pPr>
            <w:r w:rsidRPr="005B54EE">
              <w:rPr>
                <w:b/>
                <w:color w:val="FFFFFF"/>
                <w:sz w:val="18"/>
              </w:rPr>
              <w:t>2045</w:t>
            </w:r>
          </w:p>
        </w:tc>
        <w:tc>
          <w:tcPr>
            <w:tcW w:w="996" w:type="dxa"/>
            <w:tcBorders>
              <w:top w:val="single" w:sz="4" w:space="0" w:color="auto"/>
              <w:left w:val="single" w:sz="4" w:space="0" w:color="auto"/>
              <w:bottom w:val="single" w:sz="4" w:space="0" w:color="auto"/>
              <w:right w:val="single" w:sz="4" w:space="0" w:color="auto"/>
            </w:tcBorders>
            <w:shd w:val="clear" w:color="auto" w:fill="6D2A78"/>
            <w:vAlign w:val="center"/>
          </w:tcPr>
          <w:p w14:paraId="5B9F9810" w14:textId="77777777" w:rsidR="002F4FA6" w:rsidRPr="005B54EE" w:rsidRDefault="002F4FA6" w:rsidP="00635A2E">
            <w:pPr>
              <w:spacing w:line="259" w:lineRule="auto"/>
              <w:ind w:left="84"/>
              <w:jc w:val="center"/>
              <w:rPr>
                <w:b/>
                <w:color w:val="FFFFFF"/>
                <w:sz w:val="18"/>
              </w:rPr>
            </w:pPr>
            <w:r w:rsidRPr="005B54EE">
              <w:rPr>
                <w:b/>
                <w:color w:val="FFFFFF"/>
                <w:sz w:val="18"/>
              </w:rPr>
              <w:t>2050</w:t>
            </w:r>
          </w:p>
        </w:tc>
      </w:tr>
      <w:tr w:rsidR="002F4FA6" w:rsidRPr="005B54EE" w14:paraId="79FBEA0E" w14:textId="77777777" w:rsidTr="00635A2E">
        <w:trPr>
          <w:trHeight w:val="359"/>
        </w:trPr>
        <w:tc>
          <w:tcPr>
            <w:tcW w:w="1981" w:type="dxa"/>
            <w:tcBorders>
              <w:top w:val="single" w:sz="2" w:space="0" w:color="000000"/>
              <w:left w:val="single" w:sz="2" w:space="0" w:color="000000"/>
              <w:bottom w:val="single" w:sz="2" w:space="0" w:color="000000"/>
              <w:right w:val="single" w:sz="4" w:space="0" w:color="auto"/>
            </w:tcBorders>
            <w:vAlign w:val="bottom"/>
          </w:tcPr>
          <w:p w14:paraId="5FE34414" w14:textId="77777777" w:rsidR="002F4FA6" w:rsidRPr="005B54EE" w:rsidRDefault="002F4FA6" w:rsidP="00635A2E">
            <w:pPr>
              <w:spacing w:line="259" w:lineRule="auto"/>
            </w:pPr>
            <w:r w:rsidRPr="005B54EE">
              <w:rPr>
                <w:sz w:val="18"/>
              </w:rPr>
              <w:t xml:space="preserve">France </w:t>
            </w:r>
          </w:p>
        </w:tc>
        <w:tc>
          <w:tcPr>
            <w:tcW w:w="995" w:type="dxa"/>
            <w:tcBorders>
              <w:top w:val="single" w:sz="4" w:space="0" w:color="auto"/>
              <w:left w:val="single" w:sz="4" w:space="0" w:color="auto"/>
              <w:bottom w:val="single" w:sz="4" w:space="0" w:color="auto"/>
              <w:right w:val="single" w:sz="4" w:space="0" w:color="auto"/>
            </w:tcBorders>
            <w:vAlign w:val="center"/>
          </w:tcPr>
          <w:p w14:paraId="2CB79918" w14:textId="77777777" w:rsidR="002F4FA6" w:rsidRPr="005B54EE" w:rsidRDefault="002F4FA6" w:rsidP="00635A2E">
            <w:pPr>
              <w:spacing w:line="259" w:lineRule="auto"/>
              <w:jc w:val="center"/>
              <w:rPr>
                <w:sz w:val="18"/>
              </w:rPr>
            </w:pPr>
            <w:r w:rsidRPr="005B54EE">
              <w:rPr>
                <w:sz w:val="18"/>
              </w:rPr>
              <w:t>67.0</w:t>
            </w:r>
          </w:p>
        </w:tc>
        <w:tc>
          <w:tcPr>
            <w:tcW w:w="995" w:type="dxa"/>
            <w:tcBorders>
              <w:top w:val="single" w:sz="4" w:space="0" w:color="auto"/>
              <w:left w:val="single" w:sz="4" w:space="0" w:color="auto"/>
              <w:bottom w:val="single" w:sz="4" w:space="0" w:color="auto"/>
              <w:right w:val="single" w:sz="4" w:space="0" w:color="auto"/>
            </w:tcBorders>
            <w:vAlign w:val="center"/>
          </w:tcPr>
          <w:p w14:paraId="1A7901CA" w14:textId="77777777" w:rsidR="002F4FA6" w:rsidRPr="005B54EE" w:rsidRDefault="002F4FA6" w:rsidP="00635A2E">
            <w:pPr>
              <w:spacing w:line="259" w:lineRule="auto"/>
              <w:jc w:val="center"/>
              <w:rPr>
                <w:sz w:val="18"/>
              </w:rPr>
            </w:pPr>
            <w:r w:rsidRPr="005B54EE">
              <w:rPr>
                <w:sz w:val="18"/>
              </w:rPr>
              <w:t>67.20</w:t>
            </w:r>
          </w:p>
        </w:tc>
        <w:tc>
          <w:tcPr>
            <w:tcW w:w="995" w:type="dxa"/>
            <w:tcBorders>
              <w:top w:val="single" w:sz="4" w:space="0" w:color="auto"/>
              <w:left w:val="single" w:sz="4" w:space="0" w:color="auto"/>
              <w:bottom w:val="single" w:sz="4" w:space="0" w:color="auto"/>
              <w:right w:val="single" w:sz="4" w:space="0" w:color="auto"/>
            </w:tcBorders>
            <w:vAlign w:val="center"/>
          </w:tcPr>
          <w:p w14:paraId="2F467495" w14:textId="77777777" w:rsidR="002F4FA6" w:rsidRPr="005B54EE" w:rsidRDefault="002F4FA6" w:rsidP="00635A2E">
            <w:pPr>
              <w:spacing w:line="259" w:lineRule="auto"/>
              <w:jc w:val="center"/>
              <w:rPr>
                <w:sz w:val="18"/>
              </w:rPr>
            </w:pPr>
            <w:r w:rsidRPr="005B54EE">
              <w:rPr>
                <w:sz w:val="18"/>
              </w:rPr>
              <w:t>68.15</w:t>
            </w:r>
          </w:p>
        </w:tc>
        <w:tc>
          <w:tcPr>
            <w:tcW w:w="996" w:type="dxa"/>
            <w:tcBorders>
              <w:top w:val="single" w:sz="4" w:space="0" w:color="auto"/>
              <w:left w:val="single" w:sz="4" w:space="0" w:color="auto"/>
              <w:bottom w:val="single" w:sz="4" w:space="0" w:color="auto"/>
              <w:right w:val="single" w:sz="4" w:space="0" w:color="auto"/>
            </w:tcBorders>
            <w:vAlign w:val="center"/>
          </w:tcPr>
          <w:p w14:paraId="3CF33592" w14:textId="77777777" w:rsidR="002F4FA6" w:rsidRPr="005B54EE" w:rsidRDefault="002F4FA6" w:rsidP="00635A2E">
            <w:pPr>
              <w:spacing w:line="259" w:lineRule="auto"/>
              <w:jc w:val="center"/>
              <w:rPr>
                <w:sz w:val="18"/>
              </w:rPr>
            </w:pPr>
            <w:r w:rsidRPr="005B54EE">
              <w:rPr>
                <w:sz w:val="18"/>
              </w:rPr>
              <w:t>69.12</w:t>
            </w:r>
          </w:p>
        </w:tc>
        <w:tc>
          <w:tcPr>
            <w:tcW w:w="995" w:type="dxa"/>
            <w:tcBorders>
              <w:top w:val="single" w:sz="4" w:space="0" w:color="auto"/>
              <w:left w:val="single" w:sz="4" w:space="0" w:color="auto"/>
              <w:bottom w:val="single" w:sz="4" w:space="0" w:color="auto"/>
              <w:right w:val="single" w:sz="4" w:space="0" w:color="auto"/>
            </w:tcBorders>
            <w:vAlign w:val="center"/>
          </w:tcPr>
          <w:p w14:paraId="595AF9C7" w14:textId="77777777" w:rsidR="002F4FA6" w:rsidRPr="005B54EE" w:rsidRDefault="002F4FA6" w:rsidP="00635A2E">
            <w:pPr>
              <w:spacing w:line="259" w:lineRule="auto"/>
              <w:jc w:val="center"/>
              <w:rPr>
                <w:sz w:val="18"/>
              </w:rPr>
            </w:pPr>
            <w:r w:rsidRPr="005B54EE">
              <w:rPr>
                <w:sz w:val="18"/>
              </w:rPr>
              <w:t>70.10</w:t>
            </w:r>
          </w:p>
        </w:tc>
        <w:tc>
          <w:tcPr>
            <w:tcW w:w="995" w:type="dxa"/>
            <w:tcBorders>
              <w:top w:val="single" w:sz="4" w:space="0" w:color="auto"/>
              <w:left w:val="single" w:sz="4" w:space="0" w:color="auto"/>
              <w:bottom w:val="single" w:sz="4" w:space="0" w:color="auto"/>
              <w:right w:val="single" w:sz="4" w:space="0" w:color="auto"/>
            </w:tcBorders>
            <w:vAlign w:val="center"/>
          </w:tcPr>
          <w:p w14:paraId="122D3C09" w14:textId="77777777" w:rsidR="002F4FA6" w:rsidRPr="005B54EE" w:rsidRDefault="002F4FA6" w:rsidP="00635A2E">
            <w:pPr>
              <w:spacing w:line="259" w:lineRule="auto"/>
              <w:jc w:val="center"/>
              <w:rPr>
                <w:sz w:val="18"/>
              </w:rPr>
            </w:pPr>
            <w:r w:rsidRPr="005B54EE">
              <w:rPr>
                <w:sz w:val="18"/>
              </w:rPr>
              <w:t>70.93</w:t>
            </w:r>
          </w:p>
        </w:tc>
        <w:tc>
          <w:tcPr>
            <w:tcW w:w="995" w:type="dxa"/>
            <w:tcBorders>
              <w:top w:val="single" w:sz="4" w:space="0" w:color="auto"/>
              <w:left w:val="single" w:sz="4" w:space="0" w:color="auto"/>
              <w:bottom w:val="single" w:sz="4" w:space="0" w:color="auto"/>
              <w:right w:val="single" w:sz="4" w:space="0" w:color="auto"/>
            </w:tcBorders>
            <w:vAlign w:val="center"/>
          </w:tcPr>
          <w:p w14:paraId="6C64D898" w14:textId="77777777" w:rsidR="002F4FA6" w:rsidRPr="005B54EE" w:rsidRDefault="002F4FA6" w:rsidP="00635A2E">
            <w:pPr>
              <w:spacing w:line="259" w:lineRule="auto"/>
              <w:jc w:val="center"/>
              <w:rPr>
                <w:sz w:val="18"/>
              </w:rPr>
            </w:pPr>
            <w:r w:rsidRPr="005B54EE">
              <w:rPr>
                <w:sz w:val="18"/>
              </w:rPr>
              <w:t>71.46</w:t>
            </w:r>
          </w:p>
        </w:tc>
        <w:tc>
          <w:tcPr>
            <w:tcW w:w="996" w:type="dxa"/>
            <w:tcBorders>
              <w:top w:val="single" w:sz="4" w:space="0" w:color="auto"/>
              <w:left w:val="single" w:sz="4" w:space="0" w:color="auto"/>
              <w:bottom w:val="single" w:sz="4" w:space="0" w:color="auto"/>
              <w:right w:val="single" w:sz="4" w:space="0" w:color="auto"/>
            </w:tcBorders>
            <w:vAlign w:val="center"/>
          </w:tcPr>
          <w:p w14:paraId="73D62950" w14:textId="77777777" w:rsidR="002F4FA6" w:rsidRPr="005B54EE" w:rsidRDefault="002F4FA6" w:rsidP="00635A2E">
            <w:pPr>
              <w:spacing w:line="259" w:lineRule="auto"/>
              <w:jc w:val="center"/>
              <w:rPr>
                <w:sz w:val="18"/>
              </w:rPr>
            </w:pPr>
            <w:r w:rsidRPr="005B54EE">
              <w:rPr>
                <w:sz w:val="18"/>
              </w:rPr>
              <w:t>71.78</w:t>
            </w:r>
          </w:p>
        </w:tc>
      </w:tr>
      <w:tr w:rsidR="002F4FA6" w:rsidRPr="005B54EE" w14:paraId="693599EA" w14:textId="77777777" w:rsidTr="00635A2E">
        <w:trPr>
          <w:trHeight w:val="320"/>
        </w:trPr>
        <w:tc>
          <w:tcPr>
            <w:tcW w:w="1981" w:type="dxa"/>
            <w:tcBorders>
              <w:top w:val="single" w:sz="2" w:space="0" w:color="000000"/>
              <w:left w:val="single" w:sz="2" w:space="0" w:color="000000"/>
              <w:bottom w:val="single" w:sz="2" w:space="0" w:color="000000"/>
              <w:right w:val="single" w:sz="4" w:space="0" w:color="auto"/>
            </w:tcBorders>
            <w:shd w:val="clear" w:color="auto" w:fill="ECE6E2"/>
            <w:vAlign w:val="bottom"/>
          </w:tcPr>
          <w:p w14:paraId="504F0F00" w14:textId="77777777" w:rsidR="002F4FA6" w:rsidRPr="005B54EE" w:rsidRDefault="002F4FA6" w:rsidP="00635A2E">
            <w:pPr>
              <w:spacing w:line="259" w:lineRule="auto"/>
            </w:pPr>
            <w:r w:rsidRPr="005B54EE">
              <w:rPr>
                <w:sz w:val="18"/>
              </w:rPr>
              <w:t xml:space="preserve">  of which mainland France </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03FF4CD8" w14:textId="77777777" w:rsidR="002F4FA6" w:rsidRPr="005B54EE" w:rsidRDefault="002F4FA6" w:rsidP="00635A2E">
            <w:pPr>
              <w:spacing w:line="259" w:lineRule="auto"/>
              <w:jc w:val="center"/>
              <w:rPr>
                <w:sz w:val="18"/>
              </w:rPr>
            </w:pPr>
            <w:r w:rsidRPr="005B54EE">
              <w:rPr>
                <w:sz w:val="18"/>
              </w:rPr>
              <w:t>64.90</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7433A5C6" w14:textId="77777777" w:rsidR="002F4FA6" w:rsidRPr="005B54EE" w:rsidRDefault="002F4FA6" w:rsidP="00635A2E">
            <w:pPr>
              <w:spacing w:line="259" w:lineRule="auto"/>
              <w:jc w:val="center"/>
              <w:rPr>
                <w:sz w:val="18"/>
              </w:rPr>
            </w:pPr>
            <w:r w:rsidRPr="005B54EE">
              <w:rPr>
                <w:sz w:val="18"/>
              </w:rPr>
              <w:t>65.09</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7C6B9CAE" w14:textId="77777777" w:rsidR="002F4FA6" w:rsidRPr="005B54EE" w:rsidRDefault="002F4FA6" w:rsidP="00635A2E">
            <w:pPr>
              <w:spacing w:line="259" w:lineRule="auto"/>
              <w:jc w:val="center"/>
              <w:rPr>
                <w:sz w:val="18"/>
              </w:rPr>
            </w:pPr>
            <w:r w:rsidRPr="005B54EE">
              <w:rPr>
                <w:sz w:val="18"/>
              </w:rPr>
              <w:t>66.01</w:t>
            </w:r>
          </w:p>
        </w:tc>
        <w:tc>
          <w:tcPr>
            <w:tcW w:w="996" w:type="dxa"/>
            <w:tcBorders>
              <w:top w:val="single" w:sz="4" w:space="0" w:color="auto"/>
              <w:left w:val="single" w:sz="4" w:space="0" w:color="auto"/>
              <w:bottom w:val="single" w:sz="4" w:space="0" w:color="auto"/>
              <w:right w:val="single" w:sz="4" w:space="0" w:color="auto"/>
            </w:tcBorders>
            <w:shd w:val="clear" w:color="auto" w:fill="ECE6E2"/>
            <w:vAlign w:val="center"/>
          </w:tcPr>
          <w:p w14:paraId="4766B3E0" w14:textId="77777777" w:rsidR="002F4FA6" w:rsidRPr="005B54EE" w:rsidRDefault="002F4FA6" w:rsidP="00635A2E">
            <w:pPr>
              <w:spacing w:line="259" w:lineRule="auto"/>
              <w:jc w:val="center"/>
              <w:rPr>
                <w:sz w:val="18"/>
              </w:rPr>
            </w:pPr>
            <w:r w:rsidRPr="005B54EE">
              <w:rPr>
                <w:sz w:val="18"/>
              </w:rPr>
              <w:t>66.95</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4A0F6B2C" w14:textId="77777777" w:rsidR="002F4FA6" w:rsidRPr="005B54EE" w:rsidRDefault="002F4FA6" w:rsidP="00635A2E">
            <w:pPr>
              <w:spacing w:line="259" w:lineRule="auto"/>
              <w:jc w:val="center"/>
              <w:rPr>
                <w:sz w:val="18"/>
              </w:rPr>
            </w:pPr>
            <w:r w:rsidRPr="005B54EE">
              <w:rPr>
                <w:sz w:val="18"/>
              </w:rPr>
              <w:t>67.91</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4C8F45CF" w14:textId="77777777" w:rsidR="002F4FA6" w:rsidRPr="005B54EE" w:rsidRDefault="002F4FA6" w:rsidP="00635A2E">
            <w:pPr>
              <w:spacing w:line="259" w:lineRule="auto"/>
              <w:jc w:val="center"/>
              <w:rPr>
                <w:sz w:val="18"/>
              </w:rPr>
            </w:pPr>
            <w:r w:rsidRPr="005B54EE">
              <w:rPr>
                <w:sz w:val="18"/>
              </w:rPr>
              <w:t>68.69</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2F75F356" w14:textId="77777777" w:rsidR="002F4FA6" w:rsidRPr="005B54EE" w:rsidRDefault="002F4FA6" w:rsidP="00635A2E">
            <w:pPr>
              <w:spacing w:line="259" w:lineRule="auto"/>
              <w:jc w:val="center"/>
              <w:rPr>
                <w:sz w:val="18"/>
              </w:rPr>
            </w:pPr>
            <w:r w:rsidRPr="005B54EE">
              <w:rPr>
                <w:sz w:val="18"/>
              </w:rPr>
              <w:t>69.20</w:t>
            </w:r>
          </w:p>
        </w:tc>
        <w:tc>
          <w:tcPr>
            <w:tcW w:w="996" w:type="dxa"/>
            <w:tcBorders>
              <w:top w:val="single" w:sz="4" w:space="0" w:color="auto"/>
              <w:left w:val="single" w:sz="4" w:space="0" w:color="auto"/>
              <w:bottom w:val="single" w:sz="4" w:space="0" w:color="auto"/>
              <w:right w:val="single" w:sz="4" w:space="0" w:color="auto"/>
            </w:tcBorders>
            <w:shd w:val="clear" w:color="auto" w:fill="ECE6E2"/>
            <w:vAlign w:val="center"/>
          </w:tcPr>
          <w:p w14:paraId="5B04FB9D" w14:textId="77777777" w:rsidR="002F4FA6" w:rsidRPr="005B54EE" w:rsidRDefault="002F4FA6" w:rsidP="00635A2E">
            <w:pPr>
              <w:spacing w:line="259" w:lineRule="auto"/>
              <w:jc w:val="center"/>
              <w:rPr>
                <w:sz w:val="18"/>
              </w:rPr>
            </w:pPr>
            <w:r w:rsidRPr="005B54EE">
              <w:rPr>
                <w:sz w:val="18"/>
              </w:rPr>
              <w:t>69.49</w:t>
            </w:r>
          </w:p>
        </w:tc>
      </w:tr>
      <w:tr w:rsidR="002F4FA6" w:rsidRPr="005B54EE" w14:paraId="4D05875D" w14:textId="77777777" w:rsidTr="00635A2E">
        <w:trPr>
          <w:trHeight w:val="350"/>
        </w:trPr>
        <w:tc>
          <w:tcPr>
            <w:tcW w:w="1981" w:type="dxa"/>
            <w:tcBorders>
              <w:top w:val="single" w:sz="2" w:space="0" w:color="000000"/>
              <w:left w:val="single" w:sz="2" w:space="0" w:color="000000"/>
              <w:bottom w:val="single" w:sz="2" w:space="0" w:color="000000"/>
              <w:right w:val="single" w:sz="4" w:space="0" w:color="auto"/>
            </w:tcBorders>
            <w:vAlign w:val="bottom"/>
          </w:tcPr>
          <w:p w14:paraId="485E84B8" w14:textId="77777777" w:rsidR="002F4FA6" w:rsidRPr="005B54EE" w:rsidRDefault="002F4FA6" w:rsidP="00635A2E">
            <w:pPr>
              <w:spacing w:line="259" w:lineRule="auto"/>
            </w:pPr>
            <w:r w:rsidRPr="005B54EE">
              <w:rPr>
                <w:sz w:val="18"/>
              </w:rPr>
              <w:t xml:space="preserve">  of which Dom-Com </w:t>
            </w:r>
          </w:p>
        </w:tc>
        <w:tc>
          <w:tcPr>
            <w:tcW w:w="995" w:type="dxa"/>
            <w:tcBorders>
              <w:top w:val="single" w:sz="4" w:space="0" w:color="auto"/>
              <w:left w:val="single" w:sz="4" w:space="0" w:color="auto"/>
              <w:bottom w:val="single" w:sz="4" w:space="0" w:color="auto"/>
              <w:right w:val="single" w:sz="4" w:space="0" w:color="auto"/>
            </w:tcBorders>
            <w:vAlign w:val="center"/>
          </w:tcPr>
          <w:p w14:paraId="6D165118" w14:textId="77777777" w:rsidR="002F4FA6" w:rsidRPr="005B54EE" w:rsidRDefault="002F4FA6" w:rsidP="00635A2E">
            <w:pPr>
              <w:spacing w:line="259" w:lineRule="auto"/>
              <w:jc w:val="center"/>
              <w:rPr>
                <w:sz w:val="18"/>
              </w:rPr>
            </w:pPr>
            <w:r w:rsidRPr="005B54EE">
              <w:rPr>
                <w:sz w:val="18"/>
              </w:rPr>
              <w:t>2.11</w:t>
            </w:r>
          </w:p>
        </w:tc>
        <w:tc>
          <w:tcPr>
            <w:tcW w:w="995" w:type="dxa"/>
            <w:tcBorders>
              <w:top w:val="single" w:sz="4" w:space="0" w:color="auto"/>
              <w:left w:val="single" w:sz="4" w:space="0" w:color="auto"/>
              <w:bottom w:val="single" w:sz="4" w:space="0" w:color="auto"/>
              <w:right w:val="single" w:sz="4" w:space="0" w:color="auto"/>
            </w:tcBorders>
            <w:vAlign w:val="center"/>
          </w:tcPr>
          <w:p w14:paraId="0C320626" w14:textId="77777777" w:rsidR="002F4FA6" w:rsidRPr="005B54EE" w:rsidRDefault="002F4FA6" w:rsidP="00635A2E">
            <w:pPr>
              <w:spacing w:line="259" w:lineRule="auto"/>
              <w:jc w:val="center"/>
              <w:rPr>
                <w:sz w:val="18"/>
              </w:rPr>
            </w:pPr>
            <w:r w:rsidRPr="005B54EE">
              <w:rPr>
                <w:sz w:val="18"/>
              </w:rPr>
              <w:t>2.11</w:t>
            </w:r>
          </w:p>
        </w:tc>
        <w:tc>
          <w:tcPr>
            <w:tcW w:w="995" w:type="dxa"/>
            <w:tcBorders>
              <w:top w:val="single" w:sz="4" w:space="0" w:color="auto"/>
              <w:left w:val="single" w:sz="4" w:space="0" w:color="auto"/>
              <w:bottom w:val="single" w:sz="4" w:space="0" w:color="auto"/>
              <w:right w:val="single" w:sz="4" w:space="0" w:color="auto"/>
            </w:tcBorders>
            <w:vAlign w:val="center"/>
          </w:tcPr>
          <w:p w14:paraId="7622A02A" w14:textId="77777777" w:rsidR="002F4FA6" w:rsidRPr="005B54EE" w:rsidRDefault="002F4FA6" w:rsidP="00635A2E">
            <w:pPr>
              <w:spacing w:line="259" w:lineRule="auto"/>
              <w:jc w:val="center"/>
              <w:rPr>
                <w:sz w:val="18"/>
              </w:rPr>
            </w:pPr>
            <w:r w:rsidRPr="005B54EE">
              <w:rPr>
                <w:sz w:val="18"/>
              </w:rPr>
              <w:t>2.14</w:t>
            </w:r>
          </w:p>
        </w:tc>
        <w:tc>
          <w:tcPr>
            <w:tcW w:w="996" w:type="dxa"/>
            <w:tcBorders>
              <w:top w:val="single" w:sz="4" w:space="0" w:color="auto"/>
              <w:left w:val="single" w:sz="4" w:space="0" w:color="auto"/>
              <w:bottom w:val="single" w:sz="4" w:space="0" w:color="auto"/>
              <w:right w:val="single" w:sz="4" w:space="0" w:color="auto"/>
            </w:tcBorders>
            <w:vAlign w:val="center"/>
          </w:tcPr>
          <w:p w14:paraId="29676C96" w14:textId="77777777" w:rsidR="002F4FA6" w:rsidRPr="005B54EE" w:rsidRDefault="002F4FA6" w:rsidP="00635A2E">
            <w:pPr>
              <w:spacing w:line="259" w:lineRule="auto"/>
              <w:jc w:val="center"/>
              <w:rPr>
                <w:sz w:val="18"/>
              </w:rPr>
            </w:pPr>
            <w:r w:rsidRPr="005B54EE">
              <w:rPr>
                <w:sz w:val="18"/>
              </w:rPr>
              <w:t>2.16</w:t>
            </w:r>
          </w:p>
        </w:tc>
        <w:tc>
          <w:tcPr>
            <w:tcW w:w="995" w:type="dxa"/>
            <w:tcBorders>
              <w:top w:val="single" w:sz="4" w:space="0" w:color="auto"/>
              <w:left w:val="single" w:sz="4" w:space="0" w:color="auto"/>
              <w:bottom w:val="single" w:sz="4" w:space="0" w:color="auto"/>
              <w:right w:val="single" w:sz="4" w:space="0" w:color="auto"/>
            </w:tcBorders>
            <w:vAlign w:val="center"/>
          </w:tcPr>
          <w:p w14:paraId="7FBD7DBF" w14:textId="77777777" w:rsidR="002F4FA6" w:rsidRPr="005B54EE" w:rsidRDefault="002F4FA6" w:rsidP="00635A2E">
            <w:pPr>
              <w:spacing w:line="259" w:lineRule="auto"/>
              <w:jc w:val="center"/>
              <w:rPr>
                <w:sz w:val="18"/>
              </w:rPr>
            </w:pPr>
            <w:r w:rsidRPr="005B54EE">
              <w:rPr>
                <w:sz w:val="18"/>
              </w:rPr>
              <w:t>2.20</w:t>
            </w:r>
          </w:p>
        </w:tc>
        <w:tc>
          <w:tcPr>
            <w:tcW w:w="995" w:type="dxa"/>
            <w:tcBorders>
              <w:top w:val="single" w:sz="4" w:space="0" w:color="auto"/>
              <w:left w:val="single" w:sz="4" w:space="0" w:color="auto"/>
              <w:bottom w:val="single" w:sz="4" w:space="0" w:color="auto"/>
              <w:right w:val="single" w:sz="4" w:space="0" w:color="auto"/>
            </w:tcBorders>
            <w:vAlign w:val="center"/>
          </w:tcPr>
          <w:p w14:paraId="238DFEA0" w14:textId="77777777" w:rsidR="002F4FA6" w:rsidRPr="005B54EE" w:rsidRDefault="002F4FA6" w:rsidP="00635A2E">
            <w:pPr>
              <w:spacing w:line="259" w:lineRule="auto"/>
              <w:jc w:val="center"/>
              <w:rPr>
                <w:sz w:val="18"/>
              </w:rPr>
            </w:pPr>
            <w:r w:rsidRPr="005B54EE">
              <w:rPr>
                <w:sz w:val="18"/>
              </w:rPr>
              <w:t>2.23</w:t>
            </w:r>
          </w:p>
        </w:tc>
        <w:tc>
          <w:tcPr>
            <w:tcW w:w="995" w:type="dxa"/>
            <w:tcBorders>
              <w:top w:val="single" w:sz="4" w:space="0" w:color="auto"/>
              <w:left w:val="single" w:sz="4" w:space="0" w:color="auto"/>
              <w:bottom w:val="single" w:sz="4" w:space="0" w:color="auto"/>
              <w:right w:val="single" w:sz="4" w:space="0" w:color="auto"/>
            </w:tcBorders>
            <w:vAlign w:val="center"/>
          </w:tcPr>
          <w:p w14:paraId="196E0BE1" w14:textId="77777777" w:rsidR="002F4FA6" w:rsidRPr="005B54EE" w:rsidRDefault="002F4FA6" w:rsidP="00635A2E">
            <w:pPr>
              <w:spacing w:line="259" w:lineRule="auto"/>
              <w:jc w:val="center"/>
              <w:rPr>
                <w:sz w:val="18"/>
              </w:rPr>
            </w:pPr>
            <w:r w:rsidRPr="005B54EE">
              <w:rPr>
                <w:sz w:val="18"/>
              </w:rPr>
              <w:t>2.26</w:t>
            </w:r>
          </w:p>
        </w:tc>
        <w:tc>
          <w:tcPr>
            <w:tcW w:w="996" w:type="dxa"/>
            <w:tcBorders>
              <w:top w:val="single" w:sz="4" w:space="0" w:color="auto"/>
              <w:left w:val="single" w:sz="4" w:space="0" w:color="auto"/>
              <w:bottom w:val="single" w:sz="4" w:space="0" w:color="auto"/>
              <w:right w:val="single" w:sz="4" w:space="0" w:color="auto"/>
            </w:tcBorders>
            <w:vAlign w:val="center"/>
          </w:tcPr>
          <w:p w14:paraId="2DCA82B8" w14:textId="77777777" w:rsidR="002F4FA6" w:rsidRPr="005B54EE" w:rsidRDefault="002F4FA6" w:rsidP="00635A2E">
            <w:pPr>
              <w:spacing w:line="259" w:lineRule="auto"/>
              <w:jc w:val="center"/>
              <w:rPr>
                <w:sz w:val="18"/>
              </w:rPr>
            </w:pPr>
            <w:r w:rsidRPr="005B54EE">
              <w:rPr>
                <w:sz w:val="18"/>
              </w:rPr>
              <w:t>2.28</w:t>
            </w:r>
          </w:p>
        </w:tc>
      </w:tr>
    </w:tbl>
    <w:p w14:paraId="6826CF4D" w14:textId="0B9373A9" w:rsidR="002F4FA6" w:rsidRPr="005B54EE" w:rsidRDefault="002F4FA6" w:rsidP="002F4FA6">
      <w:pPr>
        <w:pStyle w:val="Caption"/>
      </w:pPr>
      <w:bookmarkStart w:id="145" w:name="_Toc122694460"/>
      <w:bookmarkStart w:id="146" w:name="_Toc124153742"/>
      <w:r w:rsidRPr="005B54EE">
        <w:t xml:space="preserve">Table </w:t>
      </w:r>
      <w:r w:rsidR="00C73940">
        <w:fldChar w:fldCharType="begin"/>
      </w:r>
      <w:r w:rsidR="00C73940">
        <w:instrText xml:space="preserve"> SEQ Tableau \* ARABIC </w:instrText>
      </w:r>
      <w:r w:rsidR="00C73940">
        <w:fldChar w:fldCharType="separate"/>
      </w:r>
      <w:r w:rsidR="005B1C45">
        <w:rPr>
          <w:noProof/>
        </w:rPr>
        <w:t>28</w:t>
      </w:r>
      <w:r w:rsidR="00C73940">
        <w:rPr>
          <w:noProof/>
        </w:rPr>
        <w:fldChar w:fldCharType="end"/>
      </w:r>
      <w:r w:rsidRPr="005B54EE">
        <w:t>: Population growth assumptions for AME 2021</w:t>
      </w:r>
      <w:bookmarkEnd w:id="145"/>
      <w:bookmarkEnd w:id="146"/>
    </w:p>
    <w:p w14:paraId="33EBB8FB" w14:textId="77777777" w:rsidR="002F4FA6" w:rsidRPr="005B54EE" w:rsidRDefault="002F4FA6" w:rsidP="002F4FA6">
      <w:pPr>
        <w:pStyle w:val="Caption"/>
        <w:rPr>
          <w:b/>
          <w:bCs/>
        </w:rPr>
      </w:pPr>
      <w:r w:rsidRPr="005B54EE">
        <w:t xml:space="preserve">Source: EU economic framework, Insee, 2016 </w:t>
      </w:r>
    </w:p>
    <w:p w14:paraId="75244042" w14:textId="77777777" w:rsidR="002F4FA6" w:rsidRPr="005B54EE" w:rsidRDefault="002F4FA6" w:rsidP="002F4FA6">
      <w:pPr>
        <w:spacing w:after="54" w:line="249" w:lineRule="auto"/>
        <w:ind w:left="-5" w:right="914" w:hanging="3"/>
        <w:jc w:val="left"/>
        <w:rPr>
          <w:b/>
          <w:bCs/>
          <w:sz w:val="18"/>
          <w:szCs w:val="18"/>
        </w:rPr>
      </w:pPr>
    </w:p>
    <w:p w14:paraId="0AC22455" w14:textId="77777777" w:rsidR="002F4FA6" w:rsidRPr="005B54EE" w:rsidRDefault="002F4FA6" w:rsidP="002F4FA6">
      <w:pPr>
        <w:pStyle w:val="titreencadre"/>
        <w:spacing w:before="120" w:after="60" w:line="240" w:lineRule="auto"/>
      </w:pPr>
      <w:r w:rsidRPr="005B54EE">
        <w:t>AMS 2018</w:t>
      </w:r>
    </w:p>
    <w:tbl>
      <w:tblPr>
        <w:tblStyle w:val="TableGrid0"/>
        <w:tblW w:w="9943" w:type="dxa"/>
        <w:tblInd w:w="1" w:type="dxa"/>
        <w:tblCellMar>
          <w:top w:w="124" w:type="dxa"/>
          <w:left w:w="28" w:type="dxa"/>
          <w:bottom w:w="20" w:type="dxa"/>
          <w:right w:w="115" w:type="dxa"/>
        </w:tblCellMar>
        <w:tblLook w:val="04A0" w:firstRow="1" w:lastRow="0" w:firstColumn="1" w:lastColumn="0" w:noHBand="0" w:noVBand="1"/>
      </w:tblPr>
      <w:tblGrid>
        <w:gridCol w:w="1981"/>
        <w:gridCol w:w="995"/>
        <w:gridCol w:w="995"/>
        <w:gridCol w:w="995"/>
        <w:gridCol w:w="996"/>
        <w:gridCol w:w="995"/>
        <w:gridCol w:w="995"/>
        <w:gridCol w:w="995"/>
        <w:gridCol w:w="996"/>
      </w:tblGrid>
      <w:tr w:rsidR="002F4FA6" w:rsidRPr="005B54EE" w14:paraId="52B27871" w14:textId="77777777" w:rsidTr="00635A2E">
        <w:trPr>
          <w:trHeight w:val="378"/>
        </w:trPr>
        <w:tc>
          <w:tcPr>
            <w:tcW w:w="1981" w:type="dxa"/>
            <w:tcBorders>
              <w:top w:val="single" w:sz="2" w:space="0" w:color="000000"/>
              <w:left w:val="single" w:sz="2" w:space="0" w:color="000000"/>
              <w:bottom w:val="single" w:sz="2" w:space="0" w:color="000000"/>
              <w:right w:val="single" w:sz="4" w:space="0" w:color="auto"/>
            </w:tcBorders>
            <w:shd w:val="clear" w:color="auto" w:fill="6D2A78"/>
          </w:tcPr>
          <w:p w14:paraId="54F88A33" w14:textId="77777777" w:rsidR="002F4FA6" w:rsidRPr="005B54EE" w:rsidRDefault="002F4FA6" w:rsidP="00635A2E">
            <w:pPr>
              <w:spacing w:line="259" w:lineRule="auto"/>
            </w:pPr>
            <w:r w:rsidRPr="005B54EE">
              <w:rPr>
                <w:color w:val="FFFFFF"/>
                <w:sz w:val="18"/>
              </w:rPr>
              <w:t xml:space="preserve">Population (in thousands of inhabitants) </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5DDA9EA4" w14:textId="77777777" w:rsidR="002F4FA6" w:rsidRPr="005B54EE" w:rsidRDefault="002F4FA6" w:rsidP="00635A2E">
            <w:pPr>
              <w:spacing w:line="259" w:lineRule="auto"/>
              <w:ind w:left="85"/>
              <w:jc w:val="center"/>
            </w:pPr>
            <w:r w:rsidRPr="005B54EE">
              <w:rPr>
                <w:b/>
                <w:color w:val="FFFFFF"/>
                <w:sz w:val="18"/>
              </w:rPr>
              <w:t>2015</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2704EACC" w14:textId="77777777" w:rsidR="002F4FA6" w:rsidRPr="005B54EE" w:rsidRDefault="002F4FA6" w:rsidP="00635A2E">
            <w:pPr>
              <w:spacing w:line="259" w:lineRule="auto"/>
              <w:ind w:left="85"/>
              <w:jc w:val="center"/>
            </w:pPr>
            <w:r w:rsidRPr="005B54EE">
              <w:rPr>
                <w:b/>
                <w:color w:val="FFFFFF"/>
                <w:sz w:val="18"/>
              </w:rPr>
              <w:t>2020</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02B05933" w14:textId="77777777" w:rsidR="002F4FA6" w:rsidRPr="005B54EE" w:rsidRDefault="002F4FA6" w:rsidP="00635A2E">
            <w:pPr>
              <w:spacing w:line="259" w:lineRule="auto"/>
              <w:ind w:left="85"/>
              <w:jc w:val="center"/>
            </w:pPr>
            <w:r w:rsidRPr="005B54EE">
              <w:rPr>
                <w:b/>
                <w:color w:val="FFFFFF"/>
                <w:sz w:val="18"/>
              </w:rPr>
              <w:t>2025</w:t>
            </w:r>
          </w:p>
        </w:tc>
        <w:tc>
          <w:tcPr>
            <w:tcW w:w="996" w:type="dxa"/>
            <w:tcBorders>
              <w:top w:val="single" w:sz="4" w:space="0" w:color="auto"/>
              <w:left w:val="single" w:sz="4" w:space="0" w:color="auto"/>
              <w:bottom w:val="single" w:sz="4" w:space="0" w:color="auto"/>
              <w:right w:val="single" w:sz="4" w:space="0" w:color="auto"/>
            </w:tcBorders>
            <w:shd w:val="clear" w:color="auto" w:fill="6D2A78"/>
            <w:vAlign w:val="center"/>
          </w:tcPr>
          <w:p w14:paraId="425A98C6" w14:textId="77777777" w:rsidR="002F4FA6" w:rsidRPr="005B54EE" w:rsidRDefault="002F4FA6" w:rsidP="00635A2E">
            <w:pPr>
              <w:spacing w:line="259" w:lineRule="auto"/>
              <w:ind w:left="86"/>
              <w:jc w:val="center"/>
            </w:pPr>
            <w:r w:rsidRPr="005B54EE">
              <w:rPr>
                <w:b/>
                <w:color w:val="FFFFFF"/>
                <w:sz w:val="18"/>
              </w:rPr>
              <w:t>2030</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28A3B3F5" w14:textId="77777777" w:rsidR="002F4FA6" w:rsidRPr="005B54EE" w:rsidRDefault="002F4FA6" w:rsidP="00635A2E">
            <w:pPr>
              <w:spacing w:line="259" w:lineRule="auto"/>
              <w:ind w:left="84"/>
              <w:jc w:val="center"/>
            </w:pPr>
            <w:r w:rsidRPr="005B54EE">
              <w:rPr>
                <w:b/>
                <w:color w:val="FFFFFF"/>
                <w:sz w:val="18"/>
              </w:rPr>
              <w:t>2035</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2B3B882F" w14:textId="77777777" w:rsidR="002F4FA6" w:rsidRPr="005B54EE" w:rsidRDefault="002F4FA6" w:rsidP="00635A2E">
            <w:pPr>
              <w:spacing w:line="259" w:lineRule="auto"/>
              <w:ind w:left="84"/>
              <w:jc w:val="center"/>
              <w:rPr>
                <w:b/>
                <w:color w:val="FFFFFF"/>
                <w:sz w:val="18"/>
              </w:rPr>
            </w:pPr>
            <w:r w:rsidRPr="005B54EE">
              <w:rPr>
                <w:b/>
                <w:color w:val="FFFFFF"/>
                <w:sz w:val="18"/>
              </w:rPr>
              <w:t>2040</w:t>
            </w:r>
          </w:p>
        </w:tc>
        <w:tc>
          <w:tcPr>
            <w:tcW w:w="995" w:type="dxa"/>
            <w:tcBorders>
              <w:top w:val="single" w:sz="4" w:space="0" w:color="auto"/>
              <w:left w:val="single" w:sz="4" w:space="0" w:color="auto"/>
              <w:bottom w:val="single" w:sz="4" w:space="0" w:color="auto"/>
              <w:right w:val="single" w:sz="4" w:space="0" w:color="auto"/>
            </w:tcBorders>
            <w:shd w:val="clear" w:color="auto" w:fill="6D2A78"/>
            <w:vAlign w:val="center"/>
          </w:tcPr>
          <w:p w14:paraId="25E4462C" w14:textId="77777777" w:rsidR="002F4FA6" w:rsidRPr="005B54EE" w:rsidRDefault="002F4FA6" w:rsidP="00635A2E">
            <w:pPr>
              <w:spacing w:line="259" w:lineRule="auto"/>
              <w:ind w:left="84"/>
              <w:jc w:val="center"/>
              <w:rPr>
                <w:b/>
                <w:color w:val="FFFFFF"/>
                <w:sz w:val="18"/>
              </w:rPr>
            </w:pPr>
            <w:r w:rsidRPr="005B54EE">
              <w:rPr>
                <w:b/>
                <w:color w:val="FFFFFF"/>
                <w:sz w:val="18"/>
              </w:rPr>
              <w:t>2045</w:t>
            </w:r>
          </w:p>
        </w:tc>
        <w:tc>
          <w:tcPr>
            <w:tcW w:w="996" w:type="dxa"/>
            <w:tcBorders>
              <w:top w:val="single" w:sz="4" w:space="0" w:color="auto"/>
              <w:left w:val="single" w:sz="4" w:space="0" w:color="auto"/>
              <w:bottom w:val="single" w:sz="4" w:space="0" w:color="auto"/>
              <w:right w:val="single" w:sz="4" w:space="0" w:color="auto"/>
            </w:tcBorders>
            <w:shd w:val="clear" w:color="auto" w:fill="6D2A78"/>
            <w:vAlign w:val="center"/>
          </w:tcPr>
          <w:p w14:paraId="4164CA52" w14:textId="77777777" w:rsidR="002F4FA6" w:rsidRPr="005B54EE" w:rsidRDefault="002F4FA6" w:rsidP="00635A2E">
            <w:pPr>
              <w:spacing w:line="259" w:lineRule="auto"/>
              <w:ind w:left="84"/>
              <w:jc w:val="center"/>
              <w:rPr>
                <w:b/>
                <w:color w:val="FFFFFF"/>
                <w:sz w:val="18"/>
              </w:rPr>
            </w:pPr>
            <w:r w:rsidRPr="005B54EE">
              <w:rPr>
                <w:b/>
                <w:color w:val="FFFFFF"/>
                <w:sz w:val="18"/>
              </w:rPr>
              <w:t>2050</w:t>
            </w:r>
          </w:p>
        </w:tc>
      </w:tr>
      <w:tr w:rsidR="002F4FA6" w:rsidRPr="005B54EE" w14:paraId="3B4B0BFE" w14:textId="77777777" w:rsidTr="00635A2E">
        <w:trPr>
          <w:trHeight w:val="359"/>
        </w:trPr>
        <w:tc>
          <w:tcPr>
            <w:tcW w:w="1981" w:type="dxa"/>
            <w:tcBorders>
              <w:top w:val="single" w:sz="2" w:space="0" w:color="000000"/>
              <w:left w:val="single" w:sz="2" w:space="0" w:color="000000"/>
              <w:bottom w:val="single" w:sz="2" w:space="0" w:color="000000"/>
              <w:right w:val="single" w:sz="4" w:space="0" w:color="auto"/>
            </w:tcBorders>
            <w:vAlign w:val="bottom"/>
          </w:tcPr>
          <w:p w14:paraId="23C359EC" w14:textId="77777777" w:rsidR="002F4FA6" w:rsidRPr="005B54EE" w:rsidRDefault="002F4FA6" w:rsidP="00635A2E">
            <w:pPr>
              <w:spacing w:line="259" w:lineRule="auto"/>
            </w:pPr>
            <w:r w:rsidRPr="005B54EE">
              <w:rPr>
                <w:sz w:val="18"/>
              </w:rPr>
              <w:t xml:space="preserve">France </w:t>
            </w:r>
          </w:p>
        </w:tc>
        <w:tc>
          <w:tcPr>
            <w:tcW w:w="995" w:type="dxa"/>
            <w:tcBorders>
              <w:top w:val="single" w:sz="4" w:space="0" w:color="auto"/>
              <w:left w:val="single" w:sz="4" w:space="0" w:color="auto"/>
              <w:bottom w:val="single" w:sz="4" w:space="0" w:color="auto"/>
              <w:right w:val="single" w:sz="4" w:space="0" w:color="auto"/>
            </w:tcBorders>
            <w:vAlign w:val="center"/>
          </w:tcPr>
          <w:p w14:paraId="185D8888" w14:textId="77777777" w:rsidR="002F4FA6" w:rsidRPr="005B54EE" w:rsidRDefault="002F4FA6" w:rsidP="00635A2E">
            <w:pPr>
              <w:spacing w:line="259" w:lineRule="auto"/>
              <w:ind w:left="85"/>
              <w:jc w:val="center"/>
            </w:pPr>
            <w:r w:rsidRPr="005B54EE">
              <w:rPr>
                <w:sz w:val="18"/>
              </w:rPr>
              <w:t>66,391</w:t>
            </w:r>
          </w:p>
        </w:tc>
        <w:tc>
          <w:tcPr>
            <w:tcW w:w="995" w:type="dxa"/>
            <w:tcBorders>
              <w:top w:val="single" w:sz="4" w:space="0" w:color="auto"/>
              <w:left w:val="single" w:sz="4" w:space="0" w:color="auto"/>
              <w:bottom w:val="single" w:sz="4" w:space="0" w:color="auto"/>
              <w:right w:val="single" w:sz="4" w:space="0" w:color="auto"/>
            </w:tcBorders>
            <w:vAlign w:val="center"/>
          </w:tcPr>
          <w:p w14:paraId="574B7C0F" w14:textId="77777777" w:rsidR="002F4FA6" w:rsidRPr="005B54EE" w:rsidRDefault="002F4FA6" w:rsidP="00635A2E">
            <w:pPr>
              <w:spacing w:line="259" w:lineRule="auto"/>
              <w:ind w:left="85"/>
              <w:jc w:val="center"/>
            </w:pPr>
            <w:r w:rsidRPr="005B54EE">
              <w:rPr>
                <w:sz w:val="18"/>
              </w:rPr>
              <w:t>67,820</w:t>
            </w:r>
          </w:p>
        </w:tc>
        <w:tc>
          <w:tcPr>
            <w:tcW w:w="995" w:type="dxa"/>
            <w:tcBorders>
              <w:top w:val="single" w:sz="4" w:space="0" w:color="auto"/>
              <w:left w:val="single" w:sz="4" w:space="0" w:color="auto"/>
              <w:bottom w:val="single" w:sz="4" w:space="0" w:color="auto"/>
              <w:right w:val="single" w:sz="4" w:space="0" w:color="auto"/>
            </w:tcBorders>
            <w:vAlign w:val="center"/>
          </w:tcPr>
          <w:p w14:paraId="05E31D33" w14:textId="77777777" w:rsidR="002F4FA6" w:rsidRPr="005B54EE" w:rsidRDefault="002F4FA6" w:rsidP="00635A2E">
            <w:pPr>
              <w:spacing w:line="259" w:lineRule="auto"/>
              <w:ind w:left="85"/>
              <w:jc w:val="center"/>
            </w:pPr>
            <w:r w:rsidRPr="005B54EE">
              <w:rPr>
                <w:sz w:val="18"/>
              </w:rPr>
              <w:t>69,093</w:t>
            </w:r>
          </w:p>
        </w:tc>
        <w:tc>
          <w:tcPr>
            <w:tcW w:w="996" w:type="dxa"/>
            <w:tcBorders>
              <w:top w:val="single" w:sz="4" w:space="0" w:color="auto"/>
              <w:left w:val="single" w:sz="4" w:space="0" w:color="auto"/>
              <w:bottom w:val="single" w:sz="4" w:space="0" w:color="auto"/>
              <w:right w:val="single" w:sz="4" w:space="0" w:color="auto"/>
            </w:tcBorders>
            <w:vAlign w:val="center"/>
          </w:tcPr>
          <w:p w14:paraId="74E3E785" w14:textId="77777777" w:rsidR="002F4FA6" w:rsidRPr="005B54EE" w:rsidRDefault="002F4FA6" w:rsidP="00635A2E">
            <w:pPr>
              <w:spacing w:line="259" w:lineRule="auto"/>
              <w:ind w:left="86"/>
              <w:jc w:val="center"/>
            </w:pPr>
            <w:r w:rsidRPr="005B54EE">
              <w:rPr>
                <w:sz w:val="18"/>
              </w:rPr>
              <w:t>70,281</w:t>
            </w:r>
          </w:p>
        </w:tc>
        <w:tc>
          <w:tcPr>
            <w:tcW w:w="995" w:type="dxa"/>
            <w:tcBorders>
              <w:top w:val="single" w:sz="4" w:space="0" w:color="auto"/>
              <w:left w:val="single" w:sz="4" w:space="0" w:color="auto"/>
              <w:bottom w:val="single" w:sz="4" w:space="0" w:color="auto"/>
              <w:right w:val="single" w:sz="4" w:space="0" w:color="auto"/>
            </w:tcBorders>
            <w:vAlign w:val="center"/>
          </w:tcPr>
          <w:p w14:paraId="6635C9C8" w14:textId="77777777" w:rsidR="002F4FA6" w:rsidRPr="005B54EE" w:rsidRDefault="002F4FA6" w:rsidP="00635A2E">
            <w:pPr>
              <w:spacing w:line="259" w:lineRule="auto"/>
              <w:ind w:left="85"/>
              <w:jc w:val="center"/>
            </w:pPr>
            <w:r w:rsidRPr="005B54EE">
              <w:rPr>
                <w:sz w:val="18"/>
              </w:rPr>
              <w:t>71,417</w:t>
            </w:r>
          </w:p>
        </w:tc>
        <w:tc>
          <w:tcPr>
            <w:tcW w:w="995" w:type="dxa"/>
            <w:tcBorders>
              <w:top w:val="single" w:sz="4" w:space="0" w:color="auto"/>
              <w:left w:val="single" w:sz="4" w:space="0" w:color="auto"/>
              <w:bottom w:val="single" w:sz="4" w:space="0" w:color="auto"/>
              <w:right w:val="single" w:sz="4" w:space="0" w:color="auto"/>
            </w:tcBorders>
            <w:vAlign w:val="center"/>
          </w:tcPr>
          <w:p w14:paraId="388AF039" w14:textId="77777777" w:rsidR="002F4FA6" w:rsidRPr="005B54EE" w:rsidRDefault="002F4FA6" w:rsidP="00635A2E">
            <w:pPr>
              <w:spacing w:line="259" w:lineRule="auto"/>
              <w:ind w:left="85"/>
              <w:jc w:val="center"/>
              <w:rPr>
                <w:sz w:val="18"/>
              </w:rPr>
            </w:pPr>
            <w:r w:rsidRPr="005B54EE">
              <w:rPr>
                <w:sz w:val="18"/>
              </w:rPr>
              <w:t>72,449</w:t>
            </w:r>
          </w:p>
        </w:tc>
        <w:tc>
          <w:tcPr>
            <w:tcW w:w="995" w:type="dxa"/>
            <w:tcBorders>
              <w:top w:val="single" w:sz="4" w:space="0" w:color="auto"/>
              <w:left w:val="single" w:sz="4" w:space="0" w:color="auto"/>
              <w:bottom w:val="single" w:sz="4" w:space="0" w:color="auto"/>
              <w:right w:val="single" w:sz="4" w:space="0" w:color="auto"/>
            </w:tcBorders>
            <w:vAlign w:val="center"/>
          </w:tcPr>
          <w:p w14:paraId="452E8A22" w14:textId="77777777" w:rsidR="002F4FA6" w:rsidRPr="005B54EE" w:rsidRDefault="002F4FA6" w:rsidP="00635A2E">
            <w:pPr>
              <w:spacing w:line="259" w:lineRule="auto"/>
              <w:ind w:left="85"/>
              <w:jc w:val="center"/>
              <w:rPr>
                <w:sz w:val="18"/>
              </w:rPr>
            </w:pPr>
            <w:r w:rsidRPr="005B54EE">
              <w:rPr>
                <w:sz w:val="18"/>
              </w:rPr>
              <w:t>73,312</w:t>
            </w:r>
          </w:p>
        </w:tc>
        <w:tc>
          <w:tcPr>
            <w:tcW w:w="996" w:type="dxa"/>
            <w:tcBorders>
              <w:top w:val="single" w:sz="4" w:space="0" w:color="auto"/>
              <w:left w:val="single" w:sz="4" w:space="0" w:color="auto"/>
              <w:bottom w:val="single" w:sz="4" w:space="0" w:color="auto"/>
              <w:right w:val="single" w:sz="4" w:space="0" w:color="auto"/>
            </w:tcBorders>
            <w:vAlign w:val="center"/>
          </w:tcPr>
          <w:p w14:paraId="25760282" w14:textId="77777777" w:rsidR="002F4FA6" w:rsidRPr="005B54EE" w:rsidRDefault="002F4FA6" w:rsidP="00635A2E">
            <w:pPr>
              <w:spacing w:line="259" w:lineRule="auto"/>
              <w:ind w:left="85"/>
              <w:jc w:val="center"/>
              <w:rPr>
                <w:sz w:val="18"/>
              </w:rPr>
            </w:pPr>
            <w:r w:rsidRPr="005B54EE">
              <w:rPr>
                <w:sz w:val="18"/>
              </w:rPr>
              <w:t>74,025</w:t>
            </w:r>
          </w:p>
        </w:tc>
      </w:tr>
      <w:tr w:rsidR="002F4FA6" w:rsidRPr="005B54EE" w14:paraId="3F985AA2" w14:textId="77777777" w:rsidTr="00635A2E">
        <w:trPr>
          <w:trHeight w:val="320"/>
        </w:trPr>
        <w:tc>
          <w:tcPr>
            <w:tcW w:w="1981" w:type="dxa"/>
            <w:tcBorders>
              <w:top w:val="single" w:sz="2" w:space="0" w:color="000000"/>
              <w:left w:val="single" w:sz="2" w:space="0" w:color="000000"/>
              <w:bottom w:val="single" w:sz="2" w:space="0" w:color="000000"/>
              <w:right w:val="single" w:sz="4" w:space="0" w:color="auto"/>
            </w:tcBorders>
            <w:shd w:val="clear" w:color="auto" w:fill="ECE6E2"/>
            <w:vAlign w:val="bottom"/>
          </w:tcPr>
          <w:p w14:paraId="4917F626" w14:textId="77777777" w:rsidR="002F4FA6" w:rsidRPr="005B54EE" w:rsidRDefault="002F4FA6" w:rsidP="00635A2E">
            <w:pPr>
              <w:spacing w:line="259" w:lineRule="auto"/>
            </w:pPr>
            <w:r w:rsidRPr="005B54EE">
              <w:rPr>
                <w:sz w:val="18"/>
              </w:rPr>
              <w:t xml:space="preserve">  of which mainland France </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374AF8B5" w14:textId="77777777" w:rsidR="002F4FA6" w:rsidRPr="005B54EE" w:rsidRDefault="002F4FA6" w:rsidP="00635A2E">
            <w:pPr>
              <w:spacing w:line="259" w:lineRule="auto"/>
              <w:ind w:left="85"/>
              <w:jc w:val="center"/>
            </w:pPr>
            <w:r w:rsidRPr="005B54EE">
              <w:rPr>
                <w:sz w:val="18"/>
              </w:rPr>
              <w:t>64,293</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5233F69E" w14:textId="77777777" w:rsidR="002F4FA6" w:rsidRPr="005B54EE" w:rsidRDefault="002F4FA6" w:rsidP="00635A2E">
            <w:pPr>
              <w:spacing w:line="259" w:lineRule="auto"/>
              <w:ind w:left="85"/>
              <w:jc w:val="center"/>
            </w:pPr>
            <w:r w:rsidRPr="005B54EE">
              <w:rPr>
                <w:sz w:val="18"/>
              </w:rPr>
              <w:t>65,684</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2E88F473" w14:textId="77777777" w:rsidR="002F4FA6" w:rsidRPr="005B54EE" w:rsidRDefault="002F4FA6" w:rsidP="00635A2E">
            <w:pPr>
              <w:spacing w:line="259" w:lineRule="auto"/>
              <w:ind w:left="85"/>
              <w:jc w:val="center"/>
            </w:pPr>
            <w:r w:rsidRPr="005B54EE">
              <w:rPr>
                <w:sz w:val="18"/>
              </w:rPr>
              <w:t>66,918</w:t>
            </w:r>
          </w:p>
        </w:tc>
        <w:tc>
          <w:tcPr>
            <w:tcW w:w="996" w:type="dxa"/>
            <w:tcBorders>
              <w:top w:val="single" w:sz="4" w:space="0" w:color="auto"/>
              <w:left w:val="single" w:sz="4" w:space="0" w:color="auto"/>
              <w:bottom w:val="single" w:sz="4" w:space="0" w:color="auto"/>
              <w:right w:val="single" w:sz="4" w:space="0" w:color="auto"/>
            </w:tcBorders>
            <w:shd w:val="clear" w:color="auto" w:fill="ECE6E2"/>
            <w:vAlign w:val="center"/>
          </w:tcPr>
          <w:p w14:paraId="5716AC94" w14:textId="77777777" w:rsidR="002F4FA6" w:rsidRPr="005B54EE" w:rsidRDefault="002F4FA6" w:rsidP="00635A2E">
            <w:pPr>
              <w:spacing w:line="259" w:lineRule="auto"/>
              <w:ind w:left="86"/>
              <w:jc w:val="center"/>
            </w:pPr>
            <w:r w:rsidRPr="005B54EE">
              <w:rPr>
                <w:sz w:val="18"/>
              </w:rPr>
              <w:t>68,064</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1BE78A93" w14:textId="77777777" w:rsidR="002F4FA6" w:rsidRPr="005B54EE" w:rsidRDefault="002F4FA6" w:rsidP="00635A2E">
            <w:pPr>
              <w:spacing w:line="259" w:lineRule="auto"/>
              <w:ind w:left="85"/>
              <w:jc w:val="center"/>
            </w:pPr>
            <w:r w:rsidRPr="005B54EE">
              <w:rPr>
                <w:sz w:val="18"/>
              </w:rPr>
              <w:t>69,157</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1CBBF6F5" w14:textId="77777777" w:rsidR="002F4FA6" w:rsidRPr="005B54EE" w:rsidRDefault="002F4FA6" w:rsidP="00635A2E">
            <w:pPr>
              <w:spacing w:line="259" w:lineRule="auto"/>
              <w:ind w:left="85"/>
              <w:jc w:val="center"/>
              <w:rPr>
                <w:sz w:val="18"/>
              </w:rPr>
            </w:pPr>
            <w:r w:rsidRPr="005B54EE">
              <w:rPr>
                <w:sz w:val="18"/>
              </w:rPr>
              <w:t>70,143</w:t>
            </w:r>
          </w:p>
        </w:tc>
        <w:tc>
          <w:tcPr>
            <w:tcW w:w="995" w:type="dxa"/>
            <w:tcBorders>
              <w:top w:val="single" w:sz="4" w:space="0" w:color="auto"/>
              <w:left w:val="single" w:sz="4" w:space="0" w:color="auto"/>
              <w:bottom w:val="single" w:sz="4" w:space="0" w:color="auto"/>
              <w:right w:val="single" w:sz="4" w:space="0" w:color="auto"/>
            </w:tcBorders>
            <w:shd w:val="clear" w:color="auto" w:fill="ECE6E2"/>
            <w:vAlign w:val="center"/>
          </w:tcPr>
          <w:p w14:paraId="71FDC867" w14:textId="77777777" w:rsidR="002F4FA6" w:rsidRPr="005B54EE" w:rsidRDefault="002F4FA6" w:rsidP="00635A2E">
            <w:pPr>
              <w:spacing w:line="259" w:lineRule="auto"/>
              <w:ind w:left="85"/>
              <w:jc w:val="center"/>
              <w:rPr>
                <w:sz w:val="18"/>
              </w:rPr>
            </w:pPr>
            <w:r w:rsidRPr="005B54EE">
              <w:rPr>
                <w:sz w:val="18"/>
              </w:rPr>
              <w:t>70,961</w:t>
            </w:r>
          </w:p>
        </w:tc>
        <w:tc>
          <w:tcPr>
            <w:tcW w:w="996" w:type="dxa"/>
            <w:tcBorders>
              <w:top w:val="single" w:sz="4" w:space="0" w:color="auto"/>
              <w:left w:val="single" w:sz="4" w:space="0" w:color="auto"/>
              <w:bottom w:val="single" w:sz="4" w:space="0" w:color="auto"/>
              <w:right w:val="single" w:sz="4" w:space="0" w:color="auto"/>
            </w:tcBorders>
            <w:shd w:val="clear" w:color="auto" w:fill="ECE6E2"/>
            <w:vAlign w:val="center"/>
          </w:tcPr>
          <w:p w14:paraId="2FFE087C" w14:textId="77777777" w:rsidR="002F4FA6" w:rsidRPr="005B54EE" w:rsidRDefault="002F4FA6" w:rsidP="00635A2E">
            <w:pPr>
              <w:spacing w:line="259" w:lineRule="auto"/>
              <w:ind w:left="85"/>
              <w:jc w:val="center"/>
              <w:rPr>
                <w:sz w:val="18"/>
              </w:rPr>
            </w:pPr>
            <w:r w:rsidRPr="005B54EE">
              <w:rPr>
                <w:sz w:val="18"/>
              </w:rPr>
              <w:t>71,628</w:t>
            </w:r>
          </w:p>
        </w:tc>
      </w:tr>
      <w:tr w:rsidR="002F4FA6" w:rsidRPr="005B54EE" w14:paraId="58D3CBF8" w14:textId="77777777" w:rsidTr="00635A2E">
        <w:trPr>
          <w:trHeight w:val="350"/>
        </w:trPr>
        <w:tc>
          <w:tcPr>
            <w:tcW w:w="1981" w:type="dxa"/>
            <w:tcBorders>
              <w:top w:val="single" w:sz="2" w:space="0" w:color="000000"/>
              <w:left w:val="single" w:sz="2" w:space="0" w:color="000000"/>
              <w:bottom w:val="single" w:sz="2" w:space="0" w:color="000000"/>
              <w:right w:val="single" w:sz="4" w:space="0" w:color="auto"/>
            </w:tcBorders>
            <w:vAlign w:val="bottom"/>
          </w:tcPr>
          <w:p w14:paraId="52D9CDAB" w14:textId="77777777" w:rsidR="002F4FA6" w:rsidRPr="005B54EE" w:rsidRDefault="002F4FA6" w:rsidP="00635A2E">
            <w:pPr>
              <w:spacing w:line="259" w:lineRule="auto"/>
            </w:pPr>
            <w:r w:rsidRPr="005B54EE">
              <w:rPr>
                <w:sz w:val="18"/>
              </w:rPr>
              <w:t xml:space="preserve">  of which Dom-Com </w:t>
            </w:r>
          </w:p>
        </w:tc>
        <w:tc>
          <w:tcPr>
            <w:tcW w:w="995" w:type="dxa"/>
            <w:tcBorders>
              <w:top w:val="single" w:sz="4" w:space="0" w:color="auto"/>
              <w:left w:val="single" w:sz="4" w:space="0" w:color="auto"/>
              <w:bottom w:val="single" w:sz="4" w:space="0" w:color="auto"/>
              <w:right w:val="single" w:sz="4" w:space="0" w:color="auto"/>
            </w:tcBorders>
            <w:vAlign w:val="center"/>
          </w:tcPr>
          <w:p w14:paraId="08B40AA4" w14:textId="77777777" w:rsidR="002F4FA6" w:rsidRPr="005B54EE" w:rsidRDefault="002F4FA6" w:rsidP="00635A2E">
            <w:pPr>
              <w:spacing w:line="259" w:lineRule="auto"/>
              <w:ind w:left="87"/>
              <w:jc w:val="center"/>
            </w:pPr>
            <w:r w:rsidRPr="005B54EE">
              <w:rPr>
                <w:sz w:val="18"/>
              </w:rPr>
              <w:t>2,098</w:t>
            </w:r>
          </w:p>
        </w:tc>
        <w:tc>
          <w:tcPr>
            <w:tcW w:w="995" w:type="dxa"/>
            <w:tcBorders>
              <w:top w:val="single" w:sz="4" w:space="0" w:color="auto"/>
              <w:left w:val="single" w:sz="4" w:space="0" w:color="auto"/>
              <w:bottom w:val="single" w:sz="4" w:space="0" w:color="auto"/>
              <w:right w:val="single" w:sz="4" w:space="0" w:color="auto"/>
            </w:tcBorders>
            <w:vAlign w:val="center"/>
          </w:tcPr>
          <w:p w14:paraId="7E08F02B" w14:textId="77777777" w:rsidR="002F4FA6" w:rsidRPr="005B54EE" w:rsidRDefault="002F4FA6" w:rsidP="00635A2E">
            <w:pPr>
              <w:spacing w:line="259" w:lineRule="auto"/>
              <w:ind w:left="87"/>
              <w:jc w:val="center"/>
            </w:pPr>
            <w:r w:rsidRPr="005B54EE">
              <w:rPr>
                <w:sz w:val="18"/>
              </w:rPr>
              <w:t>2,136</w:t>
            </w:r>
          </w:p>
        </w:tc>
        <w:tc>
          <w:tcPr>
            <w:tcW w:w="995" w:type="dxa"/>
            <w:tcBorders>
              <w:top w:val="single" w:sz="4" w:space="0" w:color="auto"/>
              <w:left w:val="single" w:sz="4" w:space="0" w:color="auto"/>
              <w:bottom w:val="single" w:sz="4" w:space="0" w:color="auto"/>
              <w:right w:val="single" w:sz="4" w:space="0" w:color="auto"/>
            </w:tcBorders>
            <w:vAlign w:val="center"/>
          </w:tcPr>
          <w:p w14:paraId="37F2A379" w14:textId="77777777" w:rsidR="002F4FA6" w:rsidRPr="005B54EE" w:rsidRDefault="002F4FA6" w:rsidP="00635A2E">
            <w:pPr>
              <w:spacing w:line="259" w:lineRule="auto"/>
              <w:ind w:left="87"/>
              <w:jc w:val="center"/>
            </w:pPr>
            <w:r w:rsidRPr="005B54EE">
              <w:rPr>
                <w:sz w:val="18"/>
              </w:rPr>
              <w:t>2,175</w:t>
            </w:r>
          </w:p>
        </w:tc>
        <w:tc>
          <w:tcPr>
            <w:tcW w:w="996" w:type="dxa"/>
            <w:tcBorders>
              <w:top w:val="single" w:sz="4" w:space="0" w:color="auto"/>
              <w:left w:val="single" w:sz="4" w:space="0" w:color="auto"/>
              <w:bottom w:val="single" w:sz="4" w:space="0" w:color="auto"/>
              <w:right w:val="single" w:sz="4" w:space="0" w:color="auto"/>
            </w:tcBorders>
            <w:vAlign w:val="center"/>
          </w:tcPr>
          <w:p w14:paraId="72762A8D" w14:textId="77777777" w:rsidR="002F4FA6" w:rsidRPr="005B54EE" w:rsidRDefault="002F4FA6" w:rsidP="00635A2E">
            <w:pPr>
              <w:spacing w:line="259" w:lineRule="auto"/>
              <w:ind w:left="89"/>
              <w:jc w:val="center"/>
            </w:pPr>
            <w:r w:rsidRPr="005B54EE">
              <w:rPr>
                <w:sz w:val="18"/>
              </w:rPr>
              <w:t>2,217</w:t>
            </w:r>
          </w:p>
        </w:tc>
        <w:tc>
          <w:tcPr>
            <w:tcW w:w="995" w:type="dxa"/>
            <w:tcBorders>
              <w:top w:val="single" w:sz="4" w:space="0" w:color="auto"/>
              <w:left w:val="single" w:sz="4" w:space="0" w:color="auto"/>
              <w:bottom w:val="single" w:sz="4" w:space="0" w:color="auto"/>
              <w:right w:val="single" w:sz="4" w:space="0" w:color="auto"/>
            </w:tcBorders>
            <w:vAlign w:val="center"/>
          </w:tcPr>
          <w:p w14:paraId="3A4B5C02" w14:textId="77777777" w:rsidR="002F4FA6" w:rsidRPr="005B54EE" w:rsidRDefault="002F4FA6" w:rsidP="00635A2E">
            <w:pPr>
              <w:spacing w:line="259" w:lineRule="auto"/>
              <w:ind w:left="87"/>
              <w:jc w:val="center"/>
            </w:pPr>
            <w:r w:rsidRPr="005B54EE">
              <w:rPr>
                <w:sz w:val="18"/>
              </w:rPr>
              <w:t>2,260</w:t>
            </w:r>
          </w:p>
        </w:tc>
        <w:tc>
          <w:tcPr>
            <w:tcW w:w="995" w:type="dxa"/>
            <w:tcBorders>
              <w:top w:val="single" w:sz="4" w:space="0" w:color="auto"/>
              <w:left w:val="single" w:sz="4" w:space="0" w:color="auto"/>
              <w:bottom w:val="single" w:sz="4" w:space="0" w:color="auto"/>
              <w:right w:val="single" w:sz="4" w:space="0" w:color="auto"/>
            </w:tcBorders>
            <w:vAlign w:val="center"/>
          </w:tcPr>
          <w:p w14:paraId="78158B12" w14:textId="77777777" w:rsidR="002F4FA6" w:rsidRPr="005B54EE" w:rsidRDefault="002F4FA6" w:rsidP="00635A2E">
            <w:pPr>
              <w:spacing w:line="259" w:lineRule="auto"/>
              <w:ind w:left="87"/>
              <w:jc w:val="center"/>
              <w:rPr>
                <w:sz w:val="18"/>
              </w:rPr>
            </w:pPr>
            <w:r w:rsidRPr="005B54EE">
              <w:rPr>
                <w:sz w:val="18"/>
              </w:rPr>
              <w:t>2,306</w:t>
            </w:r>
          </w:p>
        </w:tc>
        <w:tc>
          <w:tcPr>
            <w:tcW w:w="995" w:type="dxa"/>
            <w:tcBorders>
              <w:top w:val="single" w:sz="4" w:space="0" w:color="auto"/>
              <w:left w:val="single" w:sz="4" w:space="0" w:color="auto"/>
              <w:bottom w:val="single" w:sz="4" w:space="0" w:color="auto"/>
              <w:right w:val="single" w:sz="4" w:space="0" w:color="auto"/>
            </w:tcBorders>
            <w:vAlign w:val="center"/>
          </w:tcPr>
          <w:p w14:paraId="6D852347" w14:textId="77777777" w:rsidR="002F4FA6" w:rsidRPr="005B54EE" w:rsidRDefault="002F4FA6" w:rsidP="00635A2E">
            <w:pPr>
              <w:spacing w:line="259" w:lineRule="auto"/>
              <w:ind w:left="87"/>
              <w:jc w:val="center"/>
              <w:rPr>
                <w:sz w:val="18"/>
              </w:rPr>
            </w:pPr>
            <w:r w:rsidRPr="005B54EE">
              <w:rPr>
                <w:sz w:val="18"/>
              </w:rPr>
              <w:t>2,351</w:t>
            </w:r>
          </w:p>
        </w:tc>
        <w:tc>
          <w:tcPr>
            <w:tcW w:w="996" w:type="dxa"/>
            <w:tcBorders>
              <w:top w:val="single" w:sz="4" w:space="0" w:color="auto"/>
              <w:left w:val="single" w:sz="4" w:space="0" w:color="auto"/>
              <w:bottom w:val="single" w:sz="4" w:space="0" w:color="auto"/>
              <w:right w:val="single" w:sz="4" w:space="0" w:color="auto"/>
            </w:tcBorders>
            <w:vAlign w:val="center"/>
          </w:tcPr>
          <w:p w14:paraId="27A750CF" w14:textId="77777777" w:rsidR="002F4FA6" w:rsidRPr="005B54EE" w:rsidRDefault="002F4FA6" w:rsidP="00635A2E">
            <w:pPr>
              <w:spacing w:line="259" w:lineRule="auto"/>
              <w:ind w:left="87"/>
              <w:jc w:val="center"/>
              <w:rPr>
                <w:sz w:val="18"/>
              </w:rPr>
            </w:pPr>
            <w:r w:rsidRPr="005B54EE">
              <w:rPr>
                <w:sz w:val="18"/>
              </w:rPr>
              <w:t>2,397</w:t>
            </w:r>
          </w:p>
        </w:tc>
      </w:tr>
    </w:tbl>
    <w:p w14:paraId="5044E0D4" w14:textId="4F17F82A" w:rsidR="002F4FA6" w:rsidRPr="005B54EE" w:rsidRDefault="002F4FA6" w:rsidP="002F4FA6">
      <w:pPr>
        <w:pStyle w:val="Caption"/>
      </w:pPr>
      <w:bookmarkStart w:id="147" w:name="_Toc122694461"/>
      <w:bookmarkStart w:id="148" w:name="_Toc124153743"/>
      <w:r w:rsidRPr="005B54EE">
        <w:t xml:space="preserve">Table </w:t>
      </w:r>
      <w:r w:rsidR="00C73940">
        <w:fldChar w:fldCharType="begin"/>
      </w:r>
      <w:r w:rsidR="00C73940">
        <w:instrText xml:space="preserve"> SEQ Tableau \* ARABIC </w:instrText>
      </w:r>
      <w:r w:rsidR="00C73940">
        <w:fldChar w:fldCharType="separate"/>
      </w:r>
      <w:r w:rsidR="005B1C45">
        <w:rPr>
          <w:noProof/>
        </w:rPr>
        <w:t>29</w:t>
      </w:r>
      <w:r w:rsidR="00C73940">
        <w:rPr>
          <w:noProof/>
        </w:rPr>
        <w:fldChar w:fldCharType="end"/>
      </w:r>
      <w:r w:rsidRPr="005B54EE">
        <w:t>: Population growth assumptions for AMS 2018</w:t>
      </w:r>
      <w:bookmarkEnd w:id="147"/>
      <w:bookmarkEnd w:id="148"/>
    </w:p>
    <w:p w14:paraId="7D7208E4" w14:textId="77777777" w:rsidR="002F4FA6" w:rsidRPr="005B54EE" w:rsidRDefault="002F4FA6" w:rsidP="002F4FA6">
      <w:pPr>
        <w:pStyle w:val="Caption"/>
      </w:pPr>
      <w:r w:rsidRPr="005B54EE">
        <w:t xml:space="preserve">Source: Insee, 2016 </w:t>
      </w:r>
    </w:p>
    <w:p w14:paraId="1ACC17E7" w14:textId="77777777" w:rsidR="002F4FA6" w:rsidRPr="005B54EE" w:rsidRDefault="002F4FA6" w:rsidP="002F4FA6">
      <w:pPr>
        <w:spacing w:after="54" w:line="249" w:lineRule="auto"/>
        <w:ind w:left="-5" w:right="914" w:hanging="3"/>
        <w:rPr>
          <w:b/>
          <w:bCs/>
          <w:sz w:val="18"/>
          <w:szCs w:val="18"/>
        </w:rPr>
      </w:pPr>
    </w:p>
    <w:p w14:paraId="22BDC32D" w14:textId="77777777" w:rsidR="002F4FA6" w:rsidRPr="005B54EE" w:rsidRDefault="002F4FA6" w:rsidP="002F4FA6">
      <w:pPr>
        <w:spacing w:after="240"/>
        <w:jc w:val="center"/>
      </w:pPr>
      <w:r w:rsidRPr="005B54EE">
        <w:rPr>
          <w:noProof/>
          <w:lang w:val="fr-FR"/>
        </w:rPr>
        <w:drawing>
          <wp:inline distT="0" distB="0" distL="0" distR="0" wp14:anchorId="058A0146" wp14:editId="1A5F879D">
            <wp:extent cx="5398770" cy="3575050"/>
            <wp:effectExtent l="0" t="0" r="11430" b="6350"/>
            <wp:docPr id="28708" name="Graphique 287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4F5490C" w14:textId="787940D7" w:rsidR="002F4FA6" w:rsidRPr="005B54EE" w:rsidRDefault="002F4FA6" w:rsidP="002F4FA6">
      <w:pPr>
        <w:pStyle w:val="Caption"/>
      </w:pPr>
      <w:bookmarkStart w:id="149" w:name="_Toc122694407"/>
      <w:bookmarkStart w:id="150" w:name="_Toc124153781"/>
      <w:r w:rsidRPr="005B54EE">
        <w:t xml:space="preserve">Figure </w:t>
      </w:r>
      <w:r w:rsidR="00C73940">
        <w:fldChar w:fldCharType="begin"/>
      </w:r>
      <w:r w:rsidR="00C73940">
        <w:instrText xml:space="preserve"> SEQ Figure \* ARABIC </w:instrText>
      </w:r>
      <w:r w:rsidR="00C73940">
        <w:fldChar w:fldCharType="separate"/>
      </w:r>
      <w:r w:rsidR="003402E2">
        <w:rPr>
          <w:noProof/>
        </w:rPr>
        <w:t>27</w:t>
      </w:r>
      <w:r w:rsidR="00C73940">
        <w:rPr>
          <w:noProof/>
        </w:rPr>
        <w:fldChar w:fldCharType="end"/>
      </w:r>
      <w:r w:rsidRPr="005B54EE">
        <w:t>: Population growth assumption for AME 2021 and AMS 2018</w:t>
      </w:r>
      <w:bookmarkEnd w:id="149"/>
      <w:bookmarkEnd w:id="150"/>
    </w:p>
    <w:p w14:paraId="310037F0" w14:textId="77777777" w:rsidR="002F4FA6" w:rsidRPr="005B54EE" w:rsidRDefault="002F4FA6" w:rsidP="002F4FA6">
      <w:pPr>
        <w:pStyle w:val="Caption"/>
      </w:pPr>
      <w:r w:rsidRPr="005B54EE">
        <w:t>Source: MTE/DGEC, INSEE</w:t>
      </w:r>
    </w:p>
    <w:p w14:paraId="706EBF36" w14:textId="77777777" w:rsidR="002F4FA6" w:rsidRPr="005B54EE" w:rsidRDefault="002F4FA6" w:rsidP="002F4FA6">
      <w:pPr>
        <w:pStyle w:val="Titre4niveau4"/>
        <w:numPr>
          <w:ilvl w:val="2"/>
          <w:numId w:val="47"/>
        </w:numPr>
        <w:spacing w:before="240"/>
      </w:pPr>
      <w:r w:rsidRPr="005B54EE">
        <w:t xml:space="preserve">Assumptions on economic growth </w:t>
      </w:r>
    </w:p>
    <w:p w14:paraId="63AA7054" w14:textId="77777777" w:rsidR="002F4FA6" w:rsidRPr="005B54EE" w:rsidRDefault="002F4FA6" w:rsidP="002F4FA6">
      <w:pPr>
        <w:spacing w:before="240" w:after="240"/>
      </w:pPr>
      <w:r w:rsidRPr="005B54EE">
        <w:t>The economic growth assumptions are those recommended for France by the European Commission. These assumptions are also consistent with the assumptions used by the French Ministry of the Economy for long-term economic frameworks. The GDP trajectory for AME 2021 includes the impact of the Covid-19 pandemic, and assumes a rapid recovery of the economy.</w:t>
      </w:r>
    </w:p>
    <w:tbl>
      <w:tblPr>
        <w:tblStyle w:val="TableGrid0"/>
        <w:tblW w:w="9943" w:type="dxa"/>
        <w:tblInd w:w="7" w:type="dxa"/>
        <w:tblLook w:val="04A0" w:firstRow="1" w:lastRow="0" w:firstColumn="1" w:lastColumn="0" w:noHBand="0" w:noVBand="1"/>
      </w:tblPr>
      <w:tblGrid>
        <w:gridCol w:w="5367"/>
        <w:gridCol w:w="651"/>
        <w:gridCol w:w="652"/>
        <w:gridCol w:w="653"/>
        <w:gridCol w:w="655"/>
        <w:gridCol w:w="655"/>
        <w:gridCol w:w="655"/>
        <w:gridCol w:w="655"/>
      </w:tblGrid>
      <w:tr w:rsidR="002F4FA6" w:rsidRPr="005B54EE" w14:paraId="374460A9" w14:textId="77777777" w:rsidTr="00635A2E">
        <w:trPr>
          <w:trHeight w:val="407"/>
        </w:trPr>
        <w:tc>
          <w:tcPr>
            <w:tcW w:w="5367" w:type="dxa"/>
          </w:tcPr>
          <w:p w14:paraId="1CA42E25" w14:textId="77777777" w:rsidR="002F4FA6" w:rsidRPr="005B54EE" w:rsidRDefault="002F4FA6" w:rsidP="002F4FA6">
            <w:pPr>
              <w:pStyle w:val="titreencadre"/>
              <w:spacing w:before="120" w:after="60" w:line="240" w:lineRule="auto"/>
            </w:pPr>
            <w:r w:rsidRPr="005B54EE">
              <w:t>AMS 2018</w:t>
            </w:r>
          </w:p>
        </w:tc>
        <w:tc>
          <w:tcPr>
            <w:tcW w:w="651" w:type="dxa"/>
          </w:tcPr>
          <w:p w14:paraId="618AFCEF" w14:textId="77777777" w:rsidR="002F4FA6" w:rsidRPr="005B54EE" w:rsidRDefault="002F4FA6" w:rsidP="00635A2E">
            <w:pPr>
              <w:spacing w:line="259" w:lineRule="auto"/>
              <w:ind w:left="114"/>
              <w:jc w:val="center"/>
            </w:pPr>
            <w:r w:rsidRPr="005B54EE">
              <w:rPr>
                <w:sz w:val="18"/>
              </w:rPr>
              <w:t xml:space="preserve">1.31 </w:t>
            </w:r>
          </w:p>
        </w:tc>
        <w:tc>
          <w:tcPr>
            <w:tcW w:w="652" w:type="dxa"/>
          </w:tcPr>
          <w:p w14:paraId="2C163F35" w14:textId="77777777" w:rsidR="002F4FA6" w:rsidRPr="005B54EE" w:rsidRDefault="002F4FA6" w:rsidP="00635A2E">
            <w:pPr>
              <w:spacing w:line="259" w:lineRule="auto"/>
              <w:ind w:left="115"/>
              <w:jc w:val="center"/>
            </w:pPr>
            <w:r w:rsidRPr="005B54EE">
              <w:rPr>
                <w:sz w:val="18"/>
              </w:rPr>
              <w:t xml:space="preserve">-8.25 </w:t>
            </w:r>
          </w:p>
        </w:tc>
        <w:tc>
          <w:tcPr>
            <w:tcW w:w="653" w:type="dxa"/>
          </w:tcPr>
          <w:p w14:paraId="6C839AAF" w14:textId="77777777" w:rsidR="002F4FA6" w:rsidRPr="005B54EE" w:rsidRDefault="002F4FA6" w:rsidP="00635A2E">
            <w:pPr>
              <w:spacing w:line="259" w:lineRule="auto"/>
              <w:ind w:left="116"/>
              <w:jc w:val="center"/>
            </w:pPr>
            <w:r w:rsidRPr="005B54EE">
              <w:rPr>
                <w:sz w:val="18"/>
              </w:rPr>
              <w:t xml:space="preserve">7.4 </w:t>
            </w:r>
          </w:p>
        </w:tc>
        <w:tc>
          <w:tcPr>
            <w:tcW w:w="655" w:type="dxa"/>
          </w:tcPr>
          <w:p w14:paraId="0FD221E4" w14:textId="77777777" w:rsidR="002F4FA6" w:rsidRPr="005B54EE" w:rsidRDefault="002F4FA6" w:rsidP="00635A2E">
            <w:pPr>
              <w:spacing w:line="259" w:lineRule="auto"/>
              <w:ind w:left="118"/>
              <w:jc w:val="center"/>
            </w:pPr>
            <w:r w:rsidRPr="005B54EE">
              <w:rPr>
                <w:sz w:val="18"/>
              </w:rPr>
              <w:t>1.77</w:t>
            </w:r>
          </w:p>
        </w:tc>
        <w:tc>
          <w:tcPr>
            <w:tcW w:w="655" w:type="dxa"/>
          </w:tcPr>
          <w:p w14:paraId="0B6AD41D" w14:textId="77777777" w:rsidR="002F4FA6" w:rsidRPr="005B54EE" w:rsidRDefault="002F4FA6" w:rsidP="00635A2E">
            <w:pPr>
              <w:spacing w:line="259" w:lineRule="auto"/>
              <w:ind w:left="118"/>
              <w:jc w:val="center"/>
              <w:rPr>
                <w:sz w:val="18"/>
              </w:rPr>
            </w:pPr>
            <w:r w:rsidRPr="005B54EE">
              <w:rPr>
                <w:sz w:val="18"/>
              </w:rPr>
              <w:t>0.87</w:t>
            </w:r>
          </w:p>
        </w:tc>
        <w:tc>
          <w:tcPr>
            <w:tcW w:w="655" w:type="dxa"/>
          </w:tcPr>
          <w:p w14:paraId="1C581D6D" w14:textId="77777777" w:rsidR="002F4FA6" w:rsidRPr="005B54EE" w:rsidRDefault="002F4FA6" w:rsidP="00635A2E">
            <w:pPr>
              <w:spacing w:line="259" w:lineRule="auto"/>
              <w:ind w:left="118"/>
              <w:jc w:val="center"/>
              <w:rPr>
                <w:sz w:val="18"/>
              </w:rPr>
            </w:pPr>
            <w:r w:rsidRPr="005B54EE">
              <w:rPr>
                <w:sz w:val="18"/>
              </w:rPr>
              <w:t>1.33</w:t>
            </w:r>
          </w:p>
        </w:tc>
        <w:tc>
          <w:tcPr>
            <w:tcW w:w="655" w:type="dxa"/>
          </w:tcPr>
          <w:p w14:paraId="7B6D9D9C" w14:textId="77777777" w:rsidR="002F4FA6" w:rsidRPr="005B54EE" w:rsidRDefault="002F4FA6" w:rsidP="00635A2E">
            <w:pPr>
              <w:spacing w:line="259" w:lineRule="auto"/>
              <w:ind w:left="118"/>
              <w:jc w:val="center"/>
              <w:rPr>
                <w:sz w:val="18"/>
              </w:rPr>
            </w:pPr>
            <w:r w:rsidRPr="005B54EE">
              <w:rPr>
                <w:sz w:val="18"/>
              </w:rPr>
              <w:t>1.63</w:t>
            </w:r>
          </w:p>
        </w:tc>
      </w:tr>
      <w:tr w:rsidR="002F4FA6" w:rsidRPr="005B54EE" w14:paraId="6367C893" w14:textId="77777777" w:rsidTr="00635A2E">
        <w:tblPrEx>
          <w:tblCellMar>
            <w:top w:w="37" w:type="dxa"/>
            <w:right w:w="115" w:type="dxa"/>
          </w:tblCellMar>
        </w:tblPrEx>
        <w:trPr>
          <w:trHeight w:val="389"/>
        </w:trPr>
        <w:tc>
          <w:tcPr>
            <w:tcW w:w="5367" w:type="dxa"/>
            <w:tcBorders>
              <w:top w:val="single" w:sz="2" w:space="0" w:color="000000"/>
              <w:left w:val="single" w:sz="2" w:space="0" w:color="000000"/>
              <w:bottom w:val="single" w:sz="2" w:space="0" w:color="000000"/>
              <w:right w:val="single" w:sz="2" w:space="0" w:color="000000"/>
            </w:tcBorders>
            <w:shd w:val="clear" w:color="auto" w:fill="6D2A78"/>
          </w:tcPr>
          <w:p w14:paraId="553CF7F4" w14:textId="77777777" w:rsidR="002F4FA6" w:rsidRPr="005B54EE" w:rsidRDefault="002F4FA6" w:rsidP="00635A2E">
            <w:pPr>
              <w:spacing w:line="259" w:lineRule="auto"/>
              <w:ind w:left="28"/>
            </w:pPr>
            <w:r w:rsidRPr="005B54EE">
              <w:rPr>
                <w:b/>
                <w:color w:val="FFFFFF"/>
                <w:sz w:val="18"/>
              </w:rPr>
              <w:t>Average annual GDP growth rate</w:t>
            </w:r>
          </w:p>
        </w:tc>
        <w:tc>
          <w:tcPr>
            <w:tcW w:w="651" w:type="dxa"/>
            <w:tcBorders>
              <w:top w:val="single" w:sz="2" w:space="0" w:color="000000"/>
              <w:left w:val="single" w:sz="2" w:space="0" w:color="000000"/>
              <w:bottom w:val="single" w:sz="2" w:space="0" w:color="000000"/>
              <w:right w:val="single" w:sz="2" w:space="0" w:color="000000"/>
            </w:tcBorders>
            <w:shd w:val="clear" w:color="auto" w:fill="6D2A78"/>
          </w:tcPr>
          <w:p w14:paraId="1F012D33" w14:textId="77777777" w:rsidR="002F4FA6" w:rsidRPr="005B54EE" w:rsidRDefault="002F4FA6" w:rsidP="00635A2E">
            <w:pPr>
              <w:spacing w:line="259" w:lineRule="auto"/>
              <w:ind w:left="116"/>
              <w:jc w:val="center"/>
            </w:pPr>
            <w:r w:rsidRPr="005B54EE">
              <w:rPr>
                <w:b/>
                <w:color w:val="FFFFFF"/>
                <w:sz w:val="18"/>
              </w:rPr>
              <w:t xml:space="preserve">2015-2020 </w:t>
            </w:r>
          </w:p>
        </w:tc>
        <w:tc>
          <w:tcPr>
            <w:tcW w:w="652" w:type="dxa"/>
            <w:tcBorders>
              <w:top w:val="single" w:sz="2" w:space="0" w:color="000000"/>
              <w:left w:val="single" w:sz="2" w:space="0" w:color="000000"/>
              <w:bottom w:val="single" w:sz="2" w:space="0" w:color="000000"/>
              <w:right w:val="single" w:sz="2" w:space="0" w:color="000000"/>
            </w:tcBorders>
            <w:shd w:val="clear" w:color="auto" w:fill="6D2A78"/>
          </w:tcPr>
          <w:p w14:paraId="0B2FC40A" w14:textId="77777777" w:rsidR="002F4FA6" w:rsidRPr="005B54EE" w:rsidRDefault="002F4FA6" w:rsidP="00635A2E">
            <w:pPr>
              <w:spacing w:line="259" w:lineRule="auto"/>
              <w:ind w:left="117"/>
              <w:jc w:val="center"/>
            </w:pPr>
            <w:r w:rsidRPr="005B54EE">
              <w:rPr>
                <w:b/>
                <w:color w:val="FFFFFF"/>
                <w:sz w:val="18"/>
              </w:rPr>
              <w:t xml:space="preserve">2020-2025 </w:t>
            </w:r>
          </w:p>
        </w:tc>
        <w:tc>
          <w:tcPr>
            <w:tcW w:w="653" w:type="dxa"/>
            <w:tcBorders>
              <w:top w:val="single" w:sz="2" w:space="0" w:color="000000"/>
              <w:left w:val="single" w:sz="2" w:space="0" w:color="000000"/>
              <w:bottom w:val="single" w:sz="2" w:space="0" w:color="000000"/>
              <w:right w:val="single" w:sz="2" w:space="0" w:color="000000"/>
            </w:tcBorders>
            <w:shd w:val="clear" w:color="auto" w:fill="6D2A78"/>
          </w:tcPr>
          <w:p w14:paraId="42806430" w14:textId="77777777" w:rsidR="002F4FA6" w:rsidRPr="005B54EE" w:rsidRDefault="002F4FA6" w:rsidP="00635A2E">
            <w:pPr>
              <w:spacing w:line="259" w:lineRule="auto"/>
              <w:ind w:left="118"/>
              <w:jc w:val="center"/>
            </w:pPr>
            <w:r w:rsidRPr="005B54EE">
              <w:rPr>
                <w:b/>
                <w:color w:val="FFFFFF"/>
                <w:sz w:val="18"/>
              </w:rPr>
              <w:t xml:space="preserve">2025-2030 </w:t>
            </w:r>
          </w:p>
        </w:tc>
        <w:tc>
          <w:tcPr>
            <w:tcW w:w="655" w:type="dxa"/>
            <w:tcBorders>
              <w:top w:val="single" w:sz="2" w:space="0" w:color="000000"/>
              <w:left w:val="single" w:sz="2" w:space="0" w:color="000000"/>
              <w:bottom w:val="single" w:sz="2" w:space="0" w:color="000000"/>
              <w:right w:val="single" w:sz="2" w:space="0" w:color="000000"/>
            </w:tcBorders>
            <w:shd w:val="clear" w:color="auto" w:fill="6D2A78"/>
          </w:tcPr>
          <w:p w14:paraId="529053E3" w14:textId="77777777" w:rsidR="002F4FA6" w:rsidRPr="005B54EE" w:rsidRDefault="002F4FA6" w:rsidP="00635A2E">
            <w:pPr>
              <w:spacing w:line="259" w:lineRule="auto"/>
              <w:ind w:left="120"/>
              <w:jc w:val="center"/>
            </w:pPr>
            <w:r w:rsidRPr="005B54EE">
              <w:rPr>
                <w:b/>
                <w:color w:val="FFFFFF"/>
                <w:sz w:val="18"/>
              </w:rPr>
              <w:t xml:space="preserve">2030-2035 </w:t>
            </w:r>
          </w:p>
        </w:tc>
        <w:tc>
          <w:tcPr>
            <w:tcW w:w="655" w:type="dxa"/>
            <w:tcBorders>
              <w:top w:val="single" w:sz="2" w:space="0" w:color="000000"/>
              <w:left w:val="single" w:sz="2" w:space="0" w:color="000000"/>
              <w:bottom w:val="single" w:sz="2" w:space="0" w:color="000000"/>
              <w:right w:val="single" w:sz="2" w:space="0" w:color="000000"/>
            </w:tcBorders>
            <w:shd w:val="clear" w:color="auto" w:fill="6D2A78"/>
          </w:tcPr>
          <w:p w14:paraId="05EF0C20" w14:textId="77777777" w:rsidR="002F4FA6" w:rsidRPr="005B54EE" w:rsidRDefault="002F4FA6" w:rsidP="00635A2E">
            <w:pPr>
              <w:spacing w:line="259" w:lineRule="auto"/>
              <w:ind w:left="120"/>
              <w:jc w:val="center"/>
              <w:rPr>
                <w:b/>
                <w:color w:val="FFFFFF"/>
                <w:sz w:val="18"/>
              </w:rPr>
            </w:pPr>
            <w:r w:rsidRPr="005B54EE">
              <w:rPr>
                <w:b/>
                <w:color w:val="FFFFFF"/>
                <w:sz w:val="18"/>
              </w:rPr>
              <w:t>2035-2040</w:t>
            </w:r>
          </w:p>
        </w:tc>
        <w:tc>
          <w:tcPr>
            <w:tcW w:w="655" w:type="dxa"/>
            <w:tcBorders>
              <w:top w:val="single" w:sz="2" w:space="0" w:color="000000"/>
              <w:left w:val="single" w:sz="2" w:space="0" w:color="000000"/>
              <w:bottom w:val="single" w:sz="2" w:space="0" w:color="000000"/>
              <w:right w:val="single" w:sz="2" w:space="0" w:color="000000"/>
            </w:tcBorders>
            <w:shd w:val="clear" w:color="auto" w:fill="6D2A78"/>
          </w:tcPr>
          <w:p w14:paraId="3EB0E73D" w14:textId="77777777" w:rsidR="002F4FA6" w:rsidRPr="005B54EE" w:rsidRDefault="002F4FA6" w:rsidP="00635A2E">
            <w:pPr>
              <w:spacing w:line="259" w:lineRule="auto"/>
              <w:ind w:left="120"/>
              <w:jc w:val="center"/>
              <w:rPr>
                <w:b/>
                <w:color w:val="FFFFFF"/>
                <w:sz w:val="18"/>
              </w:rPr>
            </w:pPr>
            <w:r w:rsidRPr="005B54EE">
              <w:rPr>
                <w:b/>
                <w:color w:val="FFFFFF"/>
                <w:sz w:val="18"/>
              </w:rPr>
              <w:t>2040-2045</w:t>
            </w:r>
          </w:p>
        </w:tc>
        <w:tc>
          <w:tcPr>
            <w:tcW w:w="655" w:type="dxa"/>
            <w:tcBorders>
              <w:top w:val="single" w:sz="2" w:space="0" w:color="000000"/>
              <w:left w:val="single" w:sz="2" w:space="0" w:color="000000"/>
              <w:bottom w:val="single" w:sz="2" w:space="0" w:color="000000"/>
              <w:right w:val="single" w:sz="2" w:space="0" w:color="000000"/>
            </w:tcBorders>
            <w:shd w:val="clear" w:color="auto" w:fill="6D2A78"/>
          </w:tcPr>
          <w:p w14:paraId="23A3F12B" w14:textId="77777777" w:rsidR="002F4FA6" w:rsidRPr="005B54EE" w:rsidRDefault="002F4FA6" w:rsidP="00635A2E">
            <w:pPr>
              <w:spacing w:line="259" w:lineRule="auto"/>
              <w:ind w:left="120"/>
              <w:jc w:val="center"/>
              <w:rPr>
                <w:b/>
                <w:color w:val="FFFFFF"/>
                <w:sz w:val="18"/>
              </w:rPr>
            </w:pPr>
            <w:r w:rsidRPr="005B54EE">
              <w:rPr>
                <w:b/>
                <w:color w:val="FFFFFF"/>
                <w:sz w:val="18"/>
              </w:rPr>
              <w:t>2045-2050</w:t>
            </w:r>
          </w:p>
        </w:tc>
      </w:tr>
      <w:tr w:rsidR="002F4FA6" w:rsidRPr="005B54EE" w14:paraId="207E61EA" w14:textId="77777777" w:rsidTr="00635A2E">
        <w:tblPrEx>
          <w:tblCellMar>
            <w:top w:w="37" w:type="dxa"/>
            <w:right w:w="115" w:type="dxa"/>
          </w:tblCellMar>
        </w:tblPrEx>
        <w:trPr>
          <w:trHeight w:val="407"/>
        </w:trPr>
        <w:tc>
          <w:tcPr>
            <w:tcW w:w="5367" w:type="dxa"/>
            <w:tcBorders>
              <w:top w:val="single" w:sz="2" w:space="0" w:color="000000"/>
              <w:left w:val="single" w:sz="2" w:space="0" w:color="000000"/>
              <w:bottom w:val="single" w:sz="2" w:space="0" w:color="000000"/>
              <w:right w:val="single" w:sz="2" w:space="0" w:color="000000"/>
            </w:tcBorders>
          </w:tcPr>
          <w:p w14:paraId="1F8693F5" w14:textId="77777777" w:rsidR="002F4FA6" w:rsidRPr="005B54EE" w:rsidRDefault="002F4FA6" w:rsidP="00635A2E">
            <w:pPr>
              <w:spacing w:line="259" w:lineRule="auto"/>
              <w:ind w:left="28"/>
            </w:pPr>
            <w:r w:rsidRPr="005B54EE">
              <w:rPr>
                <w:sz w:val="18"/>
              </w:rPr>
              <w:t>AMS 2018</w:t>
            </w:r>
          </w:p>
        </w:tc>
        <w:tc>
          <w:tcPr>
            <w:tcW w:w="651" w:type="dxa"/>
            <w:tcBorders>
              <w:top w:val="single" w:sz="2" w:space="0" w:color="000000"/>
              <w:left w:val="single" w:sz="2" w:space="0" w:color="000000"/>
              <w:bottom w:val="single" w:sz="2" w:space="0" w:color="000000"/>
              <w:right w:val="single" w:sz="2" w:space="0" w:color="000000"/>
            </w:tcBorders>
          </w:tcPr>
          <w:p w14:paraId="08E6EEB5" w14:textId="77777777" w:rsidR="002F4FA6" w:rsidRPr="005B54EE" w:rsidRDefault="002F4FA6" w:rsidP="00635A2E">
            <w:pPr>
              <w:spacing w:line="259" w:lineRule="auto"/>
              <w:ind w:left="114"/>
              <w:jc w:val="center"/>
            </w:pPr>
            <w:r w:rsidRPr="005B54EE">
              <w:rPr>
                <w:sz w:val="18"/>
              </w:rPr>
              <w:t xml:space="preserve">1.6 </w:t>
            </w:r>
          </w:p>
        </w:tc>
        <w:tc>
          <w:tcPr>
            <w:tcW w:w="652" w:type="dxa"/>
            <w:tcBorders>
              <w:top w:val="single" w:sz="2" w:space="0" w:color="000000"/>
              <w:left w:val="single" w:sz="2" w:space="0" w:color="000000"/>
              <w:bottom w:val="single" w:sz="2" w:space="0" w:color="000000"/>
              <w:right w:val="single" w:sz="2" w:space="0" w:color="000000"/>
            </w:tcBorders>
          </w:tcPr>
          <w:p w14:paraId="1E603AEC" w14:textId="77777777" w:rsidR="002F4FA6" w:rsidRPr="005B54EE" w:rsidRDefault="002F4FA6" w:rsidP="00635A2E">
            <w:pPr>
              <w:spacing w:line="259" w:lineRule="auto"/>
              <w:ind w:left="115"/>
              <w:jc w:val="center"/>
            </w:pPr>
            <w:r w:rsidRPr="005B54EE">
              <w:rPr>
                <w:sz w:val="18"/>
              </w:rPr>
              <w:t xml:space="preserve">1.3 </w:t>
            </w:r>
          </w:p>
        </w:tc>
        <w:tc>
          <w:tcPr>
            <w:tcW w:w="653" w:type="dxa"/>
            <w:tcBorders>
              <w:top w:val="single" w:sz="2" w:space="0" w:color="000000"/>
              <w:left w:val="single" w:sz="2" w:space="0" w:color="000000"/>
              <w:bottom w:val="single" w:sz="2" w:space="0" w:color="000000"/>
              <w:right w:val="single" w:sz="2" w:space="0" w:color="000000"/>
            </w:tcBorders>
          </w:tcPr>
          <w:p w14:paraId="6CC126CE" w14:textId="77777777" w:rsidR="002F4FA6" w:rsidRPr="005B54EE" w:rsidRDefault="002F4FA6" w:rsidP="00635A2E">
            <w:pPr>
              <w:spacing w:line="259" w:lineRule="auto"/>
              <w:ind w:left="116"/>
              <w:jc w:val="center"/>
            </w:pPr>
            <w:r w:rsidRPr="005B54EE">
              <w:rPr>
                <w:sz w:val="18"/>
              </w:rPr>
              <w:t xml:space="preserve">1.4 </w:t>
            </w:r>
          </w:p>
        </w:tc>
        <w:tc>
          <w:tcPr>
            <w:tcW w:w="655" w:type="dxa"/>
            <w:tcBorders>
              <w:top w:val="single" w:sz="2" w:space="0" w:color="000000"/>
              <w:left w:val="single" w:sz="2" w:space="0" w:color="000000"/>
              <w:bottom w:val="single" w:sz="2" w:space="0" w:color="000000"/>
              <w:right w:val="single" w:sz="2" w:space="0" w:color="000000"/>
            </w:tcBorders>
          </w:tcPr>
          <w:p w14:paraId="48FA9A15" w14:textId="77777777" w:rsidR="002F4FA6" w:rsidRPr="005B54EE" w:rsidRDefault="002F4FA6" w:rsidP="00635A2E">
            <w:pPr>
              <w:spacing w:line="259" w:lineRule="auto"/>
              <w:ind w:left="118"/>
              <w:jc w:val="center"/>
            </w:pPr>
            <w:r w:rsidRPr="005B54EE">
              <w:rPr>
                <w:sz w:val="18"/>
              </w:rPr>
              <w:t xml:space="preserve">1.7 </w:t>
            </w:r>
          </w:p>
        </w:tc>
        <w:tc>
          <w:tcPr>
            <w:tcW w:w="655" w:type="dxa"/>
            <w:tcBorders>
              <w:top w:val="single" w:sz="2" w:space="0" w:color="000000"/>
              <w:left w:val="single" w:sz="2" w:space="0" w:color="000000"/>
              <w:bottom w:val="single" w:sz="2" w:space="0" w:color="000000"/>
              <w:right w:val="single" w:sz="2" w:space="0" w:color="000000"/>
            </w:tcBorders>
          </w:tcPr>
          <w:p w14:paraId="50F5EB2C" w14:textId="77777777" w:rsidR="002F4FA6" w:rsidRPr="005B54EE" w:rsidRDefault="002F4FA6" w:rsidP="00635A2E">
            <w:pPr>
              <w:spacing w:line="259" w:lineRule="auto"/>
              <w:ind w:left="118"/>
              <w:jc w:val="center"/>
              <w:rPr>
                <w:sz w:val="18"/>
              </w:rPr>
            </w:pPr>
            <w:r w:rsidRPr="005B54EE">
              <w:rPr>
                <w:sz w:val="18"/>
              </w:rPr>
              <w:t>1.7</w:t>
            </w:r>
          </w:p>
        </w:tc>
        <w:tc>
          <w:tcPr>
            <w:tcW w:w="655" w:type="dxa"/>
            <w:tcBorders>
              <w:top w:val="single" w:sz="2" w:space="0" w:color="000000"/>
              <w:left w:val="single" w:sz="2" w:space="0" w:color="000000"/>
              <w:bottom w:val="single" w:sz="2" w:space="0" w:color="000000"/>
              <w:right w:val="single" w:sz="2" w:space="0" w:color="000000"/>
            </w:tcBorders>
          </w:tcPr>
          <w:p w14:paraId="054BE522" w14:textId="77777777" w:rsidR="002F4FA6" w:rsidRPr="005B54EE" w:rsidRDefault="002F4FA6" w:rsidP="00635A2E">
            <w:pPr>
              <w:spacing w:line="259" w:lineRule="auto"/>
              <w:ind w:left="118"/>
              <w:jc w:val="center"/>
              <w:rPr>
                <w:sz w:val="18"/>
              </w:rPr>
            </w:pPr>
            <w:r w:rsidRPr="005B54EE">
              <w:rPr>
                <w:sz w:val="18"/>
              </w:rPr>
              <w:t>1.7</w:t>
            </w:r>
          </w:p>
        </w:tc>
        <w:tc>
          <w:tcPr>
            <w:tcW w:w="655" w:type="dxa"/>
            <w:tcBorders>
              <w:top w:val="single" w:sz="2" w:space="0" w:color="000000"/>
              <w:left w:val="single" w:sz="2" w:space="0" w:color="000000"/>
              <w:bottom w:val="single" w:sz="2" w:space="0" w:color="000000"/>
              <w:right w:val="single" w:sz="2" w:space="0" w:color="000000"/>
            </w:tcBorders>
          </w:tcPr>
          <w:p w14:paraId="4BA1FD47" w14:textId="77777777" w:rsidR="002F4FA6" w:rsidRPr="005B54EE" w:rsidRDefault="002F4FA6" w:rsidP="00635A2E">
            <w:pPr>
              <w:spacing w:line="259" w:lineRule="auto"/>
              <w:ind w:left="118"/>
              <w:jc w:val="center"/>
              <w:rPr>
                <w:sz w:val="18"/>
              </w:rPr>
            </w:pPr>
            <w:r w:rsidRPr="005B54EE">
              <w:rPr>
                <w:sz w:val="18"/>
              </w:rPr>
              <w:t>1.7</w:t>
            </w:r>
          </w:p>
        </w:tc>
      </w:tr>
    </w:tbl>
    <w:p w14:paraId="2B7F0EAC" w14:textId="041A599A" w:rsidR="002F4FA6" w:rsidRPr="005B54EE" w:rsidRDefault="002F4FA6" w:rsidP="002F4FA6">
      <w:pPr>
        <w:pStyle w:val="Caption"/>
      </w:pPr>
      <w:bookmarkStart w:id="151" w:name="_Toc122694462"/>
      <w:bookmarkStart w:id="152" w:name="_Toc124153744"/>
      <w:r w:rsidRPr="005B54EE">
        <w:t xml:space="preserve">Table </w:t>
      </w:r>
      <w:r w:rsidR="00C73940">
        <w:fldChar w:fldCharType="begin"/>
      </w:r>
      <w:r w:rsidR="00C73940">
        <w:instrText xml:space="preserve"> SEQ Tableau \* ARABIC </w:instrText>
      </w:r>
      <w:r w:rsidR="00C73940">
        <w:fldChar w:fldCharType="separate"/>
      </w:r>
      <w:r w:rsidR="005B1C45">
        <w:rPr>
          <w:noProof/>
        </w:rPr>
        <w:t>30</w:t>
      </w:r>
      <w:r w:rsidR="00C73940">
        <w:rPr>
          <w:noProof/>
        </w:rPr>
        <w:fldChar w:fldCharType="end"/>
      </w:r>
      <w:r w:rsidRPr="005B54EE">
        <w:t>: GDP growth assumptions</w:t>
      </w:r>
      <w:bookmarkEnd w:id="151"/>
      <w:bookmarkEnd w:id="152"/>
      <w:r w:rsidRPr="005B54EE">
        <w:t xml:space="preserve"> </w:t>
      </w:r>
    </w:p>
    <w:p w14:paraId="4462ACF5" w14:textId="77777777" w:rsidR="002F4FA6" w:rsidRPr="005B54EE" w:rsidRDefault="002F4FA6" w:rsidP="002F4FA6">
      <w:pPr>
        <w:pStyle w:val="Caption"/>
        <w:rPr>
          <w:color w:val="auto"/>
          <w:sz w:val="21"/>
        </w:rPr>
      </w:pPr>
      <w:r w:rsidRPr="005B54EE">
        <w:t xml:space="preserve">Source: EU economic framework for France  </w:t>
      </w:r>
    </w:p>
    <w:p w14:paraId="18920FFE" w14:textId="77777777" w:rsidR="002F4FA6" w:rsidRPr="005B54EE" w:rsidRDefault="002F4FA6" w:rsidP="002F4FA6">
      <w:pPr>
        <w:pStyle w:val="Titre4niveau4"/>
        <w:spacing w:before="240"/>
      </w:pPr>
      <w:r w:rsidRPr="005B54EE">
        <w:t>Assumptions on industrial production</w:t>
      </w:r>
    </w:p>
    <w:p w14:paraId="367C46B6" w14:textId="77777777" w:rsidR="002F4FA6" w:rsidRPr="005B54EE" w:rsidRDefault="002F4FA6" w:rsidP="002F4FA6">
      <w:pPr>
        <w:spacing w:after="43" w:line="259" w:lineRule="auto"/>
        <w:ind w:left="-1"/>
      </w:pPr>
      <w:r w:rsidRPr="005B54EE">
        <w:t>Industrial value added has been indexed to GDP up to 2025 to reflect the impact of the pandemic, and then follows the AMS 2018 trajectory thereafter (AME 2018 trajectory, with strong growth up to 2030 and then a marked slowdown, was deemed obsolete). The AME 21 trajectory is also broadly in line with that included in the European Commission’s baseline scenario (‘EC ref’), although more dynamic between 2025 and 2040.</w:t>
      </w:r>
    </w:p>
    <w:p w14:paraId="58B179E0" w14:textId="77777777" w:rsidR="002F4FA6" w:rsidRPr="005B54EE" w:rsidRDefault="002F4FA6" w:rsidP="002F4FA6"/>
    <w:p w14:paraId="2B9D6456" w14:textId="77777777" w:rsidR="002F4FA6" w:rsidRPr="005B54EE" w:rsidRDefault="002F4FA6" w:rsidP="002F4FA6">
      <w:pPr>
        <w:jc w:val="center"/>
      </w:pPr>
      <w:r w:rsidRPr="005B54EE">
        <w:rPr>
          <w:noProof/>
          <w:lang w:val="fr-FR"/>
        </w:rPr>
        <w:drawing>
          <wp:inline distT="0" distB="0" distL="0" distR="0" wp14:anchorId="5DE259D1" wp14:editId="4F9C8137">
            <wp:extent cx="4593981" cy="3143738"/>
            <wp:effectExtent l="0" t="0" r="16510" b="0"/>
            <wp:docPr id="28710" name="Graphique 287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01F088A" w14:textId="77777777" w:rsidR="002F4FA6" w:rsidRPr="005B54EE" w:rsidRDefault="002F4FA6" w:rsidP="002F4FA6"/>
    <w:tbl>
      <w:tblPr>
        <w:tblStyle w:val="TableGrid0"/>
        <w:tblW w:w="9943" w:type="dxa"/>
        <w:tblInd w:w="7" w:type="dxa"/>
        <w:tblCellMar>
          <w:top w:w="37" w:type="dxa"/>
          <w:right w:w="115" w:type="dxa"/>
        </w:tblCellMar>
        <w:tblLook w:val="04A0" w:firstRow="1" w:lastRow="0" w:firstColumn="1" w:lastColumn="0" w:noHBand="0" w:noVBand="1"/>
      </w:tblPr>
      <w:tblGrid>
        <w:gridCol w:w="3959"/>
        <w:gridCol w:w="1701"/>
        <w:gridCol w:w="720"/>
        <w:gridCol w:w="716"/>
        <w:gridCol w:w="718"/>
        <w:gridCol w:w="718"/>
        <w:gridCol w:w="693"/>
        <w:gridCol w:w="718"/>
      </w:tblGrid>
      <w:tr w:rsidR="002F4FA6" w:rsidRPr="005B54EE" w14:paraId="003415D0" w14:textId="77777777" w:rsidTr="00D0046F">
        <w:trPr>
          <w:trHeight w:val="378"/>
        </w:trPr>
        <w:tc>
          <w:tcPr>
            <w:tcW w:w="3959" w:type="dxa"/>
            <w:tcBorders>
              <w:top w:val="single" w:sz="2" w:space="0" w:color="000000"/>
              <w:left w:val="single" w:sz="2" w:space="0" w:color="000000"/>
              <w:bottom w:val="single" w:sz="2" w:space="0" w:color="000000"/>
              <w:right w:val="single" w:sz="2" w:space="0" w:color="000000"/>
            </w:tcBorders>
            <w:shd w:val="clear" w:color="auto" w:fill="6D2A78"/>
          </w:tcPr>
          <w:p w14:paraId="5197730B" w14:textId="77777777" w:rsidR="002F4FA6" w:rsidRPr="005B54EE" w:rsidRDefault="002F4FA6" w:rsidP="00635A2E">
            <w:pPr>
              <w:spacing w:line="259" w:lineRule="auto"/>
              <w:ind w:left="28"/>
            </w:pPr>
            <w:r w:rsidRPr="005B54EE">
              <w:rPr>
                <w:b/>
                <w:color w:val="FFFFFF"/>
                <w:sz w:val="18"/>
              </w:rPr>
              <w:t>Average annual growth rate of industrial value added</w:t>
            </w:r>
          </w:p>
        </w:tc>
        <w:tc>
          <w:tcPr>
            <w:tcW w:w="1701" w:type="dxa"/>
            <w:tcBorders>
              <w:top w:val="single" w:sz="2" w:space="0" w:color="000000"/>
              <w:left w:val="single" w:sz="2" w:space="0" w:color="000000"/>
              <w:bottom w:val="single" w:sz="2" w:space="0" w:color="000000"/>
              <w:right w:val="single" w:sz="2" w:space="0" w:color="000000"/>
            </w:tcBorders>
            <w:shd w:val="clear" w:color="auto" w:fill="6D2A78"/>
          </w:tcPr>
          <w:p w14:paraId="3A254FD4" w14:textId="77777777" w:rsidR="002F4FA6" w:rsidRPr="005B54EE" w:rsidRDefault="002F4FA6" w:rsidP="00635A2E">
            <w:pPr>
              <w:spacing w:line="259" w:lineRule="auto"/>
              <w:ind w:left="116"/>
              <w:jc w:val="center"/>
            </w:pPr>
            <w:r w:rsidRPr="005B54EE">
              <w:rPr>
                <w:b/>
                <w:color w:val="FFFFFF"/>
                <w:sz w:val="18"/>
              </w:rPr>
              <w:t xml:space="preserve">2015-2020 </w:t>
            </w:r>
          </w:p>
        </w:tc>
        <w:tc>
          <w:tcPr>
            <w:tcW w:w="720" w:type="dxa"/>
            <w:tcBorders>
              <w:top w:val="single" w:sz="2" w:space="0" w:color="000000"/>
              <w:left w:val="single" w:sz="2" w:space="0" w:color="000000"/>
              <w:bottom w:val="single" w:sz="2" w:space="0" w:color="000000"/>
              <w:right w:val="single" w:sz="2" w:space="0" w:color="000000"/>
            </w:tcBorders>
            <w:shd w:val="clear" w:color="auto" w:fill="6D2A78"/>
          </w:tcPr>
          <w:p w14:paraId="447441E5" w14:textId="77777777" w:rsidR="002F4FA6" w:rsidRPr="005B54EE" w:rsidRDefault="002F4FA6" w:rsidP="00635A2E">
            <w:pPr>
              <w:spacing w:line="259" w:lineRule="auto"/>
              <w:ind w:left="117"/>
              <w:jc w:val="center"/>
            </w:pPr>
            <w:r w:rsidRPr="005B54EE">
              <w:rPr>
                <w:b/>
                <w:color w:val="FFFFFF"/>
                <w:sz w:val="18"/>
              </w:rPr>
              <w:t xml:space="preserve">2020-2025 </w:t>
            </w:r>
          </w:p>
        </w:tc>
        <w:tc>
          <w:tcPr>
            <w:tcW w:w="716" w:type="dxa"/>
            <w:tcBorders>
              <w:top w:val="single" w:sz="2" w:space="0" w:color="000000"/>
              <w:left w:val="single" w:sz="2" w:space="0" w:color="000000"/>
              <w:bottom w:val="single" w:sz="2" w:space="0" w:color="000000"/>
              <w:right w:val="single" w:sz="2" w:space="0" w:color="000000"/>
            </w:tcBorders>
            <w:shd w:val="clear" w:color="auto" w:fill="6D2A78"/>
          </w:tcPr>
          <w:p w14:paraId="3B10CBC7" w14:textId="77777777" w:rsidR="002F4FA6" w:rsidRPr="005B54EE" w:rsidRDefault="002F4FA6" w:rsidP="00635A2E">
            <w:pPr>
              <w:spacing w:line="259" w:lineRule="auto"/>
              <w:ind w:left="113"/>
              <w:jc w:val="center"/>
            </w:pPr>
            <w:r w:rsidRPr="005B54EE">
              <w:rPr>
                <w:b/>
                <w:color w:val="FFFFFF"/>
                <w:sz w:val="18"/>
              </w:rPr>
              <w:t xml:space="preserve">2025-2030 </w:t>
            </w:r>
          </w:p>
        </w:tc>
        <w:tc>
          <w:tcPr>
            <w:tcW w:w="718" w:type="dxa"/>
            <w:tcBorders>
              <w:top w:val="single" w:sz="2" w:space="0" w:color="000000"/>
              <w:left w:val="single" w:sz="2" w:space="0" w:color="000000"/>
              <w:bottom w:val="single" w:sz="2" w:space="0" w:color="000000"/>
              <w:right w:val="single" w:sz="2" w:space="0" w:color="000000"/>
            </w:tcBorders>
            <w:shd w:val="clear" w:color="auto" w:fill="6D2A78"/>
          </w:tcPr>
          <w:p w14:paraId="0E66661D" w14:textId="77777777" w:rsidR="002F4FA6" w:rsidRPr="005B54EE" w:rsidRDefault="002F4FA6" w:rsidP="00635A2E">
            <w:pPr>
              <w:spacing w:line="259" w:lineRule="auto"/>
              <w:ind w:left="115"/>
              <w:jc w:val="center"/>
            </w:pPr>
            <w:r w:rsidRPr="005B54EE">
              <w:rPr>
                <w:b/>
                <w:color w:val="FFFFFF"/>
                <w:sz w:val="18"/>
              </w:rPr>
              <w:t xml:space="preserve">2030-2035 </w:t>
            </w:r>
          </w:p>
        </w:tc>
        <w:tc>
          <w:tcPr>
            <w:tcW w:w="718" w:type="dxa"/>
            <w:tcBorders>
              <w:top w:val="single" w:sz="2" w:space="0" w:color="000000"/>
              <w:left w:val="single" w:sz="2" w:space="0" w:color="000000"/>
              <w:bottom w:val="single" w:sz="2" w:space="0" w:color="000000"/>
              <w:right w:val="single" w:sz="2" w:space="0" w:color="000000"/>
            </w:tcBorders>
            <w:shd w:val="clear" w:color="auto" w:fill="6D2A78"/>
          </w:tcPr>
          <w:p w14:paraId="096831B1" w14:textId="77777777" w:rsidR="002F4FA6" w:rsidRPr="005B54EE" w:rsidRDefault="002F4FA6" w:rsidP="00635A2E">
            <w:pPr>
              <w:spacing w:line="259" w:lineRule="auto"/>
              <w:ind w:left="115"/>
              <w:jc w:val="center"/>
              <w:rPr>
                <w:b/>
                <w:color w:val="FFFFFF"/>
                <w:sz w:val="18"/>
              </w:rPr>
            </w:pPr>
            <w:r w:rsidRPr="005B54EE">
              <w:rPr>
                <w:b/>
                <w:color w:val="FFFFFF"/>
                <w:sz w:val="18"/>
              </w:rPr>
              <w:t>2036-2040</w:t>
            </w:r>
          </w:p>
        </w:tc>
        <w:tc>
          <w:tcPr>
            <w:tcW w:w="693" w:type="dxa"/>
            <w:tcBorders>
              <w:top w:val="single" w:sz="2" w:space="0" w:color="000000"/>
              <w:left w:val="single" w:sz="2" w:space="0" w:color="000000"/>
              <w:bottom w:val="single" w:sz="2" w:space="0" w:color="000000"/>
              <w:right w:val="single" w:sz="2" w:space="0" w:color="000000"/>
            </w:tcBorders>
            <w:shd w:val="clear" w:color="auto" w:fill="6D2A78"/>
          </w:tcPr>
          <w:p w14:paraId="7D470DE4" w14:textId="77777777" w:rsidR="002F4FA6" w:rsidRPr="005B54EE" w:rsidRDefault="002F4FA6" w:rsidP="00635A2E">
            <w:pPr>
              <w:spacing w:line="259" w:lineRule="auto"/>
              <w:ind w:left="115"/>
              <w:jc w:val="center"/>
              <w:rPr>
                <w:b/>
                <w:color w:val="FFFFFF"/>
                <w:sz w:val="18"/>
              </w:rPr>
            </w:pPr>
            <w:r w:rsidRPr="005B54EE">
              <w:rPr>
                <w:b/>
                <w:color w:val="FFFFFF"/>
                <w:sz w:val="18"/>
              </w:rPr>
              <w:t>2041-2045</w:t>
            </w:r>
          </w:p>
        </w:tc>
        <w:tc>
          <w:tcPr>
            <w:tcW w:w="718" w:type="dxa"/>
            <w:tcBorders>
              <w:top w:val="single" w:sz="2" w:space="0" w:color="000000"/>
              <w:left w:val="single" w:sz="2" w:space="0" w:color="000000"/>
              <w:bottom w:val="single" w:sz="2" w:space="0" w:color="000000"/>
              <w:right w:val="single" w:sz="2" w:space="0" w:color="000000"/>
            </w:tcBorders>
            <w:shd w:val="clear" w:color="auto" w:fill="6D2A78"/>
          </w:tcPr>
          <w:p w14:paraId="29ECE5AE" w14:textId="77777777" w:rsidR="002F4FA6" w:rsidRPr="005B54EE" w:rsidRDefault="002F4FA6" w:rsidP="00635A2E">
            <w:pPr>
              <w:spacing w:line="259" w:lineRule="auto"/>
              <w:ind w:left="115"/>
              <w:jc w:val="center"/>
              <w:rPr>
                <w:b/>
                <w:color w:val="FFFFFF"/>
                <w:sz w:val="18"/>
              </w:rPr>
            </w:pPr>
            <w:r w:rsidRPr="005B54EE">
              <w:rPr>
                <w:b/>
                <w:color w:val="FFFFFF"/>
                <w:sz w:val="18"/>
              </w:rPr>
              <w:t>2046-2050</w:t>
            </w:r>
          </w:p>
        </w:tc>
      </w:tr>
      <w:tr w:rsidR="002F4FA6" w:rsidRPr="005B54EE" w14:paraId="14DF3A84" w14:textId="77777777" w:rsidTr="00D0046F">
        <w:trPr>
          <w:trHeight w:val="407"/>
        </w:trPr>
        <w:tc>
          <w:tcPr>
            <w:tcW w:w="3959" w:type="dxa"/>
            <w:tcBorders>
              <w:top w:val="single" w:sz="2" w:space="0" w:color="000000"/>
              <w:left w:val="single" w:sz="2" w:space="0" w:color="000000"/>
              <w:bottom w:val="single" w:sz="2" w:space="0" w:color="000000"/>
              <w:right w:val="single" w:sz="2" w:space="0" w:color="000000"/>
            </w:tcBorders>
          </w:tcPr>
          <w:p w14:paraId="6935789E" w14:textId="77777777" w:rsidR="002F4FA6" w:rsidRPr="005B54EE" w:rsidRDefault="002F4FA6" w:rsidP="00635A2E">
            <w:pPr>
              <w:spacing w:line="259" w:lineRule="auto"/>
              <w:ind w:left="28"/>
            </w:pPr>
            <w:r w:rsidRPr="005B54EE">
              <w:rPr>
                <w:sz w:val="18"/>
              </w:rPr>
              <w:t xml:space="preserve">AME 2021 </w:t>
            </w:r>
          </w:p>
        </w:tc>
        <w:tc>
          <w:tcPr>
            <w:tcW w:w="1701" w:type="dxa"/>
            <w:tcBorders>
              <w:top w:val="single" w:sz="2" w:space="0" w:color="000000"/>
              <w:left w:val="single" w:sz="2" w:space="0" w:color="000000"/>
              <w:bottom w:val="single" w:sz="2" w:space="0" w:color="000000"/>
              <w:right w:val="single" w:sz="2" w:space="0" w:color="000000"/>
            </w:tcBorders>
          </w:tcPr>
          <w:p w14:paraId="43613E1C" w14:textId="77777777" w:rsidR="002F4FA6" w:rsidRPr="005B54EE" w:rsidRDefault="002F4FA6" w:rsidP="00635A2E">
            <w:pPr>
              <w:spacing w:line="259" w:lineRule="auto"/>
              <w:ind w:left="119"/>
              <w:jc w:val="center"/>
              <w:rPr>
                <w:sz w:val="18"/>
              </w:rPr>
            </w:pPr>
          </w:p>
          <w:p w14:paraId="049891F1" w14:textId="77777777" w:rsidR="002F4FA6" w:rsidRPr="005B54EE" w:rsidRDefault="002F4FA6" w:rsidP="00635A2E">
            <w:pPr>
              <w:spacing w:line="259" w:lineRule="auto"/>
              <w:ind w:left="119"/>
              <w:jc w:val="center"/>
              <w:rPr>
                <w:sz w:val="18"/>
              </w:rPr>
            </w:pPr>
            <w:r w:rsidRPr="005B54EE">
              <w:rPr>
                <w:sz w:val="18"/>
              </w:rPr>
              <w:t>2019: 1.4</w:t>
            </w:r>
          </w:p>
          <w:p w14:paraId="6C236EE3" w14:textId="77777777" w:rsidR="002F4FA6" w:rsidRPr="005B54EE" w:rsidRDefault="002F4FA6" w:rsidP="00635A2E">
            <w:pPr>
              <w:spacing w:line="259" w:lineRule="auto"/>
              <w:ind w:left="119"/>
              <w:jc w:val="center"/>
            </w:pPr>
            <w:r w:rsidRPr="005B54EE">
              <w:rPr>
                <w:sz w:val="18"/>
              </w:rPr>
              <w:t>2020: -8.3</w:t>
            </w:r>
          </w:p>
        </w:tc>
        <w:tc>
          <w:tcPr>
            <w:tcW w:w="720" w:type="dxa"/>
            <w:tcBorders>
              <w:top w:val="single" w:sz="2" w:space="0" w:color="000000"/>
              <w:left w:val="single" w:sz="2" w:space="0" w:color="000000"/>
              <w:bottom w:val="single" w:sz="2" w:space="0" w:color="000000"/>
              <w:right w:val="single" w:sz="2" w:space="0" w:color="000000"/>
            </w:tcBorders>
          </w:tcPr>
          <w:p w14:paraId="2661FE57" w14:textId="77777777" w:rsidR="002F4FA6" w:rsidRPr="005B54EE" w:rsidRDefault="002F4FA6" w:rsidP="00635A2E">
            <w:pPr>
              <w:spacing w:line="259" w:lineRule="auto"/>
              <w:ind w:left="117"/>
              <w:jc w:val="center"/>
            </w:pPr>
            <w:r w:rsidRPr="005B54EE">
              <w:rPr>
                <w:sz w:val="18"/>
              </w:rPr>
              <w:t>2.63</w:t>
            </w:r>
          </w:p>
        </w:tc>
        <w:tc>
          <w:tcPr>
            <w:tcW w:w="716" w:type="dxa"/>
            <w:tcBorders>
              <w:top w:val="single" w:sz="2" w:space="0" w:color="000000"/>
              <w:left w:val="single" w:sz="2" w:space="0" w:color="000000"/>
              <w:bottom w:val="single" w:sz="2" w:space="0" w:color="000000"/>
              <w:right w:val="single" w:sz="2" w:space="0" w:color="000000"/>
            </w:tcBorders>
          </w:tcPr>
          <w:p w14:paraId="18671D75" w14:textId="77777777" w:rsidR="002F4FA6" w:rsidRPr="005B54EE" w:rsidRDefault="002F4FA6" w:rsidP="00635A2E">
            <w:pPr>
              <w:spacing w:line="259" w:lineRule="auto"/>
              <w:ind w:left="116"/>
              <w:jc w:val="center"/>
            </w:pPr>
            <w:r w:rsidRPr="005B54EE">
              <w:rPr>
                <w:sz w:val="18"/>
              </w:rPr>
              <w:t>0.9</w:t>
            </w:r>
          </w:p>
        </w:tc>
        <w:tc>
          <w:tcPr>
            <w:tcW w:w="718" w:type="dxa"/>
            <w:tcBorders>
              <w:top w:val="single" w:sz="2" w:space="0" w:color="000000"/>
              <w:left w:val="single" w:sz="2" w:space="0" w:color="000000"/>
              <w:bottom w:val="single" w:sz="2" w:space="0" w:color="000000"/>
              <w:right w:val="single" w:sz="2" w:space="0" w:color="000000"/>
            </w:tcBorders>
          </w:tcPr>
          <w:p w14:paraId="46E1E0C7" w14:textId="77777777" w:rsidR="002F4FA6" w:rsidRPr="005B54EE" w:rsidRDefault="002F4FA6" w:rsidP="00635A2E">
            <w:pPr>
              <w:spacing w:line="259" w:lineRule="auto"/>
              <w:ind w:left="118"/>
              <w:jc w:val="center"/>
            </w:pPr>
            <w:r w:rsidRPr="005B54EE">
              <w:rPr>
                <w:sz w:val="18"/>
              </w:rPr>
              <w:t>1</w:t>
            </w:r>
          </w:p>
        </w:tc>
        <w:tc>
          <w:tcPr>
            <w:tcW w:w="718" w:type="dxa"/>
            <w:tcBorders>
              <w:top w:val="single" w:sz="2" w:space="0" w:color="000000"/>
              <w:left w:val="single" w:sz="2" w:space="0" w:color="000000"/>
              <w:bottom w:val="single" w:sz="2" w:space="0" w:color="000000"/>
              <w:right w:val="single" w:sz="2" w:space="0" w:color="000000"/>
            </w:tcBorders>
          </w:tcPr>
          <w:p w14:paraId="627912E0" w14:textId="77777777" w:rsidR="002F4FA6" w:rsidRPr="005B54EE" w:rsidRDefault="002F4FA6" w:rsidP="00635A2E">
            <w:pPr>
              <w:spacing w:line="259" w:lineRule="auto"/>
              <w:ind w:left="118"/>
              <w:jc w:val="center"/>
              <w:rPr>
                <w:sz w:val="18"/>
              </w:rPr>
            </w:pPr>
            <w:r w:rsidRPr="005B54EE">
              <w:rPr>
                <w:sz w:val="18"/>
              </w:rPr>
              <w:t>1.3</w:t>
            </w:r>
          </w:p>
        </w:tc>
        <w:tc>
          <w:tcPr>
            <w:tcW w:w="693" w:type="dxa"/>
            <w:tcBorders>
              <w:top w:val="single" w:sz="2" w:space="0" w:color="000000"/>
              <w:left w:val="single" w:sz="2" w:space="0" w:color="000000"/>
              <w:bottom w:val="single" w:sz="2" w:space="0" w:color="000000"/>
              <w:right w:val="single" w:sz="2" w:space="0" w:color="000000"/>
            </w:tcBorders>
          </w:tcPr>
          <w:p w14:paraId="59D5FA62" w14:textId="77777777" w:rsidR="002F4FA6" w:rsidRPr="005B54EE" w:rsidRDefault="002F4FA6" w:rsidP="00635A2E">
            <w:pPr>
              <w:spacing w:line="259" w:lineRule="auto"/>
              <w:ind w:left="118"/>
              <w:jc w:val="center"/>
              <w:rPr>
                <w:sz w:val="18"/>
              </w:rPr>
            </w:pPr>
            <w:r w:rsidRPr="005B54EE">
              <w:rPr>
                <w:sz w:val="18"/>
              </w:rPr>
              <w:t>1.3</w:t>
            </w:r>
          </w:p>
        </w:tc>
        <w:tc>
          <w:tcPr>
            <w:tcW w:w="718" w:type="dxa"/>
            <w:tcBorders>
              <w:top w:val="single" w:sz="2" w:space="0" w:color="000000"/>
              <w:left w:val="single" w:sz="2" w:space="0" w:color="000000"/>
              <w:bottom w:val="single" w:sz="2" w:space="0" w:color="000000"/>
              <w:right w:val="single" w:sz="2" w:space="0" w:color="000000"/>
            </w:tcBorders>
          </w:tcPr>
          <w:p w14:paraId="00F367BC" w14:textId="77777777" w:rsidR="002F4FA6" w:rsidRPr="005B54EE" w:rsidRDefault="002F4FA6" w:rsidP="00635A2E">
            <w:pPr>
              <w:spacing w:line="259" w:lineRule="auto"/>
              <w:ind w:left="118"/>
              <w:jc w:val="center"/>
              <w:rPr>
                <w:sz w:val="18"/>
              </w:rPr>
            </w:pPr>
            <w:r w:rsidRPr="005B54EE">
              <w:rPr>
                <w:sz w:val="18"/>
              </w:rPr>
              <w:t>1.3</w:t>
            </w:r>
          </w:p>
        </w:tc>
      </w:tr>
      <w:tr w:rsidR="002F4FA6" w:rsidRPr="005B54EE" w14:paraId="7398E3CF" w14:textId="77777777" w:rsidTr="00D0046F">
        <w:trPr>
          <w:trHeight w:val="407"/>
        </w:trPr>
        <w:tc>
          <w:tcPr>
            <w:tcW w:w="3959" w:type="dxa"/>
            <w:tcBorders>
              <w:top w:val="single" w:sz="2" w:space="0" w:color="000000"/>
              <w:left w:val="single" w:sz="2" w:space="0" w:color="000000"/>
              <w:bottom w:val="single" w:sz="2" w:space="0" w:color="000000"/>
              <w:right w:val="single" w:sz="2" w:space="0" w:color="000000"/>
            </w:tcBorders>
          </w:tcPr>
          <w:p w14:paraId="52D49BAA" w14:textId="77777777" w:rsidR="002F4FA6" w:rsidRPr="005B54EE" w:rsidRDefault="002F4FA6" w:rsidP="00635A2E">
            <w:pPr>
              <w:spacing w:line="259" w:lineRule="auto"/>
              <w:ind w:left="28"/>
              <w:rPr>
                <w:sz w:val="18"/>
              </w:rPr>
            </w:pPr>
            <w:r w:rsidRPr="005B54EE">
              <w:rPr>
                <w:sz w:val="18"/>
              </w:rPr>
              <w:t>AMS 2018</w:t>
            </w:r>
          </w:p>
        </w:tc>
        <w:tc>
          <w:tcPr>
            <w:tcW w:w="1701" w:type="dxa"/>
            <w:tcBorders>
              <w:top w:val="single" w:sz="2" w:space="0" w:color="000000"/>
              <w:left w:val="single" w:sz="2" w:space="0" w:color="000000"/>
              <w:bottom w:val="single" w:sz="2" w:space="0" w:color="000000"/>
              <w:right w:val="single" w:sz="2" w:space="0" w:color="000000"/>
            </w:tcBorders>
          </w:tcPr>
          <w:p w14:paraId="4164B990" w14:textId="77777777" w:rsidR="002F4FA6" w:rsidRPr="005B54EE" w:rsidRDefault="002F4FA6" w:rsidP="00635A2E">
            <w:pPr>
              <w:spacing w:line="259" w:lineRule="auto"/>
              <w:ind w:left="119"/>
              <w:jc w:val="center"/>
              <w:rPr>
                <w:sz w:val="18"/>
              </w:rPr>
            </w:pPr>
            <w:r w:rsidRPr="005B54EE">
              <w:rPr>
                <w:sz w:val="18"/>
              </w:rPr>
              <w:t xml:space="preserve">1.4 </w:t>
            </w:r>
          </w:p>
        </w:tc>
        <w:tc>
          <w:tcPr>
            <w:tcW w:w="720" w:type="dxa"/>
            <w:tcBorders>
              <w:top w:val="single" w:sz="2" w:space="0" w:color="000000"/>
              <w:left w:val="single" w:sz="2" w:space="0" w:color="000000"/>
              <w:bottom w:val="single" w:sz="2" w:space="0" w:color="000000"/>
              <w:right w:val="single" w:sz="2" w:space="0" w:color="000000"/>
            </w:tcBorders>
          </w:tcPr>
          <w:p w14:paraId="502FA194" w14:textId="77777777" w:rsidR="002F4FA6" w:rsidRPr="005B54EE" w:rsidRDefault="002F4FA6" w:rsidP="00635A2E">
            <w:pPr>
              <w:spacing w:line="259" w:lineRule="auto"/>
              <w:ind w:left="117"/>
              <w:jc w:val="center"/>
              <w:rPr>
                <w:sz w:val="18"/>
              </w:rPr>
            </w:pPr>
            <w:r w:rsidRPr="005B54EE">
              <w:rPr>
                <w:sz w:val="18"/>
              </w:rPr>
              <w:t xml:space="preserve">1 </w:t>
            </w:r>
          </w:p>
        </w:tc>
        <w:tc>
          <w:tcPr>
            <w:tcW w:w="716" w:type="dxa"/>
            <w:tcBorders>
              <w:top w:val="single" w:sz="2" w:space="0" w:color="000000"/>
              <w:left w:val="single" w:sz="2" w:space="0" w:color="000000"/>
              <w:bottom w:val="single" w:sz="2" w:space="0" w:color="000000"/>
              <w:right w:val="single" w:sz="2" w:space="0" w:color="000000"/>
            </w:tcBorders>
          </w:tcPr>
          <w:p w14:paraId="4E56838E" w14:textId="77777777" w:rsidR="002F4FA6" w:rsidRPr="005B54EE" w:rsidRDefault="002F4FA6" w:rsidP="00635A2E">
            <w:pPr>
              <w:spacing w:line="259" w:lineRule="auto"/>
              <w:ind w:left="116"/>
              <w:jc w:val="center"/>
              <w:rPr>
                <w:sz w:val="18"/>
              </w:rPr>
            </w:pPr>
            <w:r w:rsidRPr="005B54EE">
              <w:rPr>
                <w:sz w:val="18"/>
              </w:rPr>
              <w:t xml:space="preserve">1.1 </w:t>
            </w:r>
          </w:p>
        </w:tc>
        <w:tc>
          <w:tcPr>
            <w:tcW w:w="718" w:type="dxa"/>
            <w:tcBorders>
              <w:top w:val="single" w:sz="2" w:space="0" w:color="000000"/>
              <w:left w:val="single" w:sz="2" w:space="0" w:color="000000"/>
              <w:bottom w:val="single" w:sz="2" w:space="0" w:color="000000"/>
              <w:right w:val="single" w:sz="2" w:space="0" w:color="000000"/>
            </w:tcBorders>
          </w:tcPr>
          <w:p w14:paraId="6801C1CA" w14:textId="77777777" w:rsidR="002F4FA6" w:rsidRPr="005B54EE" w:rsidRDefault="002F4FA6" w:rsidP="00635A2E">
            <w:pPr>
              <w:spacing w:line="259" w:lineRule="auto"/>
              <w:ind w:left="118"/>
              <w:jc w:val="center"/>
              <w:rPr>
                <w:sz w:val="18"/>
              </w:rPr>
            </w:pPr>
            <w:r w:rsidRPr="005B54EE">
              <w:rPr>
                <w:sz w:val="18"/>
              </w:rPr>
              <w:t xml:space="preserve">1.3 </w:t>
            </w:r>
          </w:p>
        </w:tc>
        <w:tc>
          <w:tcPr>
            <w:tcW w:w="718" w:type="dxa"/>
            <w:tcBorders>
              <w:top w:val="single" w:sz="2" w:space="0" w:color="000000"/>
              <w:left w:val="single" w:sz="2" w:space="0" w:color="000000"/>
              <w:bottom w:val="single" w:sz="2" w:space="0" w:color="000000"/>
              <w:right w:val="single" w:sz="2" w:space="0" w:color="000000"/>
            </w:tcBorders>
          </w:tcPr>
          <w:p w14:paraId="26744F1B" w14:textId="77777777" w:rsidR="002F4FA6" w:rsidRPr="005B54EE" w:rsidRDefault="002F4FA6" w:rsidP="00635A2E">
            <w:pPr>
              <w:spacing w:line="259" w:lineRule="auto"/>
              <w:ind w:left="118"/>
              <w:jc w:val="center"/>
              <w:rPr>
                <w:sz w:val="18"/>
              </w:rPr>
            </w:pPr>
            <w:r w:rsidRPr="005B54EE">
              <w:rPr>
                <w:sz w:val="18"/>
              </w:rPr>
              <w:t>1.3</w:t>
            </w:r>
          </w:p>
        </w:tc>
        <w:tc>
          <w:tcPr>
            <w:tcW w:w="693" w:type="dxa"/>
            <w:tcBorders>
              <w:top w:val="single" w:sz="2" w:space="0" w:color="000000"/>
              <w:left w:val="single" w:sz="2" w:space="0" w:color="000000"/>
              <w:bottom w:val="single" w:sz="2" w:space="0" w:color="000000"/>
              <w:right w:val="single" w:sz="2" w:space="0" w:color="000000"/>
            </w:tcBorders>
          </w:tcPr>
          <w:p w14:paraId="570B87CA" w14:textId="77777777" w:rsidR="002F4FA6" w:rsidRPr="005B54EE" w:rsidRDefault="002F4FA6" w:rsidP="00635A2E">
            <w:pPr>
              <w:spacing w:line="259" w:lineRule="auto"/>
              <w:ind w:left="118"/>
              <w:jc w:val="center"/>
              <w:rPr>
                <w:sz w:val="18"/>
              </w:rPr>
            </w:pPr>
            <w:r w:rsidRPr="005B54EE">
              <w:rPr>
                <w:sz w:val="18"/>
              </w:rPr>
              <w:t>1.3</w:t>
            </w:r>
          </w:p>
        </w:tc>
        <w:tc>
          <w:tcPr>
            <w:tcW w:w="718" w:type="dxa"/>
            <w:tcBorders>
              <w:top w:val="single" w:sz="2" w:space="0" w:color="000000"/>
              <w:left w:val="single" w:sz="2" w:space="0" w:color="000000"/>
              <w:bottom w:val="single" w:sz="2" w:space="0" w:color="000000"/>
              <w:right w:val="single" w:sz="2" w:space="0" w:color="000000"/>
            </w:tcBorders>
          </w:tcPr>
          <w:p w14:paraId="70652712" w14:textId="77777777" w:rsidR="002F4FA6" w:rsidRPr="005B54EE" w:rsidRDefault="002F4FA6" w:rsidP="00635A2E">
            <w:pPr>
              <w:spacing w:line="259" w:lineRule="auto"/>
              <w:ind w:left="118"/>
              <w:jc w:val="center"/>
              <w:rPr>
                <w:sz w:val="18"/>
              </w:rPr>
            </w:pPr>
            <w:r w:rsidRPr="005B54EE">
              <w:rPr>
                <w:sz w:val="18"/>
              </w:rPr>
              <w:t>1.3</w:t>
            </w:r>
          </w:p>
        </w:tc>
      </w:tr>
    </w:tbl>
    <w:p w14:paraId="4B686938" w14:textId="1E687622" w:rsidR="002F4FA6" w:rsidRPr="005B54EE" w:rsidRDefault="002F4FA6" w:rsidP="002F4FA6">
      <w:pPr>
        <w:pStyle w:val="Caption"/>
      </w:pPr>
      <w:bookmarkStart w:id="153" w:name="_Toc122694463"/>
      <w:bookmarkStart w:id="154" w:name="_Toc124153745"/>
      <w:r w:rsidRPr="005B54EE">
        <w:t xml:space="preserve">Table </w:t>
      </w:r>
      <w:r w:rsidR="00C73940">
        <w:fldChar w:fldCharType="begin"/>
      </w:r>
      <w:r w:rsidR="00C73940">
        <w:instrText xml:space="preserve"> SEQ Tableau \* ARABIC </w:instrText>
      </w:r>
      <w:r w:rsidR="00C73940">
        <w:fldChar w:fldCharType="separate"/>
      </w:r>
      <w:r w:rsidR="005B1C45">
        <w:rPr>
          <w:noProof/>
        </w:rPr>
        <w:t>31</w:t>
      </w:r>
      <w:r w:rsidR="00C73940">
        <w:rPr>
          <w:noProof/>
        </w:rPr>
        <w:fldChar w:fldCharType="end"/>
      </w:r>
      <w:r w:rsidRPr="005B54EE">
        <w:t>: Assumptions for the evolution of industrial value added</w:t>
      </w:r>
      <w:bookmarkEnd w:id="153"/>
      <w:bookmarkEnd w:id="154"/>
    </w:p>
    <w:p w14:paraId="7F996E45" w14:textId="77777777" w:rsidR="002F4FA6" w:rsidRPr="005B54EE" w:rsidRDefault="002F4FA6" w:rsidP="002F4FA6">
      <w:pPr>
        <w:pStyle w:val="Caption"/>
      </w:pPr>
      <w:r w:rsidRPr="005B54EE">
        <w:t xml:space="preserve">Source: EU economic framework for France </w:t>
      </w:r>
    </w:p>
    <w:p w14:paraId="3DA9634D" w14:textId="77777777" w:rsidR="00401567" w:rsidRPr="005B54EE" w:rsidRDefault="00401567" w:rsidP="007C589E">
      <w:pPr>
        <w:pStyle w:val="Titre1Niveau1"/>
      </w:pPr>
      <w:r w:rsidRPr="005B54EE">
        <w:br w:type="page"/>
      </w:r>
      <w:bookmarkStart w:id="155" w:name="_Toc120887444"/>
      <w:bookmarkStart w:id="156" w:name="_Toc138344703"/>
      <w:r w:rsidRPr="005B54EE">
        <w:t>Chapter V - Assistance to developing countries in the form of financial resources, technology and capacity building</w:t>
      </w:r>
      <w:bookmarkEnd w:id="155"/>
      <w:bookmarkEnd w:id="156"/>
    </w:p>
    <w:p w14:paraId="265363F4" w14:textId="77777777" w:rsidR="00401567" w:rsidRPr="005B54EE" w:rsidRDefault="00401567" w:rsidP="00C246BC">
      <w:pPr>
        <w:pStyle w:val="Titre2Niveau2"/>
        <w:numPr>
          <w:ilvl w:val="0"/>
          <w:numId w:val="0"/>
        </w:numPr>
        <w:ind w:left="360"/>
      </w:pPr>
      <w:bookmarkStart w:id="157" w:name="_Toc120887445"/>
      <w:bookmarkStart w:id="158" w:name="_Toc138344704"/>
      <w:r w:rsidRPr="005B54EE">
        <w:t>General information</w:t>
      </w:r>
      <w:bookmarkEnd w:id="157"/>
      <w:bookmarkEnd w:id="158"/>
    </w:p>
    <w:p w14:paraId="5C0798AD" w14:textId="751A4637" w:rsidR="00635A2E" w:rsidRPr="00C50CEB" w:rsidRDefault="00635A2E" w:rsidP="00635A2E">
      <w:pPr>
        <w:spacing w:before="240" w:after="240"/>
        <w:rPr>
          <w:lang w:val="fr-FR"/>
        </w:rPr>
      </w:pPr>
      <w:r w:rsidRPr="005B54EE">
        <w:t>In 2021, France provided more than €6 billion in public funding</w:t>
      </w:r>
      <w:r w:rsidRPr="005B54EE">
        <w:rPr>
          <w:rFonts w:ascii="Times New Roman" w:hAnsi="Times New Roman"/>
        </w:rPr>
        <w:t xml:space="preserve"> </w:t>
      </w:r>
      <w:r w:rsidRPr="005B54EE">
        <w:t>for climate change mitigation and adaptation in developing countries, through bilateral and multilateral sources. This level of commitment has increased significantly compared to 2017 (+36% with a level of commitments of €4.4bn in 2017) and has reached more than €26.4bn since 2017, mainly through the activity of the French Development Agency (AFD) Group</w:t>
      </w:r>
      <w:r w:rsidRPr="005B54EE">
        <w:rPr>
          <w:rStyle w:val="FootnoteReference"/>
        </w:rPr>
        <w:footnoteReference w:id="20"/>
      </w:r>
      <w:r w:rsidRPr="005B54EE">
        <w:t>.</w:t>
      </w:r>
      <w:r w:rsidR="004C3C25" w:rsidRPr="004C3C25">
        <w:rPr>
          <w:rFonts w:ascii="Courier New" w:hAnsi="Courier New" w:cs="Courier New"/>
          <w:lang w:val="fr-FR"/>
        </w:rPr>
        <w:t xml:space="preserve"> </w:t>
      </w:r>
      <w:r w:rsidR="004C3C25" w:rsidRPr="004C3C25">
        <w:rPr>
          <w:lang w:val="fr-FR"/>
        </w:rPr>
        <w:t>In the absence of a universally accepted definition of “new and additional financial resources” in article 4, paragraph 3 of the Convention, France defines new and additional climate finance as newly committed or disbursed climate finance during the year 2021. In its climate finance reporting France provides information only on those newly committed or disbursed resources included in its 2021 budget year. However, for the benefit of comparison between the different parties, we can also mention the evolution of our climate finance since the signing of the Paris Agreement, which is a baseline shared by several of the parties. In this respect, we provided 6.1 bn of new and additionnal climate finance in 2021, representing a significant increase since the 2015 baseline (e.g. 3bn).</w:t>
      </w:r>
      <w:r w:rsidRPr="005B54EE">
        <w:t xml:space="preserve">The total commitment of multilateral funding is therefore not reported, but only the share disbursed in 2020 and 2021. </w:t>
      </w:r>
    </w:p>
    <w:p w14:paraId="3BABE493" w14:textId="10A5D7B4" w:rsidR="00401567" w:rsidRPr="005B54EE" w:rsidRDefault="00635A2E" w:rsidP="00401567">
      <w:pPr>
        <w:rPr>
          <w:rFonts w:cs="Arial"/>
          <w:szCs w:val="22"/>
        </w:rPr>
      </w:pPr>
      <w:r w:rsidRPr="005B54EE">
        <w:t>In addition, France provides technological cooperation and supports capacity building in developing countries through a number of channels, which are also presented in this report.</w:t>
      </w:r>
    </w:p>
    <w:p w14:paraId="4C6C9E3D" w14:textId="56B4F392" w:rsidR="00401567" w:rsidRPr="005B54EE" w:rsidRDefault="00401567" w:rsidP="00D8302C">
      <w:pPr>
        <w:pStyle w:val="Titre2Niveau2"/>
        <w:numPr>
          <w:ilvl w:val="0"/>
          <w:numId w:val="58"/>
        </w:numPr>
      </w:pPr>
      <w:bookmarkStart w:id="159" w:name="_Toc120887446"/>
      <w:bookmarkStart w:id="160" w:name="_Toc138344705"/>
      <w:r w:rsidRPr="005B54EE">
        <w:t>Mobilising financial resources from bilateral sources</w:t>
      </w:r>
      <w:bookmarkEnd w:id="159"/>
      <w:bookmarkEnd w:id="160"/>
    </w:p>
    <w:p w14:paraId="74115960" w14:textId="77777777" w:rsidR="00631ED2" w:rsidRPr="005B54EE" w:rsidRDefault="00631ED2" w:rsidP="00B04A7C">
      <w:pPr>
        <w:pStyle w:val="Titre3Niveau3"/>
      </w:pPr>
      <w:bookmarkStart w:id="161" w:name="_Toc115454099"/>
      <w:bookmarkStart w:id="162" w:name="_Toc121390980"/>
      <w:bookmarkStart w:id="163" w:name="_Toc122694286"/>
      <w:bookmarkStart w:id="164" w:name="_Toc138344706"/>
      <w:r w:rsidRPr="005B54EE">
        <w:t>Financial support provided by the French Development Agency (AFD) Group</w:t>
      </w:r>
      <w:bookmarkEnd w:id="161"/>
      <w:bookmarkEnd w:id="162"/>
      <w:bookmarkEnd w:id="163"/>
      <w:bookmarkEnd w:id="164"/>
    </w:p>
    <w:p w14:paraId="589EB740" w14:textId="77777777" w:rsidR="00631ED2" w:rsidRPr="005B54EE" w:rsidRDefault="00631ED2" w:rsidP="00631ED2">
      <w:pPr>
        <w:spacing w:before="240" w:after="240"/>
        <w:rPr>
          <w:rFonts w:cs="Arial"/>
        </w:rPr>
      </w:pPr>
      <w:r w:rsidRPr="005B54EE">
        <w:rPr>
          <w:color w:val="000000"/>
        </w:rPr>
        <w:t>AFD, the main operator of French bilateral official development assistance, has developed an ambitious climate strategy for the 2017–2022 period, with the key objective of making all AFD Group financing consistent with low-carbon and resilient development. This ‘100% Paris Agreement’ objective is one of the pillars of the Strategic Orientation Plan</w:t>
      </w:r>
      <w:r w:rsidRPr="005B54EE">
        <w:rPr>
          <w:rStyle w:val="FootnoteReference"/>
          <w:rFonts w:cs="Arial"/>
          <w:color w:val="000000"/>
        </w:rPr>
        <w:footnoteReference w:id="21"/>
      </w:r>
      <w:r w:rsidRPr="005B54EE">
        <w:rPr>
          <w:color w:val="000000"/>
        </w:rPr>
        <w:t xml:space="preserve"> adopted in 2018 for the AFD Group. Thus, the Group (including Proparco) has set itself the target of allocating 50% of its financial commitments in foreign countries to projects with climate co-benefits. The plan also involves ensuring that the 50% of </w:t>
      </w:r>
      <w:r w:rsidRPr="005B54EE">
        <w:t>AFD Group financing that does not have climate co-benefits does not undermine the objectives of the Paris Agreement.</w:t>
      </w:r>
    </w:p>
    <w:p w14:paraId="5BE90A5C" w14:textId="77777777" w:rsidR="00631ED2" w:rsidRPr="005B54EE" w:rsidRDefault="00631ED2" w:rsidP="00631ED2">
      <w:pPr>
        <w:spacing w:before="240" w:after="240"/>
        <w:rPr>
          <w:rFonts w:cs="Arial"/>
        </w:rPr>
      </w:pPr>
      <w:r w:rsidRPr="005B54EE">
        <w:t xml:space="preserve">Since 2017, the AFD Group has committed at least 50% of its financing in developing countries to projects with climate co-benefits each year. In 2021, the AFD Group has committed over €6bn of financing with ‘climate’ co-benefits (compared to €4bn in 2017), including €2bn for adaptation in developing countries, confirming the strengthening of its ambition to contribute to France’s new objective.  The AFD Group’s climate commitments have thus made it possible to finance 330 projects in developing countries in 2021. In line with its climate strategy, the AFD (excluding Proparco) will reach 58% of loans with a ‘climate’ co-benefit in 2021, with Proparco reaching 34%. The AFD Group’s climate financing increased significantly between 2017 and 2021 (+36%).  </w:t>
      </w:r>
    </w:p>
    <w:p w14:paraId="163F4BC8" w14:textId="77777777" w:rsidR="00631ED2" w:rsidRPr="005B54EE" w:rsidRDefault="00631ED2" w:rsidP="00631ED2">
      <w:pPr>
        <w:spacing w:before="240" w:after="240"/>
        <w:rPr>
          <w:rFonts w:cs="Arial"/>
        </w:rPr>
      </w:pPr>
    </w:p>
    <w:p w14:paraId="154B01C3" w14:textId="77777777" w:rsidR="00631ED2" w:rsidRPr="005B54EE" w:rsidRDefault="00631ED2" w:rsidP="00631ED2">
      <w:pPr>
        <w:spacing w:before="240" w:after="240"/>
        <w:rPr>
          <w:rFonts w:cs="Arial"/>
        </w:rPr>
      </w:pPr>
      <w:r w:rsidRPr="005B54EE">
        <w:rPr>
          <w:noProof/>
          <w:lang w:val="fr-FR"/>
        </w:rPr>
        <w:drawing>
          <wp:inline distT="0" distB="0" distL="0" distR="0" wp14:anchorId="179CB772" wp14:editId="723646E2">
            <wp:extent cx="2898000" cy="2336400"/>
            <wp:effectExtent l="0" t="0" r="0" b="6985"/>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98000" cy="2336400"/>
                    </a:xfrm>
                    <a:prstGeom prst="rect">
                      <a:avLst/>
                    </a:prstGeom>
                    <a:noFill/>
                    <a:ln>
                      <a:noFill/>
                    </a:ln>
                  </pic:spPr>
                </pic:pic>
              </a:graphicData>
            </a:graphic>
          </wp:inline>
        </w:drawing>
      </w:r>
      <w:r w:rsidRPr="005B54EE">
        <w:t xml:space="preserve">  </w:t>
      </w:r>
      <w:r w:rsidRPr="005B54EE">
        <w:rPr>
          <w:noProof/>
          <w:lang w:val="fr-FR"/>
        </w:rPr>
        <w:drawing>
          <wp:inline distT="0" distB="0" distL="0" distR="0" wp14:anchorId="274A4E54" wp14:editId="68ABBAAA">
            <wp:extent cx="2811600" cy="2631600"/>
            <wp:effectExtent l="0" t="0" r="8255" b="0"/>
            <wp:docPr id="28672" name="Image 2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11600" cy="2631600"/>
                    </a:xfrm>
                    <a:prstGeom prst="rect">
                      <a:avLst/>
                    </a:prstGeom>
                    <a:noFill/>
                    <a:ln>
                      <a:noFill/>
                    </a:ln>
                  </pic:spPr>
                </pic:pic>
              </a:graphicData>
            </a:graphic>
          </wp:inline>
        </w:drawing>
      </w:r>
    </w:p>
    <w:p w14:paraId="798F61F7" w14:textId="0C049FC0" w:rsidR="00631ED2" w:rsidRPr="005B54EE" w:rsidRDefault="00631ED2" w:rsidP="00631ED2">
      <w:pPr>
        <w:pStyle w:val="Caption"/>
      </w:pPr>
      <w:bookmarkStart w:id="165" w:name="_Toc122694423"/>
      <w:bookmarkStart w:id="166" w:name="_Toc124153782"/>
      <w:r w:rsidRPr="005B54EE">
        <w:t xml:space="preserve">Figure </w:t>
      </w:r>
      <w:r w:rsidR="00C73940">
        <w:fldChar w:fldCharType="begin"/>
      </w:r>
      <w:r w:rsidR="00C73940">
        <w:instrText xml:space="preserve"> SEQ Figure \* ARABIC </w:instrText>
      </w:r>
      <w:r w:rsidR="00C73940">
        <w:fldChar w:fldCharType="separate"/>
      </w:r>
      <w:r w:rsidR="003402E2">
        <w:rPr>
          <w:noProof/>
        </w:rPr>
        <w:t>28</w:t>
      </w:r>
      <w:r w:rsidR="00C73940">
        <w:rPr>
          <w:noProof/>
        </w:rPr>
        <w:fldChar w:fldCharType="end"/>
      </w:r>
      <w:r w:rsidRPr="005B54EE">
        <w:t>: The evolution of the AFD Group’s total climate financing (left figure) including adaptation financing (right)</w:t>
      </w:r>
      <w:bookmarkEnd w:id="165"/>
      <w:bookmarkEnd w:id="166"/>
    </w:p>
    <w:p w14:paraId="0CAE2F8E" w14:textId="77777777" w:rsidR="00631ED2" w:rsidRPr="005B54EE" w:rsidRDefault="00631ED2" w:rsidP="00631ED2">
      <w:pPr>
        <w:pStyle w:val="Caption"/>
      </w:pPr>
      <w:r w:rsidRPr="005B54EE">
        <w:t>Source: AFD, 2021 activity report</w:t>
      </w:r>
    </w:p>
    <w:p w14:paraId="11630094" w14:textId="77777777" w:rsidR="00631ED2" w:rsidRPr="005B54EE" w:rsidRDefault="00631ED2" w:rsidP="00631ED2"/>
    <w:p w14:paraId="42BC2B18" w14:textId="156CBA40" w:rsidR="00825361" w:rsidRPr="00825361" w:rsidRDefault="00631ED2" w:rsidP="00825361">
      <w:pPr>
        <w:rPr>
          <w:color w:val="000000"/>
        </w:rPr>
      </w:pPr>
      <w:r w:rsidRPr="005B54EE">
        <w:t xml:space="preserve">In order to ensure that the financing provided meets the needs of recipient countries in terms of climate change mitigation and adaptation, AFD’s local agencies identify the projects and needs of recipient countries in conjunction with the partners and project owners in these countries. It also relies on signing financing contracts with national and local authorities in the countries of intervention. In addition, following COP21, AFD deployed several </w:t>
      </w:r>
      <w:r w:rsidRPr="005B54EE">
        <w:rPr>
          <w:color w:val="000000"/>
        </w:rPr>
        <w:t>specific instruments to support the implementation of developing countries’ climate commitments.</w:t>
      </w:r>
      <w:r w:rsidR="00825361" w:rsidRPr="00825361">
        <w:rPr>
          <w:color w:val="4F81BD" w:themeColor="accent1"/>
          <w:sz w:val="20"/>
          <w:szCs w:val="20"/>
        </w:rPr>
        <w:t xml:space="preserve"> </w:t>
      </w:r>
      <w:r w:rsidR="00825361" w:rsidRPr="00825361">
        <w:rPr>
          <w:color w:val="000000"/>
        </w:rPr>
        <w:t>The strategic documents prepared by AFD, which determine its areas of operation in sectors and on crosscutting issues, are subject to a consultation with the supervisory ministries and a presentation to stakeholders prior to being submitted to the Board of Directors.</w:t>
      </w:r>
    </w:p>
    <w:p w14:paraId="47CE1C59" w14:textId="77777777" w:rsidR="00825361" w:rsidRPr="00825361" w:rsidRDefault="00825361" w:rsidP="00825361">
      <w:pPr>
        <w:rPr>
          <w:color w:val="000000"/>
        </w:rPr>
      </w:pPr>
      <w:r w:rsidRPr="00825361">
        <w:rPr>
          <w:color w:val="000000"/>
        </w:rPr>
        <w:t>In the case of Country Intervention Frameworks, a dialogue with stakeholders (local authorities, donors, private sector, CSOs, etc.) is systematically conducted prior to the drafting of the document. In addition, following COP21, AFD deployed several specific instruments to support the implementation of developing countries’ climate commitments, such as the AdaptAction Facility endowed with 30M€ in its first phase, and the 2050 Facility, also endowed with 30M€ in its first phase. Finally, f</w:t>
      </w:r>
      <w:r w:rsidRPr="00825361">
        <w:rPr>
          <w:color w:val="000000"/>
          <w:lang w:val="en-US"/>
        </w:rPr>
        <w:t>or each country of intervention, “climate country sheets” have been developed to inform sustainable development analyses of projects, support public policy dialogue with national authorities, and the drafting of all geographical strategies. These fact sheets, as well as sectoral strategies, contribute to the iden</w:t>
      </w:r>
      <w:r w:rsidRPr="00825361">
        <w:rPr>
          <w:color w:val="000000"/>
        </w:rPr>
        <w:t xml:space="preserve">tification of upstream projects answering countries’ needs. </w:t>
      </w:r>
    </w:p>
    <w:p w14:paraId="492259FF" w14:textId="77777777" w:rsidR="00825361" w:rsidRPr="00825361" w:rsidRDefault="00825361" w:rsidP="00825361">
      <w:pPr>
        <w:rPr>
          <w:color w:val="000000"/>
        </w:rPr>
      </w:pPr>
    </w:p>
    <w:p w14:paraId="45E37968" w14:textId="77777777" w:rsidR="00825361" w:rsidRPr="00825361" w:rsidRDefault="00825361" w:rsidP="00825361">
      <w:pPr>
        <w:rPr>
          <w:color w:val="000000"/>
        </w:rPr>
      </w:pPr>
      <w:r w:rsidRPr="00825361">
        <w:rPr>
          <w:color w:val="000000"/>
        </w:rPr>
        <w:t xml:space="preserve">AFD is supporting non Annex I Parties through research aiming to better assess economic and social consequences of low carbon transitions. On a medium/long term, such research supports public policy dialogue on designing appropriate policies and investments. </w:t>
      </w:r>
    </w:p>
    <w:p w14:paraId="42B56897" w14:textId="77777777" w:rsidR="00825361" w:rsidRPr="00825361" w:rsidRDefault="00825361" w:rsidP="00825361">
      <w:pPr>
        <w:rPr>
          <w:color w:val="000000"/>
        </w:rPr>
      </w:pPr>
      <w:r w:rsidRPr="00825361">
        <w:rPr>
          <w:color w:val="000000"/>
        </w:rPr>
        <w:t>Through the development of GEMMES, the modelling tool for macroeconomic climate impacts, AFD has contributed to the production of knowledge on long-term macro economics impacts linked to a low carbon transition. The tool is deployed across several countries (Brazil, Ivory Coast, Colombia, Morocco, Tunisia, Vietnam, Algeria, South Africa) and its results have paved the way for a dialogue with the authorities on their long-term strategies, in connection with or in addition to support from the 2050 Facility.</w:t>
      </w:r>
    </w:p>
    <w:p w14:paraId="447A5294" w14:textId="77777777" w:rsidR="00825361" w:rsidRPr="00825361" w:rsidRDefault="00825361" w:rsidP="00825361">
      <w:pPr>
        <w:rPr>
          <w:color w:val="000000"/>
        </w:rPr>
      </w:pPr>
      <w:r w:rsidRPr="00825361">
        <w:rPr>
          <w:color w:val="000000"/>
        </w:rPr>
        <w:t>In addition, AFD developed, the ESTEEM model (Exposure to Structural Transition in an Ecological-Economic Model) identifies the transition risks to which the economies of developing countries are exposed, which makes it possible to anticipate them and to define a transition trajectory adapted to the situation of each country.</w:t>
      </w:r>
    </w:p>
    <w:p w14:paraId="23BEDCEC" w14:textId="77777777" w:rsidR="00825361" w:rsidRPr="00825361" w:rsidRDefault="00825361" w:rsidP="00825361">
      <w:pPr>
        <w:rPr>
          <w:color w:val="000000"/>
        </w:rPr>
      </w:pPr>
    </w:p>
    <w:p w14:paraId="1E19E4C4" w14:textId="77777777" w:rsidR="00631ED2" w:rsidRPr="005B54EE" w:rsidRDefault="00631ED2" w:rsidP="00631ED2">
      <w:pPr>
        <w:rPr>
          <w:rFonts w:ascii="Arial" w:hAnsi="Arial" w:cs="Arial"/>
          <w:color w:val="000000"/>
        </w:rPr>
      </w:pPr>
    </w:p>
    <w:p w14:paraId="6269F31D" w14:textId="77777777" w:rsidR="00631ED2" w:rsidRPr="005B54EE" w:rsidRDefault="00631ED2" w:rsidP="00B04A7C">
      <w:pPr>
        <w:pStyle w:val="Titre3Niveau3"/>
      </w:pPr>
      <w:bookmarkStart w:id="167" w:name="_Toc115454100"/>
      <w:bookmarkStart w:id="168" w:name="_Toc121390981"/>
      <w:bookmarkStart w:id="169" w:name="_Toc122694287"/>
      <w:bookmarkStart w:id="170" w:name="_Toc138344707"/>
      <w:r w:rsidRPr="005B54EE">
        <w:t>Methodology for accounting for the AFD Group’s climate commitments</w:t>
      </w:r>
      <w:bookmarkEnd w:id="167"/>
      <w:bookmarkEnd w:id="168"/>
      <w:bookmarkEnd w:id="169"/>
      <w:bookmarkEnd w:id="170"/>
    </w:p>
    <w:p w14:paraId="15A09D6B" w14:textId="67BC5DED" w:rsidR="00631ED2" w:rsidRPr="005B54EE" w:rsidRDefault="009C16BD" w:rsidP="00631ED2">
      <w:r w:rsidRPr="005B54EE">
        <w:t>The methodologies for accounting for climate finance for mitigation and adaptation are built around common principles agreed in 2015, and enriched in 2021 for the mitigation part, at AFD’s initiative and shared with the members of the International Development Finance Club (IDFC) and the multilateral development banks.</w:t>
      </w:r>
    </w:p>
    <w:p w14:paraId="4DC3CB57" w14:textId="77777777" w:rsidR="00631ED2" w:rsidRPr="005B54EE" w:rsidRDefault="00631ED2" w:rsidP="00631ED2">
      <w:pPr>
        <w:pStyle w:val="Titre4niveau4"/>
        <w:spacing w:before="240"/>
      </w:pPr>
      <w:bookmarkStart w:id="171" w:name="_Toc121431063"/>
      <w:bookmarkStart w:id="172" w:name="_Toc121431400"/>
      <w:bookmarkStart w:id="173" w:name="_Toc121431561"/>
      <w:bookmarkStart w:id="174" w:name="_Toc121431723"/>
      <w:bookmarkStart w:id="175" w:name="_Toc121431886"/>
      <w:bookmarkStart w:id="176" w:name="_Toc121432048"/>
      <w:bookmarkStart w:id="177" w:name="_Toc121431064"/>
      <w:bookmarkStart w:id="178" w:name="_Toc121431401"/>
      <w:bookmarkStart w:id="179" w:name="_Toc121431562"/>
      <w:bookmarkStart w:id="180" w:name="_Toc121431724"/>
      <w:bookmarkStart w:id="181" w:name="_Toc121431887"/>
      <w:bookmarkStart w:id="182" w:name="_Toc121432049"/>
      <w:bookmarkEnd w:id="171"/>
      <w:bookmarkEnd w:id="172"/>
      <w:bookmarkEnd w:id="173"/>
      <w:bookmarkEnd w:id="174"/>
      <w:bookmarkEnd w:id="175"/>
      <w:bookmarkEnd w:id="176"/>
      <w:bookmarkEnd w:id="177"/>
      <w:bookmarkEnd w:id="178"/>
      <w:bookmarkEnd w:id="179"/>
      <w:bookmarkEnd w:id="180"/>
      <w:bookmarkEnd w:id="181"/>
      <w:bookmarkEnd w:id="182"/>
      <w:r w:rsidRPr="005B54EE">
        <w:t>Greenhouse gas (GHG) mitigation or carbon sequestration</w:t>
      </w:r>
    </w:p>
    <w:p w14:paraId="6B5CAEA8" w14:textId="77777777" w:rsidR="00631ED2" w:rsidRPr="005B54EE" w:rsidRDefault="00631ED2" w:rsidP="00631ED2">
      <w:pPr>
        <w:spacing w:before="240" w:after="240"/>
      </w:pPr>
      <w:r w:rsidRPr="005B54EE">
        <w:t>A project contributes to mitigation when it reduces greenhouse gas (GHG) emissions compared to a baseline situation without the project, or if it is dedicated to actions that contribute to mitigation (studies, capacity building, etc.).</w:t>
      </w:r>
    </w:p>
    <w:p w14:paraId="5DA54C01" w14:textId="77777777" w:rsidR="00631ED2" w:rsidRPr="005B54EE" w:rsidRDefault="00631ED2" w:rsidP="00631ED2">
      <w:pPr>
        <w:pStyle w:val="Titre4niveau4"/>
        <w:spacing w:before="240"/>
      </w:pPr>
      <w:r w:rsidRPr="005B54EE">
        <w:t>Adaptation to climate change</w:t>
      </w:r>
    </w:p>
    <w:p w14:paraId="2961AEA3" w14:textId="77777777" w:rsidR="00631ED2" w:rsidRPr="005B54EE" w:rsidRDefault="00631ED2" w:rsidP="00631ED2">
      <w:pPr>
        <w:spacing w:before="240" w:after="240"/>
      </w:pPr>
      <w:r w:rsidRPr="005B54EE">
        <w:t>A project contributes to adaptation when it limits or reduces the vulnerability of goods, people and ecosystems to the consequences of climate change. This is based on analysing the context of vulnerability to climate change, the project’s willingness to address climate risks and vulnerabilities, and the beneficial impact of the project’s actions on the vulnerability issues identified in the area.</w:t>
      </w:r>
    </w:p>
    <w:p w14:paraId="237568C0" w14:textId="77777777" w:rsidR="00631ED2" w:rsidRPr="005B54EE" w:rsidRDefault="00631ED2" w:rsidP="00631ED2">
      <w:pPr>
        <w:pStyle w:val="Titre4niveau4"/>
        <w:spacing w:before="240"/>
      </w:pPr>
      <w:r w:rsidRPr="005B54EE">
        <w:t>Support for the implementation of climate change policies</w:t>
      </w:r>
    </w:p>
    <w:p w14:paraId="6A4056CE" w14:textId="77777777" w:rsidR="00631ED2" w:rsidRPr="005B54EE" w:rsidRDefault="00631ED2" w:rsidP="00631ED2">
      <w:r w:rsidRPr="005B54EE">
        <w:t>Accounting for PrPPs (Public-private research project) loans should reflect policy and sectoral dialogue with the counterparty as well as the expected climate impacts. It is done:</w:t>
      </w:r>
    </w:p>
    <w:p w14:paraId="414EFA7F" w14:textId="77777777" w:rsidR="00631ED2" w:rsidRPr="005B54EE" w:rsidRDefault="00631ED2" w:rsidP="00631ED2">
      <w:pPr>
        <w:pStyle w:val="ListParagraph"/>
        <w:numPr>
          <w:ilvl w:val="0"/>
          <w:numId w:val="51"/>
        </w:numPr>
      </w:pPr>
      <w:r w:rsidRPr="005B54EE">
        <w:t xml:space="preserve">either in proportion to public policy matrix climate indicators or in proportion to the volume of climate-related investments; </w:t>
      </w:r>
    </w:p>
    <w:p w14:paraId="0DECB5ED" w14:textId="77777777" w:rsidR="00631ED2" w:rsidRPr="005B54EE" w:rsidRDefault="00631ED2" w:rsidP="00631ED2">
      <w:pPr>
        <w:pStyle w:val="ListParagraph"/>
        <w:numPr>
          <w:ilvl w:val="0"/>
          <w:numId w:val="51"/>
        </w:numPr>
      </w:pPr>
      <w:r w:rsidRPr="005B54EE">
        <w:t>or using a flat rate of 40% if the financing receives a +2 or +3 rating according to the sustainable development analysis on climate, and if climate objectives are formalised and monitored.</w:t>
      </w:r>
    </w:p>
    <w:p w14:paraId="4D0C0C21" w14:textId="77777777" w:rsidR="00631ED2" w:rsidRPr="005B54EE" w:rsidRDefault="00631ED2" w:rsidP="00B04A7C">
      <w:pPr>
        <w:pStyle w:val="Titre3Niveau3"/>
      </w:pPr>
      <w:bookmarkStart w:id="183" w:name="_Toc115454101"/>
      <w:bookmarkStart w:id="184" w:name="_Toc121390982"/>
      <w:bookmarkStart w:id="185" w:name="_Toc122694288"/>
      <w:bookmarkStart w:id="186" w:name="_Toc138344708"/>
      <w:r w:rsidRPr="005B54EE">
        <w:t>Private climate finance mobilised by AFD Group financing</w:t>
      </w:r>
      <w:bookmarkEnd w:id="183"/>
      <w:bookmarkEnd w:id="184"/>
      <w:bookmarkEnd w:id="185"/>
      <w:bookmarkEnd w:id="186"/>
    </w:p>
    <w:p w14:paraId="623A2F52" w14:textId="268D1897" w:rsidR="00631ED2" w:rsidRPr="005B54EE" w:rsidRDefault="009C16BD" w:rsidP="00631ED2">
      <w:r w:rsidRPr="005B54EE">
        <w:t>€1.7bn of private finance was mobilised by the AFD Group’s climate projects in 2021, including €690.4m by Proparco. Lines of credit granted to public development banks and commercial banks account for 76% of this total. This private financing is not included in the €6bn of climate financing.</w:t>
      </w:r>
    </w:p>
    <w:p w14:paraId="6D3634C1" w14:textId="77777777" w:rsidR="00631ED2" w:rsidRPr="005B54EE" w:rsidRDefault="00631ED2" w:rsidP="00B04A7C">
      <w:pPr>
        <w:pStyle w:val="Titre3Niveau3"/>
      </w:pPr>
      <w:bookmarkStart w:id="187" w:name="_Toc115454102"/>
      <w:bookmarkStart w:id="188" w:name="_Toc121390983"/>
      <w:bookmarkStart w:id="189" w:name="_Toc122694289"/>
      <w:bookmarkStart w:id="190" w:name="_Toc138344709"/>
      <w:r w:rsidRPr="005B54EE">
        <w:t>Financial support provided by the French Global Environment Facility (FGEF)</w:t>
      </w:r>
      <w:bookmarkEnd w:id="187"/>
      <w:bookmarkEnd w:id="188"/>
      <w:bookmarkEnd w:id="189"/>
      <w:bookmarkEnd w:id="190"/>
    </w:p>
    <w:p w14:paraId="5392B364" w14:textId="77777777" w:rsidR="00631ED2" w:rsidRPr="005B54EE" w:rsidRDefault="00631ED2" w:rsidP="00631ED2">
      <w:r w:rsidRPr="005B54EE">
        <w:t>The FFEM (French Global Environment Facility - FGEF) is a bilateral public fund created in 1994 and is one of the main instruments of French cooperation and development policy in the field of the environment. It contributes, in the form of grants, to the financing of innovative projects with an economic and social development objective and a significant and sustainable impact on one or other of the major components of the global environment (in particular combating climate change, protecting biodiversity, combating land degradation and desertification as well as combating the degradation of terrestrial and marine waters). The fund has been replenished for the period 2015–2018 with €90 million, and then with €120 million for the period 2019–2022. It has already supported more than 400 projects in over 120 countries, two-thirds of which are in Africa.</w:t>
      </w:r>
    </w:p>
    <w:p w14:paraId="3DF8F718" w14:textId="77777777" w:rsidR="00631ED2" w:rsidRPr="005B54EE" w:rsidRDefault="00631ED2" w:rsidP="00631ED2">
      <w:pPr>
        <w:rPr>
          <w:color w:val="FF0000"/>
        </w:rPr>
      </w:pPr>
    </w:p>
    <w:p w14:paraId="132C1F8D" w14:textId="77777777" w:rsidR="00631ED2" w:rsidRPr="005B54EE" w:rsidRDefault="00631ED2" w:rsidP="00631ED2">
      <w:pPr>
        <w:jc w:val="left"/>
      </w:pPr>
      <w:r w:rsidRPr="005B54EE">
        <w:t>Between 2019 and 2022, the FGEF allocated a total commitment volume of €103 million to 60 projects, including €55 million with co-benefits for the fight against climate change (representing 54% of its total financial commitments). Over this period, more than 70% of the financing concerns projects in Africa. The majority of projects during this period were led by NGOs or local stakeholders.</w:t>
      </w:r>
    </w:p>
    <w:p w14:paraId="1EC310CF" w14:textId="77777777" w:rsidR="00631ED2" w:rsidRPr="005B54EE" w:rsidRDefault="00631ED2" w:rsidP="00B04A7C">
      <w:pPr>
        <w:pStyle w:val="Titre3Niveau3"/>
      </w:pPr>
      <w:bookmarkStart w:id="191" w:name="_Toc115454103"/>
      <w:bookmarkStart w:id="192" w:name="_Toc121390984"/>
      <w:bookmarkStart w:id="193" w:name="_Toc122694290"/>
      <w:bookmarkStart w:id="194" w:name="_Toc138344710"/>
      <w:r w:rsidRPr="005B54EE">
        <w:t>Financial support provided in the form of grants (FASEP) and loans by the French Treasury</w:t>
      </w:r>
      <w:bookmarkEnd w:id="191"/>
      <w:bookmarkEnd w:id="192"/>
      <w:bookmarkEnd w:id="193"/>
      <w:bookmarkEnd w:id="194"/>
    </w:p>
    <w:p w14:paraId="3C688B99" w14:textId="77777777" w:rsidR="00631ED2" w:rsidRPr="005B54EE" w:rsidRDefault="00631ED2" w:rsidP="00631ED2">
      <w:pPr>
        <w:spacing w:before="240" w:after="240"/>
        <w:rPr>
          <w:rFonts w:ascii="Arial" w:hAnsi="Arial" w:cs="Arial"/>
          <w:color w:val="000000"/>
        </w:rPr>
      </w:pPr>
      <w:r w:rsidRPr="005B54EE">
        <w:t xml:space="preserve">In parallel, the Ministry of the Economy and Finance contributes, in the form of grants or repayable advances, to the financing of feasibility studies, technical assistance and demonstrators of innovative technologies dedicated to the environment and sustainable development, within the framework of the study and </w:t>
      </w:r>
      <w:r w:rsidRPr="005B54EE">
        <w:rPr>
          <w:color w:val="000000"/>
        </w:rPr>
        <w:t xml:space="preserve">private sector assistance funds (known as FASEP). This instrument finances services provided by French consultancy firms, and benefits public entities in countries eligible for Official Development Assistance and for sustainable economic development projects meeting the needs of these countries (better access to water, renewable energies, improved transport supply, etc.).  </w:t>
      </w:r>
    </w:p>
    <w:p w14:paraId="5732681A" w14:textId="3B1E4F41" w:rsidR="00401567" w:rsidRPr="005B54EE" w:rsidRDefault="00631ED2" w:rsidP="00631ED2">
      <w:pPr>
        <w:spacing w:before="240" w:after="240"/>
        <w:rPr>
          <w:rFonts w:cs="Arial"/>
          <w:color w:val="000000"/>
        </w:rPr>
      </w:pPr>
      <w:r w:rsidRPr="005B54EE">
        <w:rPr>
          <w:color w:val="000000"/>
        </w:rPr>
        <w:t>Through Treasury loans, the French Ministry of the Economy and Finance also supports infrastructure projects carried out by public entities in emerging countries eligible for official development assistance</w:t>
      </w:r>
      <w:r w:rsidRPr="005B54EE">
        <w:rPr>
          <w:rStyle w:val="Ancredenotedebasdepage"/>
          <w:rFonts w:cs="Arial"/>
          <w:color w:val="000000"/>
        </w:rPr>
        <w:footnoteReference w:id="22"/>
      </w:r>
      <w:r w:rsidRPr="005B54EE">
        <w:rPr>
          <w:color w:val="000000"/>
        </w:rPr>
        <w:t>. The sectors concerned are mainly related to sustainable development and climate change (public transport, water and the environment, renewable energy, etc.).</w:t>
      </w:r>
    </w:p>
    <w:p w14:paraId="43D09871" w14:textId="77777777" w:rsidR="00401567" w:rsidRPr="005B54EE" w:rsidRDefault="00401567" w:rsidP="0018240E">
      <w:pPr>
        <w:pStyle w:val="Titre2Niveau2"/>
      </w:pPr>
      <w:bookmarkStart w:id="195" w:name="_Toc120887447"/>
      <w:bookmarkStart w:id="196" w:name="_Toc138344711"/>
      <w:r w:rsidRPr="005B54EE">
        <w:t>Mobilising financial resources from multilateral sources</w:t>
      </w:r>
      <w:bookmarkEnd w:id="195"/>
      <w:bookmarkEnd w:id="196"/>
      <w:r w:rsidRPr="005B54EE">
        <w:t xml:space="preserve"> </w:t>
      </w:r>
    </w:p>
    <w:p w14:paraId="1C60943D" w14:textId="3D994B07" w:rsidR="00342F3E" w:rsidRPr="00C50CEB" w:rsidRDefault="00342F3E" w:rsidP="00631ED2">
      <w:pPr>
        <w:spacing w:before="240" w:after="240"/>
        <w:rPr>
          <w:lang w:val="fr-FR"/>
        </w:rPr>
      </w:pPr>
      <w:r w:rsidRPr="00342F3E">
        <w:rPr>
          <w:lang w:val="fr-FR"/>
        </w:rPr>
        <w:t>For multilateral flows, France reports only the climate-relevant share on contributions to several concessionary financing instruments: IDA, the African Development Fund, the Asian Development Fund and IFAD. France considers its core contribution to the funds or to the concessionary arms of the multilateral development banks and multiplies it by the average imputed multilateral shares, based on the adjusted shares communicated to the OECD (</w:t>
      </w:r>
      <w:hyperlink r:id="rId50" w:history="1">
        <w:r w:rsidRPr="00342F3E">
          <w:rPr>
            <w:rStyle w:val="Hyperlink"/>
            <w:lang w:val="fr-FR"/>
          </w:rPr>
          <w:t>http://www.oecd.org/dac/financing-sustainable-development/development-finance-topics/climate-change.htm</w:t>
        </w:r>
      </w:hyperlink>
      <w:r>
        <w:rPr>
          <w:lang w:val="fr-FR"/>
        </w:rPr>
        <w:t>). The</w:t>
      </w:r>
      <w:r w:rsidRPr="00342F3E">
        <w:rPr>
          <w:lang w:val="fr-FR"/>
        </w:rPr>
        <w:t xml:space="preserve"> mitigation-adaptation split are taken from the input provided by the MDBs and Funds, per our request.</w:t>
      </w:r>
    </w:p>
    <w:p w14:paraId="7EBF261D" w14:textId="37F06507" w:rsidR="00631ED2" w:rsidRPr="005B54EE" w:rsidRDefault="00631ED2" w:rsidP="00631ED2">
      <w:pPr>
        <w:spacing w:before="240" w:after="240"/>
        <w:rPr>
          <w:szCs w:val="22"/>
        </w:rPr>
      </w:pPr>
      <w:r w:rsidRPr="005B54EE">
        <w:t>With a contribution of €13 billion ($15.5 billion) in 2021, France ranks fifth among the G7 countries in terms of official development assistance as a proportion of gross national income. It considers that the multilateral system must be an exemplary driving force in combating climate change, with the particular aim of supporting the implementation of nationally-determined contributions by developing countries that have signed the Paris Agreement. In this respect, France is one of the main contributors to multilateral financial institutions and funds dedicated to the climate.</w:t>
      </w:r>
    </w:p>
    <w:p w14:paraId="06262FBC" w14:textId="77777777" w:rsidR="00631ED2" w:rsidRPr="005B54EE" w:rsidRDefault="00631ED2" w:rsidP="00631ED2">
      <w:pPr>
        <w:spacing w:before="240" w:after="240"/>
        <w:rPr>
          <w:rFonts w:eastAsiaTheme="minorHAnsi"/>
          <w:b/>
          <w:color w:val="000000"/>
        </w:rPr>
      </w:pPr>
      <w:r w:rsidRPr="005B54EE">
        <w:rPr>
          <w:color w:val="000000"/>
        </w:rPr>
        <w:t xml:space="preserve">A significant part of France’s action is dedicated to its participation in development banks and multilateral development funds, such as the International Development Association (IDA), the World Bank concessional window, the African Development Fund (FAD), the African Development Bank concessional window and the International Fund for Agricultural Development (IFAD). These banks and funds devote part of their resources to combating the effects of climate change. France accounts for the ‘climate’ share attributable to its contribution to these concessional funds. </w:t>
      </w:r>
      <w:r w:rsidRPr="005B54EE">
        <w:rPr>
          <w:b/>
          <w:color w:val="000000"/>
        </w:rPr>
        <w:t xml:space="preserve">In 2018, the ‘climate’ share of disbursements in these institutions was estimated at €372m. </w:t>
      </w:r>
      <w:bookmarkStart w:id="197" w:name="_Toc121431069"/>
      <w:bookmarkStart w:id="198" w:name="_Toc121431406"/>
      <w:bookmarkStart w:id="199" w:name="_Toc121431567"/>
      <w:bookmarkStart w:id="200" w:name="_Toc121431729"/>
      <w:bookmarkStart w:id="201" w:name="_Toc121431892"/>
      <w:bookmarkStart w:id="202" w:name="_Toc121432054"/>
      <w:bookmarkStart w:id="203" w:name="_Toc115454105"/>
      <w:bookmarkStart w:id="204" w:name="_Toc121390986"/>
      <w:bookmarkEnd w:id="197"/>
      <w:bookmarkEnd w:id="198"/>
      <w:bookmarkEnd w:id="199"/>
      <w:bookmarkEnd w:id="200"/>
      <w:bookmarkEnd w:id="201"/>
      <w:bookmarkEnd w:id="202"/>
    </w:p>
    <w:p w14:paraId="0201E2E4" w14:textId="77777777" w:rsidR="00631ED2" w:rsidRPr="005B54EE" w:rsidRDefault="00631ED2" w:rsidP="00B04A7C">
      <w:pPr>
        <w:pStyle w:val="Titre3Niveau3"/>
      </w:pPr>
      <w:bookmarkStart w:id="205" w:name="_Toc122694292"/>
      <w:bookmarkStart w:id="206" w:name="_Toc138344712"/>
      <w:r w:rsidRPr="005B54EE">
        <w:t>Contribution to the Green Climate Fund</w:t>
      </w:r>
      <w:bookmarkEnd w:id="203"/>
      <w:bookmarkEnd w:id="204"/>
      <w:bookmarkEnd w:id="205"/>
      <w:bookmarkEnd w:id="206"/>
    </w:p>
    <w:p w14:paraId="0DC4CF8C" w14:textId="1A0BE08A" w:rsidR="009C16BD" w:rsidRPr="005B54EE" w:rsidRDefault="009C16BD" w:rsidP="009C16BD">
      <w:r w:rsidRPr="005B54EE">
        <w:t>The Green Climate Fund, agreed at the 2009 Copenhagen Summit, was intended to become the main multilateral fund dedicated to financing mitigation and adaptation in developing countries towards low-carbon and resilient economies. Its initial capitalisation was $10.3 billion USD. It aims for a balanced distribution between mitigation and adaptation and a minimum allocation of 50% of its resources to adaptation for least-developed countries, African states and small island developing states.</w:t>
      </w:r>
    </w:p>
    <w:p w14:paraId="54B1BB17" w14:textId="77777777" w:rsidR="009C16BD" w:rsidRPr="005B54EE" w:rsidRDefault="009C16BD" w:rsidP="009C16BD"/>
    <w:p w14:paraId="525AEB4D" w14:textId="77777777" w:rsidR="009C16BD" w:rsidRPr="005B54EE" w:rsidRDefault="009C16BD" w:rsidP="009C16BD">
      <w:r w:rsidRPr="005B54EE">
        <w:t>By August 2022, the Green Climate Fund (GCF) had approved 200 projects in 117 developing countries with a total commitment of $10.8 billion USD (excluding co-financing), through a range of financial instruments (grants, loans, equity, guarantees). The co-financing associated with these projects amounted to approximately $30.6 billion USD. These projects are estimated to have reduced more than 2.1 billion tonnes of CO2 and to have had a direct impact on 637 million beneficiaries.</w:t>
      </w:r>
    </w:p>
    <w:p w14:paraId="25A33FAC" w14:textId="77777777" w:rsidR="009C16BD" w:rsidRPr="005B54EE" w:rsidRDefault="009C16BD" w:rsidP="009C16BD"/>
    <w:p w14:paraId="0501C0B8" w14:textId="3E729AFD" w:rsidR="009C16BD" w:rsidRPr="005B54EE" w:rsidRDefault="009C16BD" w:rsidP="009C16BD">
      <w:r w:rsidRPr="005B54EE">
        <w:t>In terms of geographical distribution, Africa accounts for 81 projects, Asia-Pacific for 83 projects and Latin America and the Caribbean for 50 projects. In terms of targets, 66% of approved project funding is for mitigation projects and 34% for adaptation projects (in nominal terms). As of 31 July 2022, the public sector is financing 65% of the projects ($7 billion USD) and the private sector 35% ($3.7 billion USD).</w:t>
      </w:r>
    </w:p>
    <w:p w14:paraId="4DB0A62A" w14:textId="77777777" w:rsidR="009C16BD" w:rsidRPr="005B54EE" w:rsidRDefault="009C16BD" w:rsidP="009C16BD"/>
    <w:p w14:paraId="2F4AFADB" w14:textId="77777777" w:rsidR="009C16BD" w:rsidRPr="005B54EE" w:rsidRDefault="009C16BD" w:rsidP="009C16BD">
      <w:r w:rsidRPr="005B54EE">
        <w:rPr>
          <w:b/>
        </w:rPr>
        <w:t>France contributed €1.5bn ($1.7bn) to the last replenishment of the Green Climate Fund for the period 2019–2023.</w:t>
      </w:r>
      <w:r w:rsidRPr="005B54EE">
        <w:t>. This strong commitment, which represents a significant budgetary effort, makes France the third largest contributor (in terms of grant element</w:t>
      </w:r>
      <w:r w:rsidRPr="005B54EE">
        <w:footnoteReference w:id="23"/>
      </w:r>
      <w:r w:rsidRPr="005B54EE">
        <w:t>) to the replenishment behind the United Kingdom and Germany, and the fourth largest historical contributor behind these countries and Japan. This contribution was made mainly in the form of a grant (80%), with the remaining 20% was provided in the form of a very concessional loan (zero interest rate, 25-year maturity). This contribution was in addition to the first contribution made by France at the time of the initial mobilisation of resources, amounting to €774 million, the payment of which was completed in 2018. A negotiation period for the next replenishment covering the period 2023–2025 started in the summer of 2022 and will end in October 2023 when the contributions will be announced.</w:t>
      </w:r>
    </w:p>
    <w:p w14:paraId="655D22C7" w14:textId="77777777" w:rsidR="009C16BD" w:rsidRPr="005B54EE" w:rsidRDefault="009C16BD" w:rsidP="009C16BD"/>
    <w:p w14:paraId="6A867D3F" w14:textId="488333F5" w:rsidR="009C16BD" w:rsidRPr="005B54EE" w:rsidRDefault="009C16BD" w:rsidP="009C16BD">
      <w:r w:rsidRPr="005B54EE">
        <w:t>The Green Climate Fund aims to achieve a balance between financing for climate change mitigation and adaptation. At the end of 2022, 51% of the fund’s commitments were for mitigation projects, compared to 49% for adaptation (in grant equivalent).</w:t>
      </w:r>
    </w:p>
    <w:p w14:paraId="595AE334" w14:textId="77777777" w:rsidR="009C16BD" w:rsidRPr="005B54EE" w:rsidRDefault="009C16BD" w:rsidP="009C16BD">
      <w:pPr>
        <w:rPr>
          <w:b/>
        </w:rPr>
      </w:pPr>
    </w:p>
    <w:p w14:paraId="6377AB16" w14:textId="447FC3FC" w:rsidR="00631ED2" w:rsidRPr="005B54EE" w:rsidRDefault="009C16BD" w:rsidP="009C16BD">
      <w:r w:rsidRPr="005B54EE">
        <w:t>To date</w:t>
      </w:r>
      <w:r w:rsidRPr="005B54EE">
        <w:rPr>
          <w:rStyle w:val="FootnoteReference"/>
        </w:rPr>
        <w:footnoteReference w:id="24"/>
      </w:r>
      <w:r w:rsidRPr="005B54EE">
        <w:t>, 51% of the fund’s commitments are for mitigation projects, compared to 49% for adaptation.</w:t>
      </w:r>
    </w:p>
    <w:p w14:paraId="00EB443C" w14:textId="77777777" w:rsidR="00631ED2" w:rsidRPr="005B54EE" w:rsidRDefault="00631ED2" w:rsidP="00B04A7C">
      <w:pPr>
        <w:pStyle w:val="Titre3Niveau3"/>
      </w:pPr>
      <w:bookmarkStart w:id="207" w:name="_Toc115454106"/>
      <w:bookmarkStart w:id="208" w:name="_Toc121390987"/>
      <w:bookmarkStart w:id="209" w:name="_Toc122694293"/>
      <w:bookmarkStart w:id="210" w:name="_Toc138344713"/>
      <w:r w:rsidRPr="005B54EE">
        <w:t>Contribution to the Global Environment Facility</w:t>
      </w:r>
      <w:bookmarkEnd w:id="207"/>
      <w:bookmarkEnd w:id="208"/>
      <w:bookmarkEnd w:id="209"/>
      <w:bookmarkEnd w:id="210"/>
    </w:p>
    <w:p w14:paraId="5CA57215" w14:textId="77777777" w:rsidR="00631ED2" w:rsidRPr="005B54EE" w:rsidRDefault="00631ED2" w:rsidP="00631ED2">
      <w:pPr>
        <w:spacing w:before="240" w:after="240"/>
      </w:pPr>
      <w:r w:rsidRPr="005B54EE">
        <w:t xml:space="preserve">Created in 1991, the Global Environment Facility (GEF), of which France was one of the main promoters alongside Germany, is one of the major multilateral instruments for preserving the global environment. In addition to reducing greenhouse gas emissions, this fund intervenes in the areas of biodiversity protection, protection of international waters, combating ozone layer depletion, soil degradation and persistent organic pollutants. </w:t>
      </w:r>
    </w:p>
    <w:p w14:paraId="521689FD" w14:textId="77777777" w:rsidR="00631ED2" w:rsidRPr="005B54EE" w:rsidRDefault="00631ED2" w:rsidP="00631ED2">
      <w:pPr>
        <w:spacing w:before="240" w:after="240"/>
      </w:pPr>
      <w:r w:rsidRPr="005B54EE">
        <w:t xml:space="preserve">The GEF is the financial mechanism for five conventions: </w:t>
      </w:r>
    </w:p>
    <w:p w14:paraId="45B8859A" w14:textId="77777777" w:rsidR="00631ED2" w:rsidRPr="005B54EE" w:rsidRDefault="00631ED2" w:rsidP="00631ED2">
      <w:pPr>
        <w:pStyle w:val="ListParagraph"/>
        <w:numPr>
          <w:ilvl w:val="0"/>
          <w:numId w:val="52"/>
        </w:numPr>
        <w:spacing w:before="240" w:after="240"/>
      </w:pPr>
      <w:r w:rsidRPr="005B54EE">
        <w:t xml:space="preserve">Convention on Biological Diversity (CBD); </w:t>
      </w:r>
    </w:p>
    <w:p w14:paraId="52EA44DA" w14:textId="77777777" w:rsidR="00631ED2" w:rsidRPr="005B54EE" w:rsidRDefault="00631ED2" w:rsidP="00631ED2">
      <w:pPr>
        <w:pStyle w:val="ListParagraph"/>
        <w:numPr>
          <w:ilvl w:val="0"/>
          <w:numId w:val="52"/>
        </w:numPr>
        <w:spacing w:before="240" w:after="240"/>
      </w:pPr>
      <w:r w:rsidRPr="005B54EE">
        <w:t xml:space="preserve">United Nations Framework Convention on Climate Change (UNFCCC); </w:t>
      </w:r>
    </w:p>
    <w:p w14:paraId="00604C38" w14:textId="77777777" w:rsidR="00631ED2" w:rsidRPr="005B54EE" w:rsidRDefault="00631ED2" w:rsidP="00631ED2">
      <w:pPr>
        <w:pStyle w:val="ListParagraph"/>
        <w:numPr>
          <w:ilvl w:val="0"/>
          <w:numId w:val="52"/>
        </w:numPr>
        <w:spacing w:before="240" w:after="240"/>
      </w:pPr>
      <w:r w:rsidRPr="005B54EE">
        <w:t xml:space="preserve">Stockholm Convention on Persistent Organic Pollutants (POPs); </w:t>
      </w:r>
    </w:p>
    <w:p w14:paraId="0958BED6" w14:textId="77777777" w:rsidR="00631ED2" w:rsidRPr="005B54EE" w:rsidRDefault="00631ED2" w:rsidP="00631ED2">
      <w:pPr>
        <w:pStyle w:val="ListParagraph"/>
        <w:numPr>
          <w:ilvl w:val="0"/>
          <w:numId w:val="52"/>
        </w:numPr>
        <w:spacing w:before="240" w:after="240"/>
      </w:pPr>
      <w:r w:rsidRPr="005B54EE">
        <w:t xml:space="preserve">United Nations Convention to Combat Desertification (UNCCD); </w:t>
      </w:r>
    </w:p>
    <w:p w14:paraId="2C9DDDF4" w14:textId="77777777" w:rsidR="00631ED2" w:rsidRPr="005B54EE" w:rsidRDefault="00631ED2" w:rsidP="00631ED2">
      <w:pPr>
        <w:pStyle w:val="ListParagraph"/>
        <w:numPr>
          <w:ilvl w:val="0"/>
          <w:numId w:val="52"/>
        </w:numPr>
        <w:spacing w:before="240" w:after="240"/>
      </w:pPr>
      <w:r w:rsidRPr="005B54EE">
        <w:t xml:space="preserve">Minamata Convention on Mercury. </w:t>
      </w:r>
    </w:p>
    <w:p w14:paraId="3F58A310" w14:textId="77777777" w:rsidR="00631ED2" w:rsidRPr="005B54EE" w:rsidRDefault="00631ED2" w:rsidP="00631ED2">
      <w:pPr>
        <w:spacing w:before="240" w:after="240"/>
      </w:pPr>
      <w:r w:rsidRPr="005B54EE">
        <w:t>The 8</w:t>
      </w:r>
      <w:r w:rsidRPr="005B54EE">
        <w:rPr>
          <w:vertAlign w:val="superscript"/>
        </w:rPr>
        <w:t>th</w:t>
      </w:r>
      <w:r w:rsidRPr="005B54EE">
        <w:t xml:space="preserve"> replenishment of the GEF concluded on 8 April 2022 with all contributors agreeing to a total of $5.25</w:t>
      </w:r>
      <w:r w:rsidRPr="005B54EE">
        <w:rPr>
          <w:rFonts w:ascii="Calibri" w:hAnsi="Calibri"/>
        </w:rPr>
        <w:t> </w:t>
      </w:r>
      <w:r w:rsidRPr="005B54EE">
        <w:t>billion in resources being mobilised for the next four years. This represents an all-time high for the GEF, which raised $4.1</w:t>
      </w:r>
      <w:r w:rsidRPr="005B54EE">
        <w:rPr>
          <w:rFonts w:ascii="Calibri" w:hAnsi="Calibri"/>
        </w:rPr>
        <w:t> </w:t>
      </w:r>
      <w:r w:rsidRPr="005B54EE">
        <w:t>billion in the previous replenishment in 2018.</w:t>
      </w:r>
    </w:p>
    <w:p w14:paraId="467467B4" w14:textId="77777777" w:rsidR="00631ED2" w:rsidRPr="005B54EE" w:rsidRDefault="00631ED2" w:rsidP="00631ED2">
      <w:pPr>
        <w:spacing w:before="240" w:after="240"/>
      </w:pPr>
      <w:r w:rsidRPr="005B54EE">
        <w:t>France, a historic contributor for over 30 years, has taken part fully in this effort by the international community, by making a record contribution of $360 million, an increase of almost 40% in euros compared to its contribution to the previous replenishment.</w:t>
      </w:r>
    </w:p>
    <w:p w14:paraId="7ABB4019" w14:textId="77777777" w:rsidR="00631ED2" w:rsidRPr="005B54EE" w:rsidRDefault="00631ED2" w:rsidP="00631ED2">
      <w:pPr>
        <w:spacing w:before="240" w:after="240"/>
      </w:pPr>
      <w:r w:rsidRPr="005B54EE">
        <w:t>The resources mobilised will be used to finance climate and environmental projects in developing countries, particularly the least developed countries and small island developing states.</w:t>
      </w:r>
    </w:p>
    <w:p w14:paraId="7C970BDE" w14:textId="77777777" w:rsidR="00631ED2" w:rsidRPr="005B54EE" w:rsidRDefault="00631ED2" w:rsidP="00B04A7C">
      <w:pPr>
        <w:pStyle w:val="Titre3Niveau3"/>
      </w:pPr>
      <w:bookmarkStart w:id="211" w:name="_Toc115454107"/>
      <w:bookmarkStart w:id="212" w:name="_Toc121390988"/>
      <w:bookmarkStart w:id="213" w:name="_Toc122694294"/>
      <w:bookmarkStart w:id="214" w:name="_Toc138344714"/>
      <w:r w:rsidRPr="005B54EE">
        <w:t>Contribution to the Least Developed Countries Fund</w:t>
      </w:r>
      <w:bookmarkEnd w:id="211"/>
      <w:bookmarkEnd w:id="212"/>
      <w:bookmarkEnd w:id="213"/>
      <w:bookmarkEnd w:id="214"/>
    </w:p>
    <w:p w14:paraId="42C9F895" w14:textId="77777777" w:rsidR="00314BB0" w:rsidRPr="005B54EE" w:rsidRDefault="00314BB0" w:rsidP="00314BB0">
      <w:pPr>
        <w:rPr>
          <w:b/>
        </w:rPr>
      </w:pPr>
      <w:r w:rsidRPr="005B54EE">
        <w:t xml:space="preserve">The Least Developed Countries Fund (LDCF) is dedicated to adaptation and technology transfer in developing countries, hosted and managed by the GEF. France contributed €15M in grants in 2016, </w:t>
      </w:r>
      <w:r w:rsidRPr="005B54EE">
        <w:rPr>
          <w:b/>
        </w:rPr>
        <w:t>€10 million in 2017 and €7.5 million in 2018</w:t>
      </w:r>
      <w:r w:rsidRPr="005B54EE">
        <w:t xml:space="preserve"> and €20M in 2021 (announced at COP26)</w:t>
      </w:r>
      <w:r w:rsidRPr="005B54EE">
        <w:rPr>
          <w:b/>
        </w:rPr>
        <w:t>.</w:t>
      </w:r>
    </w:p>
    <w:p w14:paraId="10AF7013" w14:textId="77777777" w:rsidR="00314BB0" w:rsidRPr="005B54EE" w:rsidRDefault="00314BB0" w:rsidP="00314BB0">
      <w:pPr>
        <w:rPr>
          <w:b/>
        </w:rPr>
      </w:pPr>
    </w:p>
    <w:p w14:paraId="6418493D" w14:textId="50921EAB" w:rsidR="00314BB0" w:rsidRPr="005B54EE" w:rsidRDefault="00314BB0" w:rsidP="00314BB0">
      <w:r w:rsidRPr="005B54EE">
        <w:rPr>
          <w:b/>
        </w:rPr>
        <w:t xml:space="preserve">France contributed €15 million to the adaptation fund in 2018 </w:t>
      </w:r>
      <w:r w:rsidRPr="005B54EE">
        <w:t>(announced at COP24) and, at COP27, announced a further contribution of €10 million to the adaptation fund.</w:t>
      </w:r>
    </w:p>
    <w:p w14:paraId="544E8B0A" w14:textId="77777777" w:rsidR="00314BB0" w:rsidRPr="005B54EE" w:rsidRDefault="00314BB0" w:rsidP="00631ED2"/>
    <w:p w14:paraId="7729398E" w14:textId="336E7F80" w:rsidR="00401567" w:rsidRPr="005B54EE" w:rsidRDefault="00631ED2" w:rsidP="00631ED2">
      <w:pPr>
        <w:rPr>
          <w:rFonts w:eastAsiaTheme="minorHAnsi" w:cs="Arial"/>
          <w:color w:val="000000"/>
          <w:szCs w:val="22"/>
        </w:rPr>
      </w:pPr>
      <w:r w:rsidRPr="005B54EE">
        <w:t xml:space="preserve">The funding tables for sections 1 and 2 are presented in </w:t>
      </w:r>
      <w:hyperlink w:anchor="AnnexII" w:history="1">
        <w:r w:rsidRPr="005B54EE">
          <w:rPr>
            <w:rStyle w:val="Hyperlink"/>
          </w:rPr>
          <w:t>appendix II</w:t>
        </w:r>
      </w:hyperlink>
      <w:r w:rsidRPr="005B54EE">
        <w:t>.</w:t>
      </w:r>
    </w:p>
    <w:p w14:paraId="0391E27E" w14:textId="0488D6F4" w:rsidR="00401567" w:rsidRPr="005B54EE" w:rsidRDefault="00401567" w:rsidP="0018240E">
      <w:pPr>
        <w:pStyle w:val="Titre2Niveau2"/>
      </w:pPr>
      <w:bookmarkStart w:id="215" w:name="_Toc138344715"/>
      <w:r w:rsidRPr="005B54EE">
        <w:t>Technological cooperation</w:t>
      </w:r>
      <w:bookmarkEnd w:id="215"/>
    </w:p>
    <w:p w14:paraId="6372CEF5" w14:textId="77777777" w:rsidR="00631ED2" w:rsidRPr="005B54EE" w:rsidRDefault="00631ED2" w:rsidP="00631ED2">
      <w:r w:rsidRPr="005B54EE">
        <w:t>France’s actions in terms of technological cooperation are already presented in Chapter 15: ‘Information on minimising adverse effects on developing countries of policies and measures implemented by France (Article 3.14)’ of the French annual GHG inventory report for the UNFCCC (NIR). Additional information is provided below.</w:t>
      </w:r>
      <w:bookmarkStart w:id="216" w:name="_Toc121431074"/>
      <w:bookmarkStart w:id="217" w:name="_Toc121431411"/>
      <w:bookmarkStart w:id="218" w:name="_Toc121431572"/>
      <w:bookmarkStart w:id="219" w:name="_Toc121431734"/>
      <w:bookmarkStart w:id="220" w:name="_Toc121431897"/>
      <w:bookmarkStart w:id="221" w:name="_Toc121432059"/>
      <w:bookmarkEnd w:id="216"/>
      <w:bookmarkEnd w:id="217"/>
      <w:bookmarkEnd w:id="218"/>
      <w:bookmarkEnd w:id="219"/>
      <w:bookmarkEnd w:id="220"/>
      <w:bookmarkEnd w:id="221"/>
    </w:p>
    <w:p w14:paraId="467A7574" w14:textId="77777777" w:rsidR="00631ED2" w:rsidRPr="005B54EE" w:rsidRDefault="00631ED2" w:rsidP="00B04A7C">
      <w:pPr>
        <w:pStyle w:val="Titre3Niveau3"/>
      </w:pPr>
      <w:bookmarkStart w:id="222" w:name="_Toc122694296"/>
      <w:bookmarkStart w:id="223" w:name="_Toc138344716"/>
      <w:r w:rsidRPr="005B54EE">
        <w:t>ADEME’s role</w:t>
      </w:r>
      <w:bookmarkEnd w:id="222"/>
      <w:bookmarkEnd w:id="223"/>
    </w:p>
    <w:p w14:paraId="62F8C4EC" w14:textId="77777777" w:rsidR="00631ED2" w:rsidRPr="005B54EE" w:rsidRDefault="00631ED2" w:rsidP="00631ED2">
      <w:r w:rsidRPr="005B54EE">
        <w:t>At national level, ADEME has supported the development and deployment of new climate technologies, thanks to its annual budget allocation, the Programme d'Investissements d'Avenir (Investment Programme for the Future), and more recently the French Economic Recovery Plan (2020-2022).</w:t>
      </w:r>
    </w:p>
    <w:p w14:paraId="7CA76D25" w14:textId="77777777" w:rsidR="00631ED2" w:rsidRPr="005B54EE" w:rsidRDefault="00631ED2" w:rsidP="00631ED2"/>
    <w:p w14:paraId="3E13155C" w14:textId="77777777" w:rsidR="00631ED2" w:rsidRPr="005B54EE" w:rsidRDefault="00631ED2" w:rsidP="00631ED2">
      <w:r w:rsidRPr="005B54EE">
        <w:t>ADEME has contributed to the international deployment of French climate technologies through several programmes and partnerships.</w:t>
      </w:r>
    </w:p>
    <w:p w14:paraId="7D273A11" w14:textId="77777777" w:rsidR="00631ED2" w:rsidRPr="005B54EE" w:rsidRDefault="00631ED2" w:rsidP="00631ED2">
      <w:r w:rsidRPr="005B54EE">
        <w:t>Following COP21 and at the request of the French Ministry of Ecology, ADEME managed a programme to support the Climate Action Agenda coalitions. This programme mainly concerned the Global Alliance for Buildings and Construction (GlobalABC) and Mission Innovation, and included a cross-disciplinary focus: “Women and Climate”. The activities supported by this programme included technical and capacity-building dimensions.</w:t>
      </w:r>
    </w:p>
    <w:p w14:paraId="64EBA199" w14:textId="453B192D" w:rsidR="00631ED2" w:rsidRPr="005B54EE" w:rsidRDefault="00EE16C3" w:rsidP="00631ED2">
      <w:r w:rsidRPr="005B54EE">
        <w:t>The Global Alliance for Buildings and Construction (GlobalABC) was initiated at COP21 by France, together with UNEP. This alliance, co-chaired by France and now bringing together 36 countries and more than 200 organisations, has the mission of mobilising all these stakeholders for the transition to a zero-emission, energy-efficient and climate-resilient building sector, with a view to achieving the objectives of the Paris Agreement. ADEME has contributed to the implementation of the GlobalABC, notably by financing flagship operations in Senegal and Vietnam for bioclimatic and low-carbon buildings in hot and tropical climates and by co-chairing a working group on adaptation to climate change.</w:t>
      </w:r>
    </w:p>
    <w:p w14:paraId="415E66EF" w14:textId="77777777" w:rsidR="00EE16C3" w:rsidRPr="005B54EE" w:rsidRDefault="00EE16C3" w:rsidP="00631ED2"/>
    <w:p w14:paraId="3EA35B80" w14:textId="77777777" w:rsidR="00631ED2" w:rsidRPr="005B54EE" w:rsidRDefault="00631ED2" w:rsidP="00631ED2">
      <w:r w:rsidRPr="005B54EE">
        <w:t>The Mission Innovation coalition aims to strengthen public support for research and innovation in low-carbon technologies. In 2015, France and India were the leading countries on the theme of ‘access to renewable energy for off-grid populations’. In this context, ADEME launched a call for projects on access to off-grid renewable energy in 2017.</w:t>
      </w:r>
    </w:p>
    <w:p w14:paraId="1BFA0D14" w14:textId="77777777" w:rsidR="00631ED2" w:rsidRPr="005B54EE" w:rsidRDefault="00631ED2" w:rsidP="00631ED2">
      <w:r w:rsidRPr="005B54EE">
        <w:t xml:space="preserve">It should be noted that this call for projects laid the foundation for a partnership with the French Development Agency, which made it possible to launch a second call for projects on access to off-grid renewable energy in 2019. </w:t>
      </w:r>
    </w:p>
    <w:p w14:paraId="62D467FE" w14:textId="77777777" w:rsidR="00631ED2" w:rsidRPr="005B54EE" w:rsidRDefault="00631ED2" w:rsidP="00631ED2">
      <w:r w:rsidRPr="005B54EE">
        <w:t>The ‘Women and Climate’ focus of the programme was conducted in partnership with the International Association of Francophone Mayors (AIMF). A flagship project was selected with the REFELA-CAMEROUN Network of Local Elected Women in Africa for the implementation of pilot actions for public lighting and the supply of electricity to public buildings, as well as the strengthening of the skills of elected women in the production and management of sustainable energy.</w:t>
      </w:r>
    </w:p>
    <w:p w14:paraId="09A6702A" w14:textId="77777777" w:rsidR="00631ED2" w:rsidRPr="005B54EE" w:rsidRDefault="00631ED2" w:rsidP="00631ED2"/>
    <w:p w14:paraId="5129BC85" w14:textId="77777777" w:rsidR="00631ED2" w:rsidRPr="005B54EE" w:rsidRDefault="00631ED2" w:rsidP="00631ED2">
      <w:r w:rsidRPr="005B54EE">
        <w:t>Since the 7</w:t>
      </w:r>
      <w:r w:rsidRPr="005B54EE">
        <w:rPr>
          <w:vertAlign w:val="superscript"/>
        </w:rPr>
        <w:t>th</w:t>
      </w:r>
      <w:r w:rsidRPr="005B54EE">
        <w:t xml:space="preserve"> National Communication there has been a more general awareness of the need to strengthen adaptation to climate change while continuing mitigation efforts. As a continuation of its national work on climate change adaptation, ADEME launched a call for projects in 2022 aimed at strengthening this issue in the multilateral initiatives of the Action Agenda.</w:t>
      </w:r>
    </w:p>
    <w:p w14:paraId="49321C2C" w14:textId="77777777" w:rsidR="00631ED2" w:rsidRPr="005B54EE" w:rsidRDefault="00631ED2" w:rsidP="00631ED2"/>
    <w:p w14:paraId="226FA65E" w14:textId="49843345" w:rsidR="00631ED2" w:rsidRPr="005B54EE" w:rsidRDefault="00631ED2" w:rsidP="00631ED2">
      <w:r w:rsidRPr="005B54EE">
        <w:t>ADEME contributes directly to the implementation of the Technology Mechanism of the United Nations Framework Convention on Climate Change through its role as the designated National Entity of the Climate Technology Centre and Network (CTCN).</w:t>
      </w:r>
    </w:p>
    <w:p w14:paraId="304E2A95" w14:textId="77777777" w:rsidR="00631ED2" w:rsidRPr="005B54EE" w:rsidRDefault="00631ED2" w:rsidP="00631ED2">
      <w:pPr>
        <w:sectPr w:rsidR="00631ED2" w:rsidRPr="005B54EE" w:rsidSect="00777BD5">
          <w:pgSz w:w="11906" w:h="16838" w:code="9"/>
          <w:pgMar w:top="1229" w:right="907" w:bottom="1648" w:left="1049" w:header="284" w:footer="284" w:gutter="0"/>
          <w:cols w:space="708"/>
          <w:titlePg/>
          <w:docGrid w:linePitch="360"/>
        </w:sectPr>
      </w:pPr>
    </w:p>
    <w:tbl>
      <w:tblPr>
        <w:tblStyle w:val="GridTable4-Accent4"/>
        <w:tblW w:w="15021" w:type="dxa"/>
        <w:jc w:val="center"/>
        <w:tblLook w:val="04A0" w:firstRow="1" w:lastRow="0" w:firstColumn="1" w:lastColumn="0" w:noHBand="0" w:noVBand="1"/>
      </w:tblPr>
      <w:tblGrid>
        <w:gridCol w:w="1200"/>
        <w:gridCol w:w="1200"/>
        <w:gridCol w:w="1848"/>
        <w:gridCol w:w="1134"/>
        <w:gridCol w:w="2268"/>
        <w:gridCol w:w="1559"/>
        <w:gridCol w:w="1701"/>
        <w:gridCol w:w="4111"/>
      </w:tblGrid>
      <w:tr w:rsidR="00631ED2" w:rsidRPr="005B54EE" w14:paraId="6E5FF214" w14:textId="77777777" w:rsidTr="00C430E9">
        <w:trPr>
          <w:cnfStyle w:val="100000000000" w:firstRow="1" w:lastRow="0" w:firstColumn="0" w:lastColumn="0" w:oddVBand="0" w:evenVBand="0" w:oddHBand="0"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41C46614" w14:textId="77777777" w:rsidR="00631ED2" w:rsidRPr="005B54EE" w:rsidRDefault="00631ED2" w:rsidP="00C430E9">
            <w:pPr>
              <w:jc w:val="center"/>
              <w:rPr>
                <w:rFonts w:ascii="Arial" w:hAnsi="Arial" w:cs="Arial"/>
                <w:color w:val="000000"/>
                <w:sz w:val="16"/>
                <w:szCs w:val="16"/>
              </w:rPr>
            </w:pPr>
            <w:r w:rsidRPr="005B54EE">
              <w:rPr>
                <w:rFonts w:ascii="Arial" w:hAnsi="Arial"/>
                <w:color w:val="000000"/>
                <w:sz w:val="16"/>
              </w:rPr>
              <w:t>Recipient country or region</w:t>
            </w:r>
          </w:p>
        </w:tc>
        <w:tc>
          <w:tcPr>
            <w:tcW w:w="1200" w:type="dxa"/>
            <w:hideMark/>
          </w:tcPr>
          <w:p w14:paraId="268CDFD7" w14:textId="77777777" w:rsidR="00631ED2" w:rsidRPr="005B54EE" w:rsidRDefault="00631ED2" w:rsidP="00C430E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Objective</w:t>
            </w:r>
          </w:p>
        </w:tc>
        <w:tc>
          <w:tcPr>
            <w:tcW w:w="1848" w:type="dxa"/>
            <w:hideMark/>
          </w:tcPr>
          <w:p w14:paraId="0573F507" w14:textId="77777777" w:rsidR="00631ED2" w:rsidRPr="005B54EE" w:rsidRDefault="00631ED2" w:rsidP="00C430E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Measures and activities related to technology transfer</w:t>
            </w:r>
          </w:p>
        </w:tc>
        <w:tc>
          <w:tcPr>
            <w:tcW w:w="1134" w:type="dxa"/>
            <w:hideMark/>
          </w:tcPr>
          <w:p w14:paraId="4C8BD0AE" w14:textId="77777777" w:rsidR="00631ED2" w:rsidRPr="005B54EE" w:rsidRDefault="00631ED2" w:rsidP="00C430E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Sector</w:t>
            </w:r>
          </w:p>
        </w:tc>
        <w:tc>
          <w:tcPr>
            <w:tcW w:w="2268" w:type="dxa"/>
            <w:hideMark/>
          </w:tcPr>
          <w:p w14:paraId="2AD17376" w14:textId="77777777" w:rsidR="00631ED2" w:rsidRPr="005B54EE" w:rsidRDefault="00631ED2" w:rsidP="00C430E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Source of funding</w:t>
            </w:r>
          </w:p>
        </w:tc>
        <w:tc>
          <w:tcPr>
            <w:tcW w:w="1559" w:type="dxa"/>
            <w:hideMark/>
          </w:tcPr>
          <w:p w14:paraId="40473DF3" w14:textId="77777777" w:rsidR="00631ED2" w:rsidRPr="005B54EE" w:rsidRDefault="00631ED2" w:rsidP="00C430E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Activities undertaken by:</w:t>
            </w:r>
          </w:p>
        </w:tc>
        <w:tc>
          <w:tcPr>
            <w:tcW w:w="1701" w:type="dxa"/>
            <w:hideMark/>
          </w:tcPr>
          <w:p w14:paraId="08206314" w14:textId="77777777" w:rsidR="00631ED2" w:rsidRPr="005B54EE" w:rsidRDefault="00631ED2" w:rsidP="00C430E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Status</w:t>
            </w:r>
          </w:p>
        </w:tc>
        <w:tc>
          <w:tcPr>
            <w:tcW w:w="4111" w:type="dxa"/>
            <w:hideMark/>
          </w:tcPr>
          <w:p w14:paraId="5D85BAE6" w14:textId="77777777" w:rsidR="00631ED2" w:rsidRPr="005B54EE" w:rsidRDefault="00631ED2" w:rsidP="00C430E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Additional information</w:t>
            </w:r>
          </w:p>
        </w:tc>
      </w:tr>
      <w:tr w:rsidR="00631ED2" w:rsidRPr="005B54EE" w14:paraId="5587FC52" w14:textId="77777777" w:rsidTr="00C430E9">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71D6D203" w14:textId="77777777" w:rsidR="00631ED2" w:rsidRPr="005B54EE" w:rsidRDefault="00631ED2" w:rsidP="00C430E9">
            <w:pPr>
              <w:jc w:val="left"/>
              <w:rPr>
                <w:rFonts w:ascii="Arial" w:hAnsi="Arial" w:cs="Arial"/>
                <w:color w:val="000000"/>
                <w:sz w:val="16"/>
                <w:szCs w:val="16"/>
              </w:rPr>
            </w:pPr>
            <w:r w:rsidRPr="005B54EE">
              <w:rPr>
                <w:rFonts w:ascii="Arial" w:hAnsi="Arial"/>
                <w:color w:val="000000"/>
                <w:sz w:val="16"/>
              </w:rPr>
              <w:t>Africa</w:t>
            </w:r>
          </w:p>
        </w:tc>
        <w:tc>
          <w:tcPr>
            <w:tcW w:w="1200" w:type="dxa"/>
            <w:hideMark/>
          </w:tcPr>
          <w:p w14:paraId="5943BAE5"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Mitigation</w:t>
            </w:r>
          </w:p>
        </w:tc>
        <w:tc>
          <w:tcPr>
            <w:tcW w:w="1848" w:type="dxa"/>
            <w:hideMark/>
          </w:tcPr>
          <w:p w14:paraId="1665BC22"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ADEME 2017 call for projects: Access to renewable energy for off-grid populations. ADEME management.</w:t>
            </w:r>
          </w:p>
        </w:tc>
        <w:tc>
          <w:tcPr>
            <w:tcW w:w="1134" w:type="dxa"/>
            <w:hideMark/>
          </w:tcPr>
          <w:p w14:paraId="57EF2F21"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Energy</w:t>
            </w:r>
          </w:p>
        </w:tc>
        <w:tc>
          <w:tcPr>
            <w:tcW w:w="2268" w:type="dxa"/>
            <w:hideMark/>
          </w:tcPr>
          <w:p w14:paraId="0DEFE978"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Ministry of Ecology Transition. ADEME management.</w:t>
            </w:r>
          </w:p>
        </w:tc>
        <w:tc>
          <w:tcPr>
            <w:tcW w:w="1559" w:type="dxa"/>
            <w:hideMark/>
          </w:tcPr>
          <w:p w14:paraId="47DC6A53"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companies</w:t>
            </w:r>
          </w:p>
        </w:tc>
        <w:tc>
          <w:tcPr>
            <w:tcW w:w="1701" w:type="dxa"/>
            <w:hideMark/>
          </w:tcPr>
          <w:p w14:paraId="6DE7C1CC"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Currently being finalised</w:t>
            </w:r>
          </w:p>
        </w:tc>
        <w:tc>
          <w:tcPr>
            <w:tcW w:w="4111" w:type="dxa"/>
            <w:hideMark/>
          </w:tcPr>
          <w:p w14:paraId="6F02B288"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As part of the ‘Mission Innovation’ multilateral coalition. Nine projects in Togo, Burkina Faso, Mauritania, Cape Verde, Madagascar, Benin and Uganda</w:t>
            </w:r>
          </w:p>
        </w:tc>
      </w:tr>
      <w:tr w:rsidR="00631ED2" w:rsidRPr="005B54EE" w14:paraId="2E5A94AA" w14:textId="77777777" w:rsidTr="00C430E9">
        <w:trPr>
          <w:trHeight w:val="67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5CE7CBCD" w14:textId="77777777" w:rsidR="00631ED2" w:rsidRPr="005B54EE" w:rsidRDefault="00631ED2" w:rsidP="00C430E9">
            <w:pPr>
              <w:jc w:val="left"/>
              <w:rPr>
                <w:rFonts w:ascii="Arial" w:hAnsi="Arial" w:cs="Arial"/>
                <w:color w:val="000000"/>
                <w:sz w:val="16"/>
                <w:szCs w:val="16"/>
              </w:rPr>
            </w:pPr>
            <w:r w:rsidRPr="005B54EE">
              <w:rPr>
                <w:rFonts w:ascii="Arial" w:hAnsi="Arial"/>
                <w:color w:val="000000"/>
                <w:sz w:val="16"/>
              </w:rPr>
              <w:t>Africa</w:t>
            </w:r>
          </w:p>
        </w:tc>
        <w:tc>
          <w:tcPr>
            <w:tcW w:w="1200" w:type="dxa"/>
            <w:hideMark/>
          </w:tcPr>
          <w:p w14:paraId="43825489"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Mitigation</w:t>
            </w:r>
          </w:p>
        </w:tc>
        <w:tc>
          <w:tcPr>
            <w:tcW w:w="1848" w:type="dxa"/>
            <w:hideMark/>
          </w:tcPr>
          <w:p w14:paraId="79F1D62C"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ADEME 2019 call for projects: Access to renewable energy for off-grid populations. ADEME management.</w:t>
            </w:r>
          </w:p>
        </w:tc>
        <w:tc>
          <w:tcPr>
            <w:tcW w:w="1134" w:type="dxa"/>
            <w:hideMark/>
          </w:tcPr>
          <w:p w14:paraId="4DB23DFC"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Energy</w:t>
            </w:r>
          </w:p>
        </w:tc>
        <w:tc>
          <w:tcPr>
            <w:tcW w:w="2268" w:type="dxa"/>
            <w:hideMark/>
          </w:tcPr>
          <w:p w14:paraId="4A00CAE2"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French Development Agency. ADEME management.</w:t>
            </w:r>
          </w:p>
        </w:tc>
        <w:tc>
          <w:tcPr>
            <w:tcW w:w="1559" w:type="dxa"/>
            <w:hideMark/>
          </w:tcPr>
          <w:p w14:paraId="1B740DE1"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companies</w:t>
            </w:r>
          </w:p>
        </w:tc>
        <w:tc>
          <w:tcPr>
            <w:tcW w:w="1701" w:type="dxa"/>
            <w:hideMark/>
          </w:tcPr>
          <w:p w14:paraId="4E45390B"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Ongoing</w:t>
            </w:r>
          </w:p>
        </w:tc>
        <w:tc>
          <w:tcPr>
            <w:tcW w:w="4111" w:type="dxa"/>
            <w:hideMark/>
          </w:tcPr>
          <w:p w14:paraId="50AA3FB3"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Following the 2017 call for projects.</w:t>
            </w:r>
          </w:p>
        </w:tc>
      </w:tr>
      <w:tr w:rsidR="00631ED2" w:rsidRPr="005B54EE" w14:paraId="0FBF8281" w14:textId="77777777" w:rsidTr="00C430E9">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6406010B" w14:textId="77777777" w:rsidR="00631ED2" w:rsidRPr="005B54EE" w:rsidRDefault="00631ED2" w:rsidP="00C430E9">
            <w:pPr>
              <w:jc w:val="left"/>
              <w:rPr>
                <w:rFonts w:ascii="Arial" w:hAnsi="Arial" w:cs="Arial"/>
                <w:color w:val="000000"/>
                <w:sz w:val="16"/>
                <w:szCs w:val="16"/>
              </w:rPr>
            </w:pPr>
            <w:r w:rsidRPr="005B54EE">
              <w:rPr>
                <w:rFonts w:ascii="Arial" w:hAnsi="Arial"/>
                <w:color w:val="000000"/>
                <w:sz w:val="16"/>
              </w:rPr>
              <w:t>Africa</w:t>
            </w:r>
          </w:p>
        </w:tc>
        <w:tc>
          <w:tcPr>
            <w:tcW w:w="1200" w:type="dxa"/>
            <w:hideMark/>
          </w:tcPr>
          <w:p w14:paraId="5562E12E"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Mitigation</w:t>
            </w:r>
          </w:p>
        </w:tc>
        <w:tc>
          <w:tcPr>
            <w:tcW w:w="1848" w:type="dxa"/>
            <w:hideMark/>
          </w:tcPr>
          <w:p w14:paraId="4D6587EA"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Support for various innovative projects for access to sustainable energy.</w:t>
            </w:r>
          </w:p>
        </w:tc>
        <w:tc>
          <w:tcPr>
            <w:tcW w:w="1134" w:type="dxa"/>
            <w:hideMark/>
          </w:tcPr>
          <w:p w14:paraId="4B1BEC8E"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Energy</w:t>
            </w:r>
          </w:p>
        </w:tc>
        <w:tc>
          <w:tcPr>
            <w:tcW w:w="2268" w:type="dxa"/>
            <w:hideMark/>
          </w:tcPr>
          <w:p w14:paraId="094EE78B"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Ministry of Ecology Transition. ADEME management.</w:t>
            </w:r>
          </w:p>
        </w:tc>
        <w:tc>
          <w:tcPr>
            <w:tcW w:w="1559" w:type="dxa"/>
            <w:hideMark/>
          </w:tcPr>
          <w:p w14:paraId="33157ED0"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companies</w:t>
            </w:r>
          </w:p>
        </w:tc>
        <w:tc>
          <w:tcPr>
            <w:tcW w:w="1701" w:type="dxa"/>
            <w:hideMark/>
          </w:tcPr>
          <w:p w14:paraId="5AAEB7B2"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Ongoing</w:t>
            </w:r>
          </w:p>
        </w:tc>
        <w:tc>
          <w:tcPr>
            <w:tcW w:w="4111" w:type="dxa"/>
            <w:hideMark/>
          </w:tcPr>
          <w:p w14:paraId="7BCA0219"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As part of the ‘Mission Innovation’ multilateral coalition. Finance for various innovative projects for access to sustainable energy. Example: setting up a methaniser in Lusaka (Zambia) in the Mtendere district.</w:t>
            </w:r>
          </w:p>
        </w:tc>
      </w:tr>
      <w:tr w:rsidR="00631ED2" w:rsidRPr="005B54EE" w14:paraId="303E324D" w14:textId="77777777" w:rsidTr="00C430E9">
        <w:trPr>
          <w:trHeight w:val="135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40FE476F" w14:textId="77777777" w:rsidR="00631ED2" w:rsidRPr="005B54EE" w:rsidRDefault="00631ED2" w:rsidP="00C430E9">
            <w:pPr>
              <w:jc w:val="left"/>
              <w:rPr>
                <w:rFonts w:ascii="Arial" w:hAnsi="Arial" w:cs="Arial"/>
                <w:color w:val="000000"/>
                <w:sz w:val="16"/>
                <w:szCs w:val="16"/>
              </w:rPr>
            </w:pPr>
            <w:r w:rsidRPr="005B54EE">
              <w:rPr>
                <w:rFonts w:ascii="Arial" w:hAnsi="Arial"/>
                <w:color w:val="000000"/>
                <w:sz w:val="16"/>
              </w:rPr>
              <w:t>World</w:t>
            </w:r>
          </w:p>
        </w:tc>
        <w:tc>
          <w:tcPr>
            <w:tcW w:w="1200" w:type="dxa"/>
            <w:hideMark/>
          </w:tcPr>
          <w:p w14:paraId="76074C7B"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Mitigation and adaptation</w:t>
            </w:r>
          </w:p>
        </w:tc>
        <w:tc>
          <w:tcPr>
            <w:tcW w:w="1848" w:type="dxa"/>
            <w:hideMark/>
          </w:tcPr>
          <w:p w14:paraId="110DFEC0"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Support to the Global Alliance for Buildings and Construction (GlobalABC)</w:t>
            </w:r>
          </w:p>
        </w:tc>
        <w:tc>
          <w:tcPr>
            <w:tcW w:w="1134" w:type="dxa"/>
            <w:hideMark/>
          </w:tcPr>
          <w:p w14:paraId="60F2CD29"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Building and construction</w:t>
            </w:r>
          </w:p>
        </w:tc>
        <w:tc>
          <w:tcPr>
            <w:tcW w:w="2268" w:type="dxa"/>
            <w:hideMark/>
          </w:tcPr>
          <w:p w14:paraId="5DB58DB0"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Ministry of Ecology Transition. ADEME management.</w:t>
            </w:r>
          </w:p>
        </w:tc>
        <w:tc>
          <w:tcPr>
            <w:tcW w:w="1559" w:type="dxa"/>
            <w:hideMark/>
          </w:tcPr>
          <w:p w14:paraId="19097314"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companies</w:t>
            </w:r>
          </w:p>
        </w:tc>
        <w:tc>
          <w:tcPr>
            <w:tcW w:w="1701" w:type="dxa"/>
            <w:hideMark/>
          </w:tcPr>
          <w:p w14:paraId="1A908D73"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Ongoing</w:t>
            </w:r>
          </w:p>
        </w:tc>
        <w:tc>
          <w:tcPr>
            <w:tcW w:w="4111" w:type="dxa"/>
            <w:hideMark/>
          </w:tcPr>
          <w:p w14:paraId="368F3DAF" w14:textId="77777777" w:rsidR="00631ED2" w:rsidRPr="005B54EE" w:rsidRDefault="00631ED2" w:rsidP="00C430E9">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As part of the Global Alliance for Buildings and Construction (GlobalABC). Co-chairing the working group on climate change adaptation. Financing of flagship projects in Senegal and Vietnam for bioclimatic and low-carbon buildings in hot and tropical climates.</w:t>
            </w:r>
          </w:p>
        </w:tc>
      </w:tr>
      <w:tr w:rsidR="00631ED2" w:rsidRPr="005B54EE" w14:paraId="4985F041" w14:textId="77777777" w:rsidTr="00C430E9">
        <w:trPr>
          <w:cnfStyle w:val="000000100000" w:firstRow="0" w:lastRow="0" w:firstColumn="0" w:lastColumn="0" w:oddVBand="0" w:evenVBand="0" w:oddHBand="1" w:evenHBand="0" w:firstRowFirstColumn="0" w:firstRowLastColumn="0" w:lastRowFirstColumn="0" w:lastRowLastColumn="0"/>
          <w:trHeight w:val="18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5D1C71A3" w14:textId="77777777" w:rsidR="00631ED2" w:rsidRPr="005B54EE" w:rsidRDefault="00631ED2" w:rsidP="00C430E9">
            <w:pPr>
              <w:jc w:val="left"/>
              <w:rPr>
                <w:rFonts w:ascii="Arial" w:hAnsi="Arial" w:cs="Arial"/>
                <w:sz w:val="16"/>
                <w:szCs w:val="16"/>
              </w:rPr>
            </w:pPr>
            <w:r w:rsidRPr="005B54EE">
              <w:rPr>
                <w:rFonts w:ascii="Arial" w:hAnsi="Arial"/>
                <w:sz w:val="16"/>
              </w:rPr>
              <w:t>Cameroon</w:t>
            </w:r>
          </w:p>
        </w:tc>
        <w:tc>
          <w:tcPr>
            <w:tcW w:w="1200" w:type="dxa"/>
            <w:hideMark/>
          </w:tcPr>
          <w:p w14:paraId="274066DD"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sz w:val="16"/>
              </w:rPr>
              <w:t>Mitigation</w:t>
            </w:r>
          </w:p>
        </w:tc>
        <w:tc>
          <w:tcPr>
            <w:tcW w:w="1848" w:type="dxa"/>
            <w:hideMark/>
          </w:tcPr>
          <w:p w14:paraId="6CB6EE4B"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54EE">
              <w:rPr>
                <w:rFonts w:ascii="Arial" w:hAnsi="Arial"/>
                <w:sz w:val="16"/>
              </w:rPr>
              <w:t>Women and Climate: pilot actions</w:t>
            </w:r>
          </w:p>
        </w:tc>
        <w:tc>
          <w:tcPr>
            <w:tcW w:w="1134" w:type="dxa"/>
            <w:hideMark/>
          </w:tcPr>
          <w:p w14:paraId="40E0B46C"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sz w:val="16"/>
              </w:rPr>
              <w:t>Energy</w:t>
            </w:r>
          </w:p>
        </w:tc>
        <w:tc>
          <w:tcPr>
            <w:tcW w:w="2268" w:type="dxa"/>
            <w:hideMark/>
          </w:tcPr>
          <w:p w14:paraId="077672C6"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54EE">
              <w:rPr>
                <w:rFonts w:ascii="Arial" w:hAnsi="Arial"/>
                <w:sz w:val="16"/>
              </w:rPr>
              <w:t>Ministry of Ecology Transition. ADEME management. Partners: AIMF, Veolia Foundation, FEICOM as well as the targeted municipalities in Cameroon</w:t>
            </w:r>
          </w:p>
        </w:tc>
        <w:tc>
          <w:tcPr>
            <w:tcW w:w="1559" w:type="dxa"/>
            <w:hideMark/>
          </w:tcPr>
          <w:p w14:paraId="661DB9BE"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54EE">
              <w:rPr>
                <w:rFonts w:ascii="Arial" w:hAnsi="Arial"/>
                <w:sz w:val="16"/>
              </w:rPr>
              <w:t>Secretariat of the Network of Local Elected Women of Cameroon</w:t>
            </w:r>
          </w:p>
        </w:tc>
        <w:tc>
          <w:tcPr>
            <w:tcW w:w="1701" w:type="dxa"/>
            <w:hideMark/>
          </w:tcPr>
          <w:p w14:paraId="1D6BA77C"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54EE">
              <w:rPr>
                <w:rFonts w:ascii="Arial" w:hAnsi="Arial"/>
                <w:sz w:val="16"/>
              </w:rPr>
              <w:t>Completed (2018-2020)</w:t>
            </w:r>
          </w:p>
        </w:tc>
        <w:tc>
          <w:tcPr>
            <w:tcW w:w="4111" w:type="dxa"/>
            <w:hideMark/>
          </w:tcPr>
          <w:p w14:paraId="46050462" w14:textId="77777777" w:rsidR="00631ED2" w:rsidRPr="005B54EE" w:rsidRDefault="00631ED2" w:rsidP="00C430E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5B54EE">
              <w:rPr>
                <w:rFonts w:ascii="Arial" w:hAnsi="Arial"/>
                <w:color w:val="000000"/>
                <w:sz w:val="16"/>
              </w:rPr>
              <w:t xml:space="preserve">Support to the network of women mayors in Cameroon. The project aims to strengthen the network of local elected women in Cameroon and to implement pilot actions for public lighting and electricity supply to public buildings. Partnership: AIMF, Veolia Foundation, ADEME, FEICOM along with the targeted municipalities. </w:t>
            </w:r>
          </w:p>
        </w:tc>
      </w:tr>
    </w:tbl>
    <w:p w14:paraId="325EC07C" w14:textId="77777777" w:rsidR="00631ED2" w:rsidRPr="005B54EE" w:rsidRDefault="00631ED2" w:rsidP="00631ED2">
      <w:pPr>
        <w:sectPr w:rsidR="00631ED2" w:rsidRPr="005B54EE" w:rsidSect="00C430E9">
          <w:pgSz w:w="16838" w:h="11906" w:orient="landscape" w:code="9"/>
          <w:pgMar w:top="1049" w:right="1229" w:bottom="907" w:left="1648" w:header="284" w:footer="284" w:gutter="0"/>
          <w:cols w:space="708"/>
          <w:titlePg/>
          <w:docGrid w:linePitch="360"/>
        </w:sectPr>
      </w:pPr>
    </w:p>
    <w:p w14:paraId="780B2AD6" w14:textId="77777777" w:rsidR="00631ED2" w:rsidRPr="005B54EE" w:rsidRDefault="00631ED2" w:rsidP="00631ED2"/>
    <w:p w14:paraId="5F77531E" w14:textId="77777777" w:rsidR="00631ED2" w:rsidRPr="005B54EE" w:rsidRDefault="00631ED2" w:rsidP="00B04A7C">
      <w:pPr>
        <w:pStyle w:val="Titre3Niveau3"/>
      </w:pPr>
      <w:bookmarkStart w:id="224" w:name="_Toc122694297"/>
      <w:bookmarkStart w:id="225" w:name="_Toc138344717"/>
      <w:r w:rsidRPr="005B54EE">
        <w:t>Le Citepa</w:t>
      </w:r>
      <w:bookmarkEnd w:id="224"/>
      <w:bookmarkEnd w:id="225"/>
    </w:p>
    <w:p w14:paraId="7FBC9E01" w14:textId="621B6DD6" w:rsidR="00631ED2" w:rsidRPr="005B54EE" w:rsidRDefault="00631ED2" w:rsidP="00631ED2">
      <w:r w:rsidRPr="005B54EE">
        <w:t>CITEPA, an operator for the DGEC, produces national emissions inventories and contributes to capacity-building in third countries (one of the activity programme lines refers to this). At international level, it carries out capacity-building actions on climate change and air pollution. These actions include twinning, IPAs</w:t>
      </w:r>
      <w:r w:rsidRPr="005B54EE">
        <w:rPr>
          <w:i/>
          <w:iCs/>
        </w:rPr>
        <w:t xml:space="preserve"> (Instruments for Pre-Accession Assistance),</w:t>
      </w:r>
      <w:r w:rsidRPr="005B54EE">
        <w:t xml:space="preserve"> and calls for tender from international donors; and, to a lesser extent, via a line of its programme with the DGEC (around €40 k/year), CITEPA can also act in all emerging and developing countries (each year in around twenty countries depending on the calls for tender). Most of the time, collaborations are bilateral via calls for tenders from technical agencies AFD/GIZ/European Environment Agency, as well as UN agencies (UNDP) or development banks (AFD/BM/ADB, etc.).</w:t>
      </w:r>
    </w:p>
    <w:p w14:paraId="02069317" w14:textId="77777777" w:rsidR="00631ED2" w:rsidRPr="005B54EE" w:rsidRDefault="00631ED2" w:rsidP="00631ED2"/>
    <w:p w14:paraId="51457D3F" w14:textId="77777777" w:rsidR="00631ED2" w:rsidRPr="005B54EE" w:rsidRDefault="00631ED2" w:rsidP="00631ED2">
      <w:r w:rsidRPr="005B54EE">
        <w:t>Mandated by the Ministry (to produce atmospheric emission inventories in France and to strengthen the capacities of third countries), CITEPA</w:t>
      </w:r>
    </w:p>
    <w:p w14:paraId="71E2B3F3" w14:textId="77777777" w:rsidR="00631ED2" w:rsidRPr="005B54EE" w:rsidRDefault="00631ED2" w:rsidP="00631ED2">
      <w:pPr>
        <w:pStyle w:val="ListParagraph"/>
        <w:numPr>
          <w:ilvl w:val="0"/>
          <w:numId w:val="53"/>
        </w:numPr>
      </w:pPr>
      <w:r w:rsidRPr="005B54EE">
        <w:t>maintains a good international image through its work strengthening / transferring skills in the last three years: Pakistan, Kazakhstan, Vietnam, Chad, Nigeria, Niger, Zambia, Rwanda, Comoros, Morocco, Tunisia, Algeria, Union for the Mediterranean, Albania, Serbia, Croatia, Colombia, etc.)</w:t>
      </w:r>
    </w:p>
    <w:p w14:paraId="211E6EDC" w14:textId="77777777" w:rsidR="00631ED2" w:rsidRPr="005B54EE" w:rsidRDefault="00631ED2" w:rsidP="00631ED2">
      <w:pPr>
        <w:pStyle w:val="ListParagraph"/>
        <w:numPr>
          <w:ilvl w:val="0"/>
          <w:numId w:val="53"/>
        </w:numPr>
      </w:pPr>
      <w:r w:rsidRPr="005B54EE">
        <w:t>Key countries in the future will be: Morocco, Tunisia, other SEMED countries, Senegal, Ivory Coast, Niger, Nigeria, Rwanda, Cameroon, Kenya, Serbia/Croatia, Kazakhstan, Pakistan, India, Colombia, Uzbekistan.</w:t>
      </w:r>
    </w:p>
    <w:p w14:paraId="278FB1E2" w14:textId="77777777" w:rsidR="00631ED2" w:rsidRPr="005B54EE" w:rsidRDefault="00631ED2" w:rsidP="00631ED2"/>
    <w:p w14:paraId="4EA7FB46" w14:textId="6911FC0D" w:rsidR="00631ED2" w:rsidRPr="005B54EE" w:rsidRDefault="00631ED2" w:rsidP="00631ED2">
      <w:r w:rsidRPr="005B54EE">
        <w:t>CITEPA is sometimes called upon by the AFD/EF, the MEAE, and the DGEC to activate clusters of experts: a. GHG (Francophone cluster); b. Atmospheric Pollutants (AP) with GHG co-benefits; c. Air Quality Chain with AIRPARIF.</w:t>
      </w:r>
    </w:p>
    <w:p w14:paraId="1D5F93E8" w14:textId="77777777" w:rsidR="00631ED2" w:rsidRPr="005B54EE" w:rsidRDefault="00631ED2" w:rsidP="00631ED2">
      <w:r w:rsidRPr="005B54EE">
        <w:t>It participates in meetings of the DAEI operators’ network.</w:t>
      </w:r>
    </w:p>
    <w:p w14:paraId="6FF0EF30" w14:textId="604F7A49" w:rsidR="00401567" w:rsidRPr="005B54EE" w:rsidRDefault="00401567" w:rsidP="0018240E">
      <w:pPr>
        <w:pStyle w:val="Titre2Niveau2"/>
      </w:pPr>
      <w:bookmarkStart w:id="226" w:name="_Toc138344718"/>
      <w:r w:rsidRPr="005B54EE">
        <w:t>Building capacity</w:t>
      </w:r>
      <w:bookmarkEnd w:id="226"/>
    </w:p>
    <w:p w14:paraId="798CD45F" w14:textId="77777777" w:rsidR="00631ED2" w:rsidRPr="005B54EE" w:rsidRDefault="00631ED2" w:rsidP="00B04A7C">
      <w:pPr>
        <w:pStyle w:val="Titre3Niveau3"/>
      </w:pPr>
      <w:bookmarkStart w:id="227" w:name="_Toc122694299"/>
      <w:bookmarkStart w:id="228" w:name="_Toc138344719"/>
      <w:r w:rsidRPr="005B54EE">
        <w:t>Adapting to climate change</w:t>
      </w:r>
      <w:bookmarkEnd w:id="227"/>
      <w:bookmarkEnd w:id="228"/>
    </w:p>
    <w:p w14:paraId="2ABC316E" w14:textId="77777777" w:rsidR="00631ED2" w:rsidRPr="005B54EE" w:rsidRDefault="00631ED2" w:rsidP="00631ED2">
      <w:r w:rsidRPr="005B54EE">
        <w:t>France is involved in projects that aim to share its own experience in adaptation policy planning with developing countries. France has had an adaptation strategy since 2006. In 2011, the first national adaptation plan was published. This national plan was assessed in 2015. In 2018, the second national plan for adapting to climate change was issued (PNACC-2).</w:t>
      </w:r>
    </w:p>
    <w:p w14:paraId="10C1189D" w14:textId="77777777" w:rsidR="00631ED2" w:rsidRPr="005B54EE" w:rsidRDefault="00631ED2" w:rsidP="00631ED2"/>
    <w:p w14:paraId="5AD9F5BB" w14:textId="77777777" w:rsidR="00631ED2" w:rsidRPr="005B54EE" w:rsidRDefault="00631ED2" w:rsidP="00631ED2">
      <w:r w:rsidRPr="005B54EE">
        <w:t>Within the framework of the Climate Services agreement signed in 2017 between the French Ministry of Ecological and Solidarity Transition and the main research organisations in climate science, the second part of the 4th work package (WP4) focuses on a climate service demonstrator for West African agriculture. On a continent that is particularly vulnerable to climate variability and change, the aim is to have effective climate risk management tools to provide real added value to adaptation strategies.</w:t>
      </w:r>
    </w:p>
    <w:p w14:paraId="76B4F7B3" w14:textId="77777777" w:rsidR="00631ED2" w:rsidRPr="005B54EE" w:rsidRDefault="00631ED2" w:rsidP="00B04A7C">
      <w:pPr>
        <w:pStyle w:val="Titre3Niveau3"/>
      </w:pPr>
      <w:bookmarkStart w:id="229" w:name="_Toc115454111"/>
      <w:bookmarkStart w:id="230" w:name="_Toc121390992"/>
      <w:bookmarkStart w:id="231" w:name="_Toc122694300"/>
      <w:bookmarkStart w:id="232" w:name="_Toc138344720"/>
      <w:r w:rsidRPr="005B54EE">
        <w:t>Preparation and implementation of Nationally Determined Contributions (NDCs)</w:t>
      </w:r>
      <w:bookmarkEnd w:id="229"/>
      <w:bookmarkEnd w:id="230"/>
      <w:bookmarkEnd w:id="231"/>
      <w:bookmarkEnd w:id="232"/>
    </w:p>
    <w:p w14:paraId="178F7608" w14:textId="77777777" w:rsidR="00631ED2" w:rsidRPr="005B54EE" w:rsidRDefault="00631ED2" w:rsidP="00631ED2">
      <w:r w:rsidRPr="005B54EE">
        <w:t>Since 2017, the AFD Group’s AdaptAction programme has been supporting vulnerable countries in the implementation of their adaptation strategies through technical assistance and capacity-building activities to consolidate their climate governance, better integrate adaptation to climate change into their public policies, and implement foundational adaptation projects.</w:t>
      </w:r>
    </w:p>
    <w:p w14:paraId="75AFC8E0" w14:textId="77777777" w:rsidR="00631ED2" w:rsidRPr="005B54EE" w:rsidRDefault="00631ED2" w:rsidP="00631ED2"/>
    <w:p w14:paraId="73BA2D83" w14:textId="77777777" w:rsidR="00631ED2" w:rsidRPr="005B54EE" w:rsidRDefault="00631ED2" w:rsidP="00631ED2">
      <w:r w:rsidRPr="005B54EE">
        <w:t>Phase 1 of the AdaptAction programme (€30 million from 2017–2022) has deployed more than 70 support initiatives in 15 countries (Least Developed Countries, Africa, Small Island States). The programme has exceeded its leverage target on the project portfolio, catalysing the financing of 10 projects for a total of €582 million financed or co-financed by the AFD, the Green Fund or the European Union.</w:t>
      </w:r>
    </w:p>
    <w:p w14:paraId="4870E969" w14:textId="77777777" w:rsidR="00631ED2" w:rsidRPr="005B54EE" w:rsidRDefault="00631ED2" w:rsidP="00631ED2"/>
    <w:p w14:paraId="2EB72D7F" w14:textId="77777777" w:rsidR="00631ED2" w:rsidRPr="005B54EE" w:rsidRDefault="00631ED2" w:rsidP="00631ED2">
      <w:r w:rsidRPr="005B54EE">
        <w:t>For phase 2 (€15 million from 2022 to 2025), the scope of the programme has been refocused on Africa with 12 partner countries. The aim of phase 2 is to strengthen the resilience of populations and ecosystems thanks to a three-part initiative: understand/plan/invest with 2 cross-sectoral components:</w:t>
      </w:r>
    </w:p>
    <w:p w14:paraId="44593E7F" w14:textId="77777777" w:rsidR="00631ED2" w:rsidRPr="005B54EE" w:rsidRDefault="00631ED2" w:rsidP="00631ED2">
      <w:pPr>
        <w:pStyle w:val="ListParagraph"/>
        <w:numPr>
          <w:ilvl w:val="0"/>
          <w:numId w:val="54"/>
        </w:numPr>
      </w:pPr>
      <w:r w:rsidRPr="005B54EE">
        <w:t>Focus 1 - ‘Understanding’ supports operational research on the human dimensions of climate, to promote the translation of climate science into public policy and action;</w:t>
      </w:r>
    </w:p>
    <w:p w14:paraId="2EBF746A" w14:textId="77777777" w:rsidR="00631ED2" w:rsidRPr="005B54EE" w:rsidRDefault="00631ED2" w:rsidP="00631ED2">
      <w:pPr>
        <w:pStyle w:val="ListParagraph"/>
        <w:numPr>
          <w:ilvl w:val="0"/>
          <w:numId w:val="54"/>
        </w:numPr>
      </w:pPr>
      <w:r w:rsidRPr="005B54EE">
        <w:t>Focus 2 - ‘Planning’ aims to better integrate adaptation into governance mechanisms and sectoral public policy strategies;</w:t>
      </w:r>
    </w:p>
    <w:p w14:paraId="01E1DE07" w14:textId="77777777" w:rsidR="00631ED2" w:rsidRPr="005B54EE" w:rsidRDefault="00631ED2" w:rsidP="00631ED2">
      <w:pPr>
        <w:pStyle w:val="ListParagraph"/>
        <w:numPr>
          <w:ilvl w:val="0"/>
          <w:numId w:val="54"/>
        </w:numPr>
      </w:pPr>
      <w:r w:rsidRPr="005B54EE">
        <w:t xml:space="preserve">Focus 3 - ‘Investing’ produces vulnerability studies and project feasibility studies to contribute to the emergence of more robust adaptation projects. </w:t>
      </w:r>
    </w:p>
    <w:p w14:paraId="510F6C03" w14:textId="77777777" w:rsidR="00631ED2" w:rsidRPr="005B54EE" w:rsidRDefault="00631ED2" w:rsidP="00631ED2">
      <w:pPr>
        <w:pStyle w:val="ListParagraph"/>
        <w:numPr>
          <w:ilvl w:val="0"/>
          <w:numId w:val="54"/>
        </w:numPr>
      </w:pPr>
      <w:r w:rsidRPr="005B54EE">
        <w:t xml:space="preserve">A cross-disciplinary component dedicated to a better understanding of gender and social inclusion in all the focuses (mobilisation of dedicated expertise, capacity building, deployment of specific activities).  </w:t>
      </w:r>
    </w:p>
    <w:p w14:paraId="57AF9525" w14:textId="77777777" w:rsidR="00631ED2" w:rsidRPr="005B54EE" w:rsidRDefault="00631ED2" w:rsidP="00631ED2">
      <w:pPr>
        <w:pStyle w:val="ListParagraph"/>
        <w:numPr>
          <w:ilvl w:val="0"/>
          <w:numId w:val="54"/>
        </w:numPr>
      </w:pPr>
      <w:r w:rsidRPr="005B54EE">
        <w:t xml:space="preserve">A cross-disciplinary component dedicated to </w:t>
      </w:r>
      <w:r w:rsidRPr="005B54EE">
        <w:rPr>
          <w:i/>
        </w:rPr>
        <w:t>knowledge management</w:t>
      </w:r>
      <w:r w:rsidRPr="005B54EE">
        <w:t xml:space="preserve"> and highlighting the value of knowledge; this will contribute to capitalisation and exchange of North-South, South-South and also South-North knowledge and good practices (contributor of a community of knowledge and practices). </w:t>
      </w:r>
    </w:p>
    <w:p w14:paraId="05F9860F" w14:textId="77777777" w:rsidR="00631ED2" w:rsidRPr="005B54EE" w:rsidRDefault="00631ED2" w:rsidP="00631ED2"/>
    <w:p w14:paraId="5098AA37" w14:textId="77777777" w:rsidR="00631ED2" w:rsidRPr="005B54EE" w:rsidRDefault="00631ED2" w:rsidP="00631ED2">
      <w:r w:rsidRPr="005B54EE">
        <w:t>Phase 2 of AdaptAction thus aims to be a laboratory or learning system to better formalise and structure innovative approaches to adaptation, in particular the links between climate, biodiversity and society.</w:t>
      </w:r>
    </w:p>
    <w:p w14:paraId="0BC6E5BD" w14:textId="77777777" w:rsidR="00631ED2" w:rsidRPr="005B54EE" w:rsidRDefault="00631ED2" w:rsidP="00631ED2"/>
    <w:p w14:paraId="68682A65" w14:textId="77777777" w:rsidR="00631ED2" w:rsidRPr="005B54EE" w:rsidRDefault="00631ED2" w:rsidP="00631ED2">
      <w:r w:rsidRPr="005B54EE">
        <w:t>It was announced at the COP27 that this will be extended to 6 Mediterranean countries (€7.5 million) in partnership with UNCDF - LoCAL, including €6 million in funding from the European Union. This partnership will promote the alignment of adaptation strategies and investments between national and local levels, down to the most vulnerable populations (vertical integration of adaptation).</w:t>
      </w:r>
    </w:p>
    <w:p w14:paraId="7F2F615E" w14:textId="77777777" w:rsidR="00631ED2" w:rsidRPr="005B54EE" w:rsidRDefault="00631ED2" w:rsidP="00B04A7C">
      <w:pPr>
        <w:pStyle w:val="Titre3Niveau3"/>
      </w:pPr>
      <w:bookmarkStart w:id="233" w:name="_Toc122694301"/>
      <w:bookmarkStart w:id="234" w:name="_Toc138344721"/>
      <w:bookmarkStart w:id="235" w:name="_Toc115454112"/>
      <w:bookmarkStart w:id="236" w:name="_Toc121390993"/>
      <w:r w:rsidRPr="005B54EE">
        <w:t>Establishing a national reporting system (GHG inventory, projections, mitigation measures, adaptation)</w:t>
      </w:r>
      <w:bookmarkEnd w:id="233"/>
      <w:bookmarkEnd w:id="234"/>
      <w:r w:rsidRPr="005B54EE">
        <w:t xml:space="preserve"> </w:t>
      </w:r>
      <w:bookmarkEnd w:id="235"/>
      <w:bookmarkEnd w:id="236"/>
    </w:p>
    <w:p w14:paraId="57B75CF1" w14:textId="77777777" w:rsidR="00631ED2" w:rsidRPr="005B54EE" w:rsidRDefault="00631ED2" w:rsidP="00631ED2">
      <w:pPr>
        <w:spacing w:before="240" w:after="240"/>
      </w:pPr>
      <w:r w:rsidRPr="005B54EE">
        <w:t xml:space="preserve">Since 2014, France has participated technically and financially in the activities of the ‘Francophone Cluster’ by co-financing capacity-building workshops for French-speaking developing countries with Belgium, Switzerland and Germany. The Francophone Cluster is an initiative of the Partnership for Transparency in the Paris Agreement. It was created following the French-speaking workshop for Africa on Measurement, Reporting and Verification (MRV) issues held in Gammarth, Tunisia, on 17-18 December 2013. Its aim is to enable the exchange of information, expertise and experiences between French-speaking partners, developing and developed countries, concerning GHG inventories, the development of mitigation measures, the MRV process and the formulation of Nationally Determined Contributions (NDCs). </w:t>
      </w:r>
    </w:p>
    <w:p w14:paraId="307564E4" w14:textId="7BE9DDDF" w:rsidR="00631ED2" w:rsidRPr="005B54EE" w:rsidRDefault="00631ED2" w:rsidP="00631ED2">
      <w:pPr>
        <w:spacing w:before="240" w:after="240"/>
      </w:pPr>
      <w:r w:rsidRPr="005B54EE">
        <w:t>Several workshops have been organised since 2013 (see http://mitigationpartnership.net/cluster-francophone). A side event to present the feedback from these workshops took place during COP21 in Paris. In 2015, two workshops were held (Paris, Rabat); in 2016, two workshops were also held in Abidjan and Casablanca, and a workshop was held in Rome in 2017 for one week. In 2018, a workshop was held in Cameroon on the Measurement and Evaluation of Adaptation Measures. In 2019, a workshop in Saly, Senegal, brought together 65 participants from 20 French-speaking African developing countries to understand how to successfully implement the 2006 IPCC Guidelines in the ‘Agriculture, Forestry and Other Land Use’ (AFAT) and waste treatment sectors with the aim of submitting Biennial Update Reports (BURs) and future Biennial Transparency Reports (BTRs) and stimulating the implementation of NDCs. CITEPA, a public operator with world-renowned expertise and a specialist in French inventories since their inception, is a major stakeholder in the Francophone cluster and runs these workshops, the next of which is currently being prepared to support countries in updating and upgrading their NDCs for COP26 in Glasgow in 2020.</w:t>
      </w:r>
    </w:p>
    <w:p w14:paraId="22AC426A" w14:textId="77777777" w:rsidR="00631ED2" w:rsidRPr="005B54EE" w:rsidRDefault="00631ED2" w:rsidP="00B04A7C">
      <w:pPr>
        <w:pStyle w:val="Titre3Niveau3"/>
      </w:pPr>
      <w:bookmarkStart w:id="237" w:name="_Toc115454113"/>
      <w:bookmarkStart w:id="238" w:name="_Toc121390994"/>
      <w:bookmarkStart w:id="239" w:name="_Toc122694302"/>
      <w:bookmarkStart w:id="240" w:name="_Toc138344722"/>
      <w:r w:rsidRPr="005B54EE">
        <w:t>French support for the implementation of a national GHG inventory system in Algeria</w:t>
      </w:r>
      <w:bookmarkEnd w:id="237"/>
      <w:bookmarkEnd w:id="238"/>
      <w:bookmarkEnd w:id="239"/>
      <w:bookmarkEnd w:id="240"/>
      <w:r w:rsidRPr="005B54EE">
        <w:t xml:space="preserve"> </w:t>
      </w:r>
    </w:p>
    <w:p w14:paraId="457CB034" w14:textId="77777777" w:rsidR="00631ED2" w:rsidRPr="005B54EE" w:rsidRDefault="00631ED2" w:rsidP="00631ED2">
      <w:pPr>
        <w:spacing w:before="240" w:after="240"/>
      </w:pPr>
      <w:r w:rsidRPr="005B54EE">
        <w:t>The French Ministry of Europe and Foreign Affairs, represented by the French Embassy in Algeria, is co-financing support for Algerian authorities, including the National Agency for Climate Change (ANCC) and the French Ministry of the Environment. This support, which began in 2018, is carried out by CITEPA as a State Operator and concerns the institutionalisation of the national GHG inventory system, the training of Algerian experts in GHG inventory methods based on the 2006 IPCC guidelines, and their assistance in implementing emission calculations for all sectors over long time series. This work could be used in the exercises underway to develop the National Communication and the RBA, as well as in the revision of the NDC.</w:t>
      </w:r>
    </w:p>
    <w:p w14:paraId="5B80909B" w14:textId="77777777" w:rsidR="00631ED2" w:rsidRPr="005B54EE" w:rsidRDefault="00631ED2" w:rsidP="00B04A7C">
      <w:pPr>
        <w:pStyle w:val="Titre3Niveau3"/>
      </w:pPr>
      <w:bookmarkStart w:id="241" w:name="_Toc122694303"/>
      <w:bookmarkStart w:id="242" w:name="_Toc138344723"/>
      <w:bookmarkStart w:id="243" w:name="_Toc115454114"/>
      <w:bookmarkStart w:id="244" w:name="_Toc121390995"/>
      <w:r w:rsidRPr="005B54EE">
        <w:t>Software for MRV of air pollutant and GHG emissions: RISQ</w:t>
      </w:r>
      <w:bookmarkEnd w:id="241"/>
      <w:bookmarkEnd w:id="242"/>
      <w:r w:rsidRPr="005B54EE">
        <w:t xml:space="preserve"> </w:t>
      </w:r>
      <w:bookmarkEnd w:id="243"/>
      <w:bookmarkEnd w:id="244"/>
    </w:p>
    <w:p w14:paraId="6E3882B7" w14:textId="77777777" w:rsidR="00631ED2" w:rsidRPr="005B54EE" w:rsidRDefault="00631ED2" w:rsidP="00631ED2">
      <w:pPr>
        <w:spacing w:before="240" w:after="240"/>
      </w:pPr>
      <w:r w:rsidRPr="005B54EE">
        <w:t>Developed by CITEPA and customised for implementation in emerging and developing countries. This tool exists in three versions: Excel, Access and Web. It contributes to the transparency, accuracy, reliability, coverage and consistency of national inventories; to the sustainability of capacity-building actions in southern countries; and to the scalability of their measurement, reporting and verification (from nations to cities, from nations to their neighbours). RISQ has been or will be implemented in France, Morocco, Nigeria, Niger, Rwanda, Tunisia, Algeria and Monaco. (Developed with Citepa’s own funding)</w:t>
      </w:r>
    </w:p>
    <w:p w14:paraId="08FBA2B7" w14:textId="77777777" w:rsidR="00631ED2" w:rsidRPr="005B54EE" w:rsidRDefault="00631ED2" w:rsidP="00B04A7C">
      <w:pPr>
        <w:pStyle w:val="Titre3Niveau3"/>
      </w:pPr>
      <w:bookmarkStart w:id="245" w:name="_Toc115454115"/>
      <w:bookmarkStart w:id="246" w:name="_Toc121390996"/>
      <w:bookmarkStart w:id="247" w:name="_Toc122694304"/>
      <w:bookmarkStart w:id="248" w:name="_Toc138344724"/>
      <w:r w:rsidRPr="005B54EE">
        <w:t>The Franco-Chinese centre with CRAES</w:t>
      </w:r>
      <w:bookmarkEnd w:id="245"/>
      <w:bookmarkEnd w:id="246"/>
      <w:bookmarkEnd w:id="247"/>
      <w:bookmarkEnd w:id="248"/>
    </w:p>
    <w:p w14:paraId="389E0040" w14:textId="41CB4115" w:rsidR="00631ED2" w:rsidRPr="005B54EE" w:rsidRDefault="00631ED2" w:rsidP="00631ED2">
      <w:pPr>
        <w:spacing w:before="240" w:after="240"/>
      </w:pPr>
      <w:r w:rsidRPr="005B54EE">
        <w:t xml:space="preserve">CITEPA and its Chinese partner CRAES, which depends on the Chinese Ministry of Pollution Control, met for the first time in Beijing in 2014. On 1 August 2015, they signed a five-year framework agreement to integrate GHGs and pollutants in order to establish a synergy between urban air quality and the fight against climate change. This collaboration based on knowledge, quantification, reporting and projections of emissions in China aims at a progressive integration of air-climate-energy issues. A report was published in 2015 on the outcomes of this joint work, which led to the creation of the Franco-Chinese centre for pollutants, GHG emissions and their reduction. The centre promotes good practices in GHG emissions inventory, measurement, reporting and verification, in support of public policies. These actions were presented during a specific side-event at the 5th Franco-Chinese International Conference on Atmospheric Environment, which took place in Xi’an in October 2016. A workshop was also held in Paris in May 2017. In 2019, this partnership was completed by a visit by the NTSC, a division of the Chinese MEE, and head of the China NDC. In 2019-2020, the demonstration of an integrated approach to climate and air pollution reporting and policies and measures was carried out in two provinces (including Inner Mongolia). This pilot, involving two regional RISQ software packages, was submitted for funding to the Asian Development Bank (AsDB) in March 2019.  </w:t>
      </w:r>
    </w:p>
    <w:p w14:paraId="207C72D1" w14:textId="2B3A59C9" w:rsidR="00631ED2" w:rsidRPr="005B54EE" w:rsidRDefault="00631ED2" w:rsidP="00631ED2">
      <w:pPr>
        <w:spacing w:before="240" w:after="240"/>
      </w:pPr>
      <w:r w:rsidRPr="005B54EE">
        <w:t>A new presentation of the RISQ software, for application in different Asian countries, took place in the first half of 2020. This project is self-financed by CITEPA.</w:t>
      </w:r>
    </w:p>
    <w:p w14:paraId="614D6E0D" w14:textId="77777777" w:rsidR="00631ED2" w:rsidRPr="005B54EE" w:rsidRDefault="00631ED2" w:rsidP="00B04A7C">
      <w:pPr>
        <w:pStyle w:val="Titre3Niveau3"/>
      </w:pPr>
      <w:bookmarkStart w:id="249" w:name="_Toc115454116"/>
      <w:bookmarkStart w:id="250" w:name="_Toc121390997"/>
      <w:bookmarkStart w:id="251" w:name="_Toc122694305"/>
      <w:bookmarkStart w:id="252" w:name="_Toc138344725"/>
      <w:r w:rsidRPr="005B54EE">
        <w:t>ADEME’s role</w:t>
      </w:r>
      <w:bookmarkEnd w:id="249"/>
      <w:bookmarkEnd w:id="250"/>
      <w:bookmarkEnd w:id="251"/>
      <w:bookmarkEnd w:id="252"/>
    </w:p>
    <w:p w14:paraId="7283D66A" w14:textId="355EEBE2" w:rsidR="00631ED2" w:rsidRPr="005B54EE" w:rsidRDefault="00631ED2" w:rsidP="00631ED2">
      <w:pPr>
        <w:spacing w:before="240" w:after="240"/>
      </w:pPr>
      <w:r w:rsidRPr="005B54EE">
        <w:t>At the national level, ADEME supports the capacity building of local authorities as regards climate change. This expertise has been shared internationally in capacity-building programmes for local authorities in sub-Saharan Africa. In partnership with the European Commission, ADEME contributed to the work of the Covenant of Mayors for Sub-Saharan Africa (Com SSA). In partnership with the International Association of Francophone Mayors (AIMF), ADEME supports the Network of Local Elected Women of Africa (REFELA). Finally, ADEME supports the pan-African organisation United Cities and Local Governments of Africa (UCLG-Africa) and its African Local Government Academy (ALGA).</w:t>
      </w:r>
    </w:p>
    <w:p w14:paraId="46C59DB7" w14:textId="77777777" w:rsidR="00631ED2" w:rsidRPr="005B54EE" w:rsidRDefault="00631ED2" w:rsidP="00631ED2">
      <w:pPr>
        <w:spacing w:before="240" w:after="240"/>
      </w:pPr>
      <w:r w:rsidRPr="005B54EE">
        <w:t>ADEME also contributes to the multilateral initiative Mobilise Your City, which aims to increase the skills of local authorities in sustainable urban mobility.</w:t>
      </w:r>
    </w:p>
    <w:p w14:paraId="26403D0A" w14:textId="77777777" w:rsidR="00631ED2" w:rsidRPr="005B54EE" w:rsidRDefault="00631ED2" w:rsidP="00631ED2">
      <w:pPr>
        <w:spacing w:before="240" w:after="240"/>
      </w:pPr>
      <w:r w:rsidRPr="005B54EE">
        <w:t>In parallel to the 2017 and 2019 calls for projects on access to off-grid renewable energy, ADEME led a working group of French supply stakeholders with the Syndicat des Energies Renouvelables. This facilitation, from 2018 to 2022, has made it possible to develop a common vision for French stakeholders for energy access, to develop proposals to remove the barriers that these stakeholders face, and to promote French expertise internationally. Their proposals to accelerate universal access to sustainable off-grid energy services were proposed in a White Paper published in 2020.</w:t>
      </w:r>
    </w:p>
    <w:p w14:paraId="7CF7DB80" w14:textId="5EDE1D1A" w:rsidR="00401567" w:rsidRPr="005B54EE" w:rsidRDefault="00631ED2" w:rsidP="00631ED2">
      <w:pPr>
        <w:spacing w:before="240" w:after="240"/>
        <w:sectPr w:rsidR="00401567" w:rsidRPr="005B54EE" w:rsidSect="00896B85">
          <w:pgSz w:w="11906" w:h="16838"/>
          <w:pgMar w:top="1417" w:right="1417" w:bottom="1645" w:left="1417" w:header="0" w:footer="227" w:gutter="0"/>
          <w:cols w:space="720"/>
          <w:formProt w:val="0"/>
          <w:docGrid w:linePitch="360" w:charSpace="-6145"/>
        </w:sectPr>
      </w:pPr>
      <w:r w:rsidRPr="005B54EE">
        <w:t>Table CTF9 presents some capacity-building initiatives.</w:t>
      </w:r>
      <w:r w:rsidRPr="005B54EE">
        <w:rPr>
          <w:rFonts w:ascii="Times New Roman" w:hAnsi="Times New Roman"/>
        </w:rPr>
        <w:t xml:space="preserve"> </w:t>
      </w:r>
    </w:p>
    <w:p w14:paraId="4BACB709" w14:textId="5FAE9244" w:rsidR="00401567" w:rsidRPr="005B54EE" w:rsidRDefault="00C246BC" w:rsidP="00C246BC">
      <w:pPr>
        <w:pStyle w:val="Caption"/>
      </w:pPr>
      <w:bookmarkStart w:id="253" w:name="_Toc124153746"/>
      <w:r w:rsidRPr="005B54EE">
        <w:t xml:space="preserve">Table </w:t>
      </w:r>
      <w:r w:rsidR="00C73940">
        <w:fldChar w:fldCharType="begin"/>
      </w:r>
      <w:r w:rsidR="00C73940">
        <w:instrText xml:space="preserve"> SEQ Tableau \* ARABIC </w:instrText>
      </w:r>
      <w:r w:rsidR="00C73940">
        <w:fldChar w:fldCharType="separate"/>
      </w:r>
      <w:r w:rsidR="005B1C45">
        <w:rPr>
          <w:noProof/>
        </w:rPr>
        <w:t>32</w:t>
      </w:r>
      <w:r w:rsidR="00C73940">
        <w:rPr>
          <w:noProof/>
        </w:rPr>
        <w:fldChar w:fldCharType="end"/>
      </w:r>
      <w:r w:rsidRPr="005B54EE">
        <w:t>: Table CTF9 - Capacity building programmes and projects</w:t>
      </w:r>
      <w:bookmarkEnd w:id="253"/>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30" w:type="dxa"/>
          <w:bottom w:w="57" w:type="dxa"/>
          <w:right w:w="30" w:type="dxa"/>
        </w:tblCellMar>
        <w:tblLook w:val="0000" w:firstRow="0" w:lastRow="0" w:firstColumn="0" w:lastColumn="0" w:noHBand="0" w:noVBand="0"/>
      </w:tblPr>
      <w:tblGrid>
        <w:gridCol w:w="2080"/>
        <w:gridCol w:w="1762"/>
        <w:gridCol w:w="2249"/>
        <w:gridCol w:w="8646"/>
      </w:tblGrid>
      <w:tr w:rsidR="00401567" w:rsidRPr="005B54EE" w14:paraId="4DA71095" w14:textId="77777777" w:rsidTr="00896B85">
        <w:trPr>
          <w:cantSplit/>
          <w:trHeight w:val="20"/>
          <w:tblHeader/>
        </w:trPr>
        <w:tc>
          <w:tcPr>
            <w:tcW w:w="0" w:type="auto"/>
            <w:shd w:val="clear" w:color="auto" w:fill="EEECE1" w:themeFill="background2"/>
          </w:tcPr>
          <w:p w14:paraId="3BF69FB9" w14:textId="77777777" w:rsidR="00401567" w:rsidRPr="005B54EE" w:rsidRDefault="00401567" w:rsidP="00896B85">
            <w:pPr>
              <w:autoSpaceDE w:val="0"/>
              <w:autoSpaceDN w:val="0"/>
              <w:adjustRightInd w:val="0"/>
              <w:rPr>
                <w:rFonts w:ascii="Arial" w:eastAsiaTheme="minorHAnsi" w:hAnsi="Arial" w:cs="Arial"/>
                <w:b/>
                <w:bCs/>
                <w:sz w:val="20"/>
                <w:szCs w:val="20"/>
              </w:rPr>
            </w:pPr>
            <w:r w:rsidRPr="005B54EE">
              <w:rPr>
                <w:rFonts w:ascii="Arial" w:hAnsi="Arial"/>
                <w:b/>
                <w:sz w:val="20"/>
              </w:rPr>
              <w:t>Beneficiary Country / Region</w:t>
            </w:r>
          </w:p>
        </w:tc>
        <w:tc>
          <w:tcPr>
            <w:tcW w:w="0" w:type="auto"/>
            <w:shd w:val="clear" w:color="auto" w:fill="EEECE1" w:themeFill="background2"/>
          </w:tcPr>
          <w:p w14:paraId="7F5A52AC" w14:textId="77777777" w:rsidR="00401567" w:rsidRPr="005B54EE" w:rsidRDefault="00401567" w:rsidP="00896B85">
            <w:pPr>
              <w:autoSpaceDE w:val="0"/>
              <w:autoSpaceDN w:val="0"/>
              <w:adjustRightInd w:val="0"/>
              <w:rPr>
                <w:rFonts w:ascii="Arial" w:eastAsiaTheme="minorHAnsi" w:hAnsi="Arial" w:cs="Arial"/>
                <w:b/>
                <w:bCs/>
                <w:sz w:val="20"/>
                <w:szCs w:val="20"/>
              </w:rPr>
            </w:pPr>
            <w:r w:rsidRPr="005B54EE">
              <w:rPr>
                <w:rFonts w:ascii="Arial" w:hAnsi="Arial"/>
                <w:b/>
                <w:sz w:val="20"/>
              </w:rPr>
              <w:t>Field</w:t>
            </w:r>
          </w:p>
        </w:tc>
        <w:tc>
          <w:tcPr>
            <w:tcW w:w="2249" w:type="dxa"/>
            <w:shd w:val="clear" w:color="auto" w:fill="EEECE1" w:themeFill="background2"/>
          </w:tcPr>
          <w:p w14:paraId="472281DA" w14:textId="77777777" w:rsidR="00401567" w:rsidRPr="005B54EE" w:rsidRDefault="00401567" w:rsidP="00896B85">
            <w:pPr>
              <w:autoSpaceDE w:val="0"/>
              <w:autoSpaceDN w:val="0"/>
              <w:adjustRightInd w:val="0"/>
              <w:rPr>
                <w:rFonts w:ascii="Arial" w:eastAsiaTheme="minorHAnsi" w:hAnsi="Arial" w:cs="Arial"/>
                <w:b/>
                <w:bCs/>
                <w:sz w:val="20"/>
                <w:szCs w:val="20"/>
              </w:rPr>
            </w:pPr>
            <w:r w:rsidRPr="005B54EE">
              <w:rPr>
                <w:rFonts w:ascii="Arial" w:hAnsi="Arial"/>
                <w:b/>
                <w:sz w:val="20"/>
              </w:rPr>
              <w:t>Programme or project title</w:t>
            </w:r>
          </w:p>
        </w:tc>
        <w:tc>
          <w:tcPr>
            <w:tcW w:w="8646" w:type="dxa"/>
            <w:shd w:val="clear" w:color="auto" w:fill="EEECE1" w:themeFill="background2"/>
          </w:tcPr>
          <w:p w14:paraId="11DC5B4B" w14:textId="77777777" w:rsidR="00401567" w:rsidRPr="005B54EE" w:rsidRDefault="00401567" w:rsidP="00896B85">
            <w:pPr>
              <w:autoSpaceDE w:val="0"/>
              <w:autoSpaceDN w:val="0"/>
              <w:adjustRightInd w:val="0"/>
              <w:rPr>
                <w:rFonts w:ascii="Arial" w:eastAsiaTheme="minorHAnsi" w:hAnsi="Arial" w:cs="Arial"/>
                <w:b/>
                <w:bCs/>
                <w:sz w:val="20"/>
                <w:szCs w:val="20"/>
              </w:rPr>
            </w:pPr>
            <w:r w:rsidRPr="005B54EE">
              <w:rPr>
                <w:rFonts w:ascii="Arial" w:hAnsi="Arial"/>
                <w:b/>
                <w:sz w:val="20"/>
              </w:rPr>
              <w:t>Programme or project description</w:t>
            </w:r>
          </w:p>
        </w:tc>
      </w:tr>
      <w:tr w:rsidR="00401567" w:rsidRPr="005B54EE" w14:paraId="4F643D18" w14:textId="77777777" w:rsidTr="00896B85">
        <w:trPr>
          <w:cantSplit/>
          <w:trHeight w:val="20"/>
        </w:trPr>
        <w:tc>
          <w:tcPr>
            <w:tcW w:w="0" w:type="auto"/>
          </w:tcPr>
          <w:p w14:paraId="1D33F0C8"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Africa</w:t>
            </w:r>
          </w:p>
        </w:tc>
        <w:tc>
          <w:tcPr>
            <w:tcW w:w="0" w:type="auto"/>
          </w:tcPr>
          <w:p w14:paraId="6CA8FB86"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Multiple Areas</w:t>
            </w:r>
          </w:p>
        </w:tc>
        <w:tc>
          <w:tcPr>
            <w:tcW w:w="2249" w:type="dxa"/>
          </w:tcPr>
          <w:p w14:paraId="29C63FD6"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AMMA-CATCH</w:t>
            </w:r>
          </w:p>
        </w:tc>
        <w:tc>
          <w:tcPr>
            <w:tcW w:w="8646" w:type="dxa"/>
          </w:tcPr>
          <w:p w14:paraId="358BCDD5"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 xml:space="preserve">Concerning the GCOS (Global Climate Observing System) in Africa, the AMMA-CATCH programme is an observation system for long-term monitoring of monsoon impacts in West Africa. It was initiated by the MESR (French Ministry of Higher Education and Research) and is supported by the IRD (French Public Research Institution) and the INSU (French National Institute for Earth Sciences and Astronomy).  http://www.amma-catch.org/ </w:t>
            </w:r>
          </w:p>
        </w:tc>
      </w:tr>
      <w:tr w:rsidR="00401567" w:rsidRPr="005B54EE" w14:paraId="3EECC341" w14:textId="77777777" w:rsidTr="00896B85">
        <w:trPr>
          <w:cantSplit/>
          <w:trHeight w:val="20"/>
        </w:trPr>
        <w:tc>
          <w:tcPr>
            <w:tcW w:w="0" w:type="auto"/>
          </w:tcPr>
          <w:p w14:paraId="53889DF4"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Mediterranean basin</w:t>
            </w:r>
          </w:p>
        </w:tc>
        <w:tc>
          <w:tcPr>
            <w:tcW w:w="0" w:type="auto"/>
          </w:tcPr>
          <w:p w14:paraId="3B208A7C"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Multiple Areas</w:t>
            </w:r>
          </w:p>
        </w:tc>
        <w:tc>
          <w:tcPr>
            <w:tcW w:w="2249" w:type="dxa"/>
          </w:tcPr>
          <w:p w14:paraId="6A6D7FA6"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MISTRALS</w:t>
            </w:r>
          </w:p>
        </w:tc>
        <w:tc>
          <w:tcPr>
            <w:tcW w:w="8646" w:type="dxa"/>
          </w:tcPr>
          <w:p w14:paraId="05C703E3"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Launched in 2008 and scheduled to run until 2020, MISTRALS is an international meta-programme of fundamental research and interdisciplinary and systematic observations dedicated to understanding the functioning and evolution of the environment in the Mediterranean basin under the pressures of anthropogenic global change, in order to predict its future evolution. Beyond its academic vocation, MISTRALS also aims to transform research objectives and results into concepts and data accessible to decision-makers, territorial stakeholders and managers, in order to identify national and transnational needs and requirements and to respond to societal, environmental and economic issues for the sustainable development of countries and populations sharing the Mediterranean area.</w:t>
            </w:r>
            <w:r w:rsidRPr="005B54EE">
              <w:rPr>
                <w:rFonts w:ascii="Arial" w:hAnsi="Arial"/>
                <w:sz w:val="20"/>
              </w:rPr>
              <w:br/>
              <w:t>http://www.mistrals-home.org/spip/spip.php?rubrique39</w:t>
            </w:r>
          </w:p>
        </w:tc>
      </w:tr>
      <w:tr w:rsidR="00401567" w:rsidRPr="005B54EE" w14:paraId="410DC0CA" w14:textId="77777777" w:rsidTr="00896B85">
        <w:trPr>
          <w:cantSplit/>
          <w:trHeight w:val="20"/>
        </w:trPr>
        <w:tc>
          <w:tcPr>
            <w:tcW w:w="0" w:type="auto"/>
          </w:tcPr>
          <w:p w14:paraId="1C0B5966"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Africa</w:t>
            </w:r>
          </w:p>
        </w:tc>
        <w:tc>
          <w:tcPr>
            <w:tcW w:w="0" w:type="auto"/>
          </w:tcPr>
          <w:p w14:paraId="7A716E26"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Adaptation</w:t>
            </w:r>
          </w:p>
        </w:tc>
        <w:tc>
          <w:tcPr>
            <w:tcW w:w="2249" w:type="dxa"/>
          </w:tcPr>
          <w:p w14:paraId="6C9BAEAC"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Climate Services</w:t>
            </w:r>
          </w:p>
        </w:tc>
        <w:tc>
          <w:tcPr>
            <w:tcW w:w="8646" w:type="dxa"/>
          </w:tcPr>
          <w:p w14:paraId="2B88FAE4"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Demonstrator 2 under the Climate Services agreement signed in 2017 between MTES and the climate laboratories: IPSL/LSCE; CNRM; CECI.</w:t>
            </w:r>
            <w:r w:rsidRPr="005B54EE">
              <w:rPr>
                <w:rFonts w:ascii="Arial" w:hAnsi="Arial"/>
                <w:sz w:val="20"/>
              </w:rPr>
              <w:br/>
              <w:t>This is a climate service demonstrator for agriculture in West Africa.</w:t>
            </w:r>
          </w:p>
        </w:tc>
      </w:tr>
      <w:tr w:rsidR="00401567" w:rsidRPr="005B54EE" w14:paraId="7F66F4A1" w14:textId="77777777" w:rsidTr="00896B85">
        <w:trPr>
          <w:cantSplit/>
          <w:trHeight w:val="20"/>
        </w:trPr>
        <w:tc>
          <w:tcPr>
            <w:tcW w:w="0" w:type="auto"/>
          </w:tcPr>
          <w:p w14:paraId="47A9D58E"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Africa, SIDS</w:t>
            </w:r>
          </w:p>
        </w:tc>
        <w:tc>
          <w:tcPr>
            <w:tcW w:w="0" w:type="auto"/>
          </w:tcPr>
          <w:p w14:paraId="59729010"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 Adaptation</w:t>
            </w:r>
          </w:p>
        </w:tc>
        <w:tc>
          <w:tcPr>
            <w:tcW w:w="2249" w:type="dxa"/>
          </w:tcPr>
          <w:p w14:paraId="1B0D89BC"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French INDC preparation facility</w:t>
            </w:r>
          </w:p>
        </w:tc>
        <w:tc>
          <w:tcPr>
            <w:tcW w:w="8646" w:type="dxa"/>
          </w:tcPr>
          <w:p w14:paraId="7169B58E"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Preparation of the INDCs of some thirty countries</w:t>
            </w:r>
          </w:p>
        </w:tc>
      </w:tr>
      <w:tr w:rsidR="00401567" w:rsidRPr="005B54EE" w14:paraId="3A992132" w14:textId="77777777" w:rsidTr="00896B85">
        <w:trPr>
          <w:cantSplit/>
          <w:trHeight w:val="20"/>
        </w:trPr>
        <w:tc>
          <w:tcPr>
            <w:tcW w:w="0" w:type="auto"/>
          </w:tcPr>
          <w:p w14:paraId="2BC3C1FF"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Africa</w:t>
            </w:r>
          </w:p>
        </w:tc>
        <w:tc>
          <w:tcPr>
            <w:tcW w:w="0" w:type="auto"/>
          </w:tcPr>
          <w:p w14:paraId="0FF610B5"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w:t>
            </w:r>
          </w:p>
        </w:tc>
        <w:tc>
          <w:tcPr>
            <w:tcW w:w="2249" w:type="dxa"/>
          </w:tcPr>
          <w:p w14:paraId="6DEBA4A7"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Francophone cluster</w:t>
            </w:r>
          </w:p>
        </w:tc>
        <w:tc>
          <w:tcPr>
            <w:tcW w:w="8646" w:type="dxa"/>
          </w:tcPr>
          <w:p w14:paraId="04187DA7"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Training on GHG inventories and mitigation measures</w:t>
            </w:r>
          </w:p>
        </w:tc>
      </w:tr>
      <w:tr w:rsidR="00401567" w:rsidRPr="005B54EE" w14:paraId="00B3DEC5" w14:textId="77777777" w:rsidTr="00896B85">
        <w:trPr>
          <w:cantSplit/>
          <w:trHeight w:val="20"/>
        </w:trPr>
        <w:tc>
          <w:tcPr>
            <w:tcW w:w="0" w:type="auto"/>
          </w:tcPr>
          <w:p w14:paraId="1F9B577A"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Africa (Ethiopia, Zambia)</w:t>
            </w:r>
          </w:p>
        </w:tc>
        <w:tc>
          <w:tcPr>
            <w:tcW w:w="0" w:type="auto"/>
          </w:tcPr>
          <w:p w14:paraId="2577B4C5"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w:t>
            </w:r>
          </w:p>
        </w:tc>
        <w:tc>
          <w:tcPr>
            <w:tcW w:w="2249" w:type="dxa"/>
          </w:tcPr>
          <w:p w14:paraId="7C5EAE0C"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AFD</w:t>
            </w:r>
          </w:p>
        </w:tc>
        <w:tc>
          <w:tcPr>
            <w:tcW w:w="8646" w:type="dxa"/>
          </w:tcPr>
          <w:p w14:paraId="5748034F"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Gap analysis of the MRV system in terms of GHG inventories and emission mitigation</w:t>
            </w:r>
          </w:p>
        </w:tc>
      </w:tr>
      <w:tr w:rsidR="00401567" w:rsidRPr="005B54EE" w14:paraId="7F2D1B09" w14:textId="77777777" w:rsidTr="00896B85">
        <w:trPr>
          <w:cantSplit/>
          <w:trHeight w:val="20"/>
        </w:trPr>
        <w:tc>
          <w:tcPr>
            <w:tcW w:w="0" w:type="auto"/>
          </w:tcPr>
          <w:p w14:paraId="0F75E2B8"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Africa (Comoros)</w:t>
            </w:r>
          </w:p>
        </w:tc>
        <w:tc>
          <w:tcPr>
            <w:tcW w:w="0" w:type="auto"/>
          </w:tcPr>
          <w:p w14:paraId="38875455"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 (capacity building)</w:t>
            </w:r>
          </w:p>
        </w:tc>
        <w:tc>
          <w:tcPr>
            <w:tcW w:w="2249" w:type="dxa"/>
          </w:tcPr>
          <w:p w14:paraId="3ABB1BA8"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Adapt'Action</w:t>
            </w:r>
          </w:p>
        </w:tc>
        <w:tc>
          <w:tcPr>
            <w:tcW w:w="8646" w:type="dxa"/>
          </w:tcPr>
          <w:p w14:paraId="3720C4DD"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Strengthening an NDC</w:t>
            </w:r>
          </w:p>
        </w:tc>
      </w:tr>
      <w:tr w:rsidR="00401567" w:rsidRPr="005B54EE" w14:paraId="71922494" w14:textId="77777777" w:rsidTr="00896B85">
        <w:trPr>
          <w:cantSplit/>
          <w:trHeight w:val="20"/>
        </w:trPr>
        <w:tc>
          <w:tcPr>
            <w:tcW w:w="0" w:type="auto"/>
          </w:tcPr>
          <w:p w14:paraId="007336CA"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Global</w:t>
            </w:r>
          </w:p>
        </w:tc>
        <w:tc>
          <w:tcPr>
            <w:tcW w:w="0" w:type="auto"/>
          </w:tcPr>
          <w:p w14:paraId="5F098313"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 (MRV, transparency)</w:t>
            </w:r>
          </w:p>
        </w:tc>
        <w:tc>
          <w:tcPr>
            <w:tcW w:w="2249" w:type="dxa"/>
          </w:tcPr>
          <w:p w14:paraId="0AF669BE"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RISQ</w:t>
            </w:r>
          </w:p>
        </w:tc>
        <w:tc>
          <w:tcPr>
            <w:tcW w:w="8646" w:type="dxa"/>
          </w:tcPr>
          <w:p w14:paraId="2A4343F0"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Developed by CITEPA and customised for implementation in emerging and developing countries, this tool exists in three versions: Excel, Access and Web. It contributes to the transparency, accuracy, reliability, coverage and coherence of national inventories; to the sustainability of capacity building actions in southern countries; and to the scalability of their measurement, reporting and verification (from nations to cities, from nations to their neighbours). RISQ has been or will be implemented in France, Morocco, Nigeria, Niger, Rwanda, Tunisia, Algeria and Monaco. (Developed with CITEPA's own funding)</w:t>
            </w:r>
          </w:p>
        </w:tc>
      </w:tr>
      <w:tr w:rsidR="00401567" w:rsidRPr="005B54EE" w14:paraId="507221DD" w14:textId="77777777" w:rsidTr="00896B85">
        <w:trPr>
          <w:cantSplit/>
          <w:trHeight w:val="20"/>
        </w:trPr>
        <w:tc>
          <w:tcPr>
            <w:tcW w:w="0" w:type="auto"/>
          </w:tcPr>
          <w:p w14:paraId="0E922C2B"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China</w:t>
            </w:r>
          </w:p>
        </w:tc>
        <w:tc>
          <w:tcPr>
            <w:tcW w:w="0" w:type="auto"/>
          </w:tcPr>
          <w:p w14:paraId="18B51E67"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 (with air pollution co-benefits)</w:t>
            </w:r>
          </w:p>
        </w:tc>
        <w:tc>
          <w:tcPr>
            <w:tcW w:w="2249" w:type="dxa"/>
          </w:tcPr>
          <w:p w14:paraId="775C1268"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Franco-Chinese Centre</w:t>
            </w:r>
          </w:p>
        </w:tc>
        <w:tc>
          <w:tcPr>
            <w:tcW w:w="8646" w:type="dxa"/>
          </w:tcPr>
          <w:p w14:paraId="223B1A71"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Creation of a Franco-Chinese Centre dedicated to the integration of GHG and atmospheric pollutant emission inventory systems, by combining French (CITEPA) and Chinese (Chinese Academy of Environmental Sciences Research in Beijing - CRAES) expertise, following contacts in 2014. The centre promotes good practices in GHG emissions inventory, measurement, reporting and verification, in support of public policies. These actions were presented during a specific side-event at the 5th Franco-Chinese International Conference on Atmospheric Environment, which took place in Xi’an in October 2016. A workshop was also held in Paris in May 2017.</w:t>
            </w:r>
          </w:p>
        </w:tc>
      </w:tr>
      <w:tr w:rsidR="00401567" w:rsidRPr="005B54EE" w14:paraId="2FE89F55" w14:textId="77777777" w:rsidTr="00896B85">
        <w:trPr>
          <w:cantSplit/>
          <w:trHeight w:val="20"/>
        </w:trPr>
        <w:tc>
          <w:tcPr>
            <w:tcW w:w="0" w:type="auto"/>
          </w:tcPr>
          <w:p w14:paraId="4589F9B2"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Southern Europe, Mediterranean basin, Europe, Vietnam</w:t>
            </w:r>
          </w:p>
        </w:tc>
        <w:tc>
          <w:tcPr>
            <w:tcW w:w="0" w:type="auto"/>
          </w:tcPr>
          <w:p w14:paraId="593CF668"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Adaptation</w:t>
            </w:r>
          </w:p>
        </w:tc>
        <w:tc>
          <w:tcPr>
            <w:tcW w:w="2249" w:type="dxa"/>
          </w:tcPr>
          <w:p w14:paraId="12C5DE55"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Bilateral and multilateral cooperations</w:t>
            </w:r>
          </w:p>
        </w:tc>
        <w:tc>
          <w:tcPr>
            <w:tcW w:w="8646" w:type="dxa"/>
          </w:tcPr>
          <w:p w14:paraId="4BEF2198"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The ONERC (French National Observatory on the Effects of Global Warming) has participated in various activities:</w:t>
            </w:r>
            <w:r w:rsidRPr="005B54EE">
              <w:rPr>
                <w:rFonts w:ascii="Arial" w:hAnsi="Arial"/>
                <w:sz w:val="20"/>
              </w:rPr>
              <w:br/>
              <w:t>- working group 6 set up by the European Commission to monitor work on adaptation to climate change and which is currently working on the revision of the EU strategy on adaptation to climate change;</w:t>
            </w:r>
            <w:r w:rsidRPr="005B54EE">
              <w:rPr>
                <w:rFonts w:ascii="Arial" w:hAnsi="Arial"/>
                <w:sz w:val="20"/>
              </w:rPr>
              <w:cr/>
            </w:r>
            <w:r w:rsidRPr="005B54EE">
              <w:rPr>
                <w:rFonts w:ascii="Arial" w:hAnsi="Arial"/>
                <w:sz w:val="20"/>
              </w:rPr>
              <w:br/>
              <w:t>- as part of the work of the European Environment Agency:</w:t>
            </w:r>
            <w:r w:rsidRPr="005B54EE">
              <w:rPr>
                <w:rFonts w:ascii="Arial" w:hAnsi="Arial"/>
                <w:sz w:val="20"/>
              </w:rPr>
              <w:br/>
              <w:t>- assessment and updating of the Climate-Adapt platform as part of the revision of the EU strategy</w:t>
            </w:r>
            <w:r w:rsidRPr="005B54EE">
              <w:rPr>
                <w:rFonts w:ascii="Arial" w:hAnsi="Arial"/>
                <w:sz w:val="20"/>
              </w:rPr>
              <w:cr/>
            </w:r>
            <w:r w:rsidRPr="005B54EE">
              <w:rPr>
                <w:rFonts w:ascii="Arial" w:hAnsi="Arial"/>
                <w:sz w:val="20"/>
              </w:rPr>
              <w:br/>
              <w:t>- Participation in reviewing the European Environment Agency’s topic-based reports</w:t>
            </w:r>
            <w:r w:rsidRPr="005B54EE">
              <w:rPr>
                <w:rFonts w:ascii="Arial" w:hAnsi="Arial"/>
                <w:sz w:val="20"/>
              </w:rPr>
              <w:cr/>
            </w:r>
            <w:r w:rsidRPr="005B54EE">
              <w:rPr>
                <w:rFonts w:ascii="Arial" w:hAnsi="Arial"/>
                <w:sz w:val="20"/>
              </w:rPr>
              <w:br/>
              <w:t>- Multilateral meeting of European countries to share experiences on the assessment of public adaptation policies;</w:t>
            </w:r>
            <w:r w:rsidRPr="005B54EE">
              <w:rPr>
                <w:rFonts w:ascii="Arial" w:hAnsi="Arial"/>
                <w:sz w:val="20"/>
              </w:rPr>
              <w:cr/>
            </w:r>
            <w:r w:rsidRPr="005B54EE">
              <w:rPr>
                <w:rFonts w:ascii="Arial" w:hAnsi="Arial"/>
                <w:sz w:val="20"/>
              </w:rPr>
              <w:br/>
              <w:t>- Hosting delegations from foreign countries, in particular members of the National Observatory on Climate Change of Cameroon (ONACC)</w:t>
            </w:r>
            <w:r w:rsidRPr="005B54EE">
              <w:rPr>
                <w:rFonts w:ascii="Arial" w:hAnsi="Arial"/>
                <w:sz w:val="20"/>
              </w:rPr>
              <w:cr/>
            </w:r>
            <w:r w:rsidRPr="005B54EE">
              <w:rPr>
                <w:rFonts w:ascii="Arial" w:hAnsi="Arial"/>
                <w:sz w:val="20"/>
              </w:rPr>
              <w:br/>
              <w:t>Multilateral dialogue with the countries bordering the Alpine region in the framework of the Alpine Convention (Climate Advisory Council);</w:t>
            </w:r>
            <w:r w:rsidRPr="005B54EE">
              <w:rPr>
                <w:rFonts w:ascii="Arial" w:hAnsi="Arial"/>
                <w:sz w:val="20"/>
              </w:rPr>
              <w:cr/>
            </w:r>
            <w:r w:rsidRPr="005B54EE">
              <w:rPr>
                <w:rFonts w:ascii="Arial" w:hAnsi="Arial"/>
                <w:sz w:val="20"/>
              </w:rPr>
              <w:br/>
              <w:t>Météo-France and the ministries concerned participate in the work of setting up the global framework for climate services within the framework of the WMO, and the agreement signed in 2017 with the MTES.</w:t>
            </w:r>
          </w:p>
        </w:tc>
      </w:tr>
      <w:tr w:rsidR="00401567" w:rsidRPr="005B54EE" w14:paraId="17C5BE4E" w14:textId="77777777" w:rsidTr="00896B85">
        <w:trPr>
          <w:cantSplit/>
          <w:trHeight w:val="20"/>
        </w:trPr>
        <w:tc>
          <w:tcPr>
            <w:tcW w:w="0" w:type="auto"/>
          </w:tcPr>
          <w:p w14:paraId="0A3554ED"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Multi-country</w:t>
            </w:r>
          </w:p>
        </w:tc>
        <w:tc>
          <w:tcPr>
            <w:tcW w:w="0" w:type="auto"/>
          </w:tcPr>
          <w:p w14:paraId="3B07C1CB"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w:t>
            </w:r>
          </w:p>
        </w:tc>
        <w:tc>
          <w:tcPr>
            <w:tcW w:w="2249" w:type="dxa"/>
          </w:tcPr>
          <w:p w14:paraId="33A25D57"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Mobilise Your City</w:t>
            </w:r>
          </w:p>
        </w:tc>
        <w:tc>
          <w:tcPr>
            <w:tcW w:w="8646" w:type="dxa"/>
          </w:tcPr>
          <w:p w14:paraId="76E3AF37"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 xml:space="preserve">Launched at COP 21, MobiliseYourCity is a Franco-German Global Climate Action Agenda initiative implemented by GIZ, AFD, CEREMA, CODATU and ADEME, with support from the FGEF. It aims to roll out sustainable urban mobility plans in 100 cities in 20 developing countries. It takes the form of a partnership programme in which: (i) cities and governments commit to developing sustainable urban mobility plans (SUMPs) and national urban mobility policies (NUMPs) to improve mobility and reduce GHG emissions; and (ii) actions are financed to support them in this objective, to provide them with a robust methodological framework, and to facilitate exchange between peers. </w:t>
            </w:r>
          </w:p>
        </w:tc>
      </w:tr>
      <w:tr w:rsidR="00401567" w:rsidRPr="005B54EE" w14:paraId="0408FC56" w14:textId="77777777" w:rsidTr="00896B85">
        <w:trPr>
          <w:cantSplit/>
          <w:trHeight w:val="20"/>
        </w:trPr>
        <w:tc>
          <w:tcPr>
            <w:tcW w:w="0" w:type="auto"/>
          </w:tcPr>
          <w:p w14:paraId="18226A6A"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Mediterranean, Asia, Sub-Saharan Africa, Latin America</w:t>
            </w:r>
          </w:p>
        </w:tc>
        <w:tc>
          <w:tcPr>
            <w:tcW w:w="0" w:type="auto"/>
          </w:tcPr>
          <w:p w14:paraId="7B592132"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Mitigation</w:t>
            </w:r>
          </w:p>
        </w:tc>
        <w:tc>
          <w:tcPr>
            <w:tcW w:w="2249" w:type="dxa"/>
          </w:tcPr>
          <w:p w14:paraId="255B8050"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PEEB - Programme for Energy Efficiency in Buildings</w:t>
            </w:r>
          </w:p>
        </w:tc>
        <w:tc>
          <w:tcPr>
            <w:tcW w:w="8646" w:type="dxa"/>
          </w:tcPr>
          <w:p w14:paraId="42564E5C" w14:textId="0EB3A742" w:rsidR="00401567" w:rsidRPr="005B54EE" w:rsidRDefault="00401567" w:rsidP="00F25018">
            <w:pPr>
              <w:autoSpaceDE w:val="0"/>
              <w:autoSpaceDN w:val="0"/>
              <w:adjustRightInd w:val="0"/>
              <w:rPr>
                <w:rFonts w:ascii="Arial" w:eastAsiaTheme="minorHAnsi" w:hAnsi="Arial" w:cs="Arial"/>
                <w:sz w:val="20"/>
                <w:szCs w:val="20"/>
              </w:rPr>
            </w:pPr>
            <w:r w:rsidRPr="005B54EE">
              <w:rPr>
                <w:rFonts w:ascii="Arial" w:hAnsi="Arial"/>
                <w:sz w:val="20"/>
              </w:rPr>
              <w:t>Launched at COP 22, the Programme for Energy Efficiency of Buildings contributes to the Global Alliance for Buildings and Construction (GABC) and is implemented by GIZ, AFD and ADEME, with the support of the FGEF (French Global Environment Facility). The aim of this programme is to stimulate and finance projects to improve the energy performance of buildings in developing countries. Five pilot countries were targeted in the initial phase of the PEEB project: Mexico, Morocco, Tunisia, Senegal and Vietnam. Priority is given to new buildings, as the majority of buildings in developing countries that will exist in 2035 have yet to be built. The programme consists of setting up a technical cooperation facility for the emergence at international level of innovative financing solutions, support for national public policies and assistance in structuring and accompanying projects. This facility thus aims to promote and support the financing by international and local financial institutions of investments in energy efficient buildings.</w:t>
            </w:r>
          </w:p>
        </w:tc>
      </w:tr>
      <w:tr w:rsidR="00401567" w:rsidRPr="005B54EE" w14:paraId="37A2A332" w14:textId="77777777" w:rsidTr="00896B85">
        <w:trPr>
          <w:cantSplit/>
          <w:trHeight w:val="20"/>
        </w:trPr>
        <w:tc>
          <w:tcPr>
            <w:tcW w:w="0" w:type="auto"/>
          </w:tcPr>
          <w:p w14:paraId="67C52BB5"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Latin America and the Caribbean</w:t>
            </w:r>
            <w:r w:rsidRPr="005B54EE">
              <w:rPr>
                <w:rFonts w:ascii="Arial" w:hAnsi="Arial"/>
                <w:sz w:val="20"/>
              </w:rPr>
              <w:br/>
            </w:r>
            <w:r w:rsidRPr="005B54EE">
              <w:rPr>
                <w:rFonts w:ascii="Arial" w:hAnsi="Arial"/>
                <w:sz w:val="20"/>
              </w:rPr>
              <w:br/>
              <w:t>Morocco, Algeria, Tunisia, Lebanon</w:t>
            </w:r>
          </w:p>
        </w:tc>
        <w:tc>
          <w:tcPr>
            <w:tcW w:w="0" w:type="auto"/>
          </w:tcPr>
          <w:p w14:paraId="122AAF00" w14:textId="77777777" w:rsidR="00401567" w:rsidRPr="005B54EE" w:rsidRDefault="00401567" w:rsidP="00896B85">
            <w:pPr>
              <w:autoSpaceDE w:val="0"/>
              <w:autoSpaceDN w:val="0"/>
              <w:adjustRightInd w:val="0"/>
              <w:rPr>
                <w:rFonts w:ascii="Arial" w:eastAsiaTheme="minorHAnsi" w:hAnsi="Arial" w:cs="Arial"/>
                <w:sz w:val="20"/>
                <w:szCs w:val="20"/>
                <w:lang w:eastAsia="en-US"/>
              </w:rPr>
            </w:pPr>
          </w:p>
        </w:tc>
        <w:tc>
          <w:tcPr>
            <w:tcW w:w="2249" w:type="dxa"/>
          </w:tcPr>
          <w:p w14:paraId="0A884A3A"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Support for the implementation of an energy efficiency monitoring system (energy efficiency indicators and evaluation of energy efficiency policies)</w:t>
            </w:r>
          </w:p>
        </w:tc>
        <w:tc>
          <w:tcPr>
            <w:tcW w:w="8646" w:type="dxa"/>
          </w:tcPr>
          <w:p w14:paraId="29944187"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Following on from the European Odyssee Mure project, which has been running for more than 20 years and which has enabled the development and implementation in the European Union of a methodology for evaluating energy savings based on energy efficiency indicators, ADEME is supporting the implementation of this methodology:</w:t>
            </w:r>
            <w:r w:rsidRPr="005B54EE">
              <w:rPr>
                <w:rFonts w:ascii="Arial" w:hAnsi="Arial"/>
                <w:sz w:val="20"/>
              </w:rPr>
              <w:br/>
              <w:t>In Morocco, Algeria, Tunisia and Lebanon from 2012 to 2014 within the framework of MEDENER (Mediterranean Association of National Agencies for Energy Management);</w:t>
            </w:r>
            <w:r w:rsidRPr="005B54EE">
              <w:rPr>
                <w:rFonts w:ascii="Arial" w:hAnsi="Arial"/>
                <w:sz w:val="20"/>
              </w:rPr>
              <w:cr/>
            </w:r>
            <w:r w:rsidRPr="005B54EE">
              <w:rPr>
                <w:rFonts w:ascii="Arial" w:hAnsi="Arial"/>
                <w:sz w:val="20"/>
              </w:rPr>
              <w:br/>
              <w:t>Since 2014 in some twenty Latin American and Caribbean countries with CEPAL-UN (United Nations Economic Commission for Latin America and the Caribbean) as part of the IPEEC (International Partnership for Energy Efficiency Cooperation);</w:t>
            </w:r>
            <w:r w:rsidRPr="005B54EE">
              <w:rPr>
                <w:rFonts w:ascii="Arial" w:hAnsi="Arial"/>
                <w:sz w:val="20"/>
              </w:rPr>
              <w:cr/>
            </w:r>
            <w:r w:rsidRPr="005B54EE">
              <w:rPr>
                <w:rFonts w:ascii="Arial" w:hAnsi="Arial"/>
                <w:sz w:val="20"/>
              </w:rPr>
              <w:br/>
              <w:t>Since 2016, more detailed work has been carried out with Mexico in partnership with the CONUEE (Comisión Nacional para el Uso Eficiente de la Energía) supported by the AFD.</w:t>
            </w:r>
          </w:p>
        </w:tc>
      </w:tr>
      <w:tr w:rsidR="00401567" w:rsidRPr="005B54EE" w14:paraId="2333CB76" w14:textId="77777777" w:rsidTr="00896B85">
        <w:trPr>
          <w:cantSplit/>
          <w:trHeight w:val="20"/>
        </w:trPr>
        <w:tc>
          <w:tcPr>
            <w:tcW w:w="0" w:type="auto"/>
          </w:tcPr>
          <w:p w14:paraId="755B961E"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Morocco</w:t>
            </w:r>
          </w:p>
        </w:tc>
        <w:tc>
          <w:tcPr>
            <w:tcW w:w="0" w:type="auto"/>
          </w:tcPr>
          <w:p w14:paraId="559AFEC0"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Support for strengthening the energy sector</w:t>
            </w:r>
          </w:p>
        </w:tc>
        <w:tc>
          <w:tcPr>
            <w:tcW w:w="2249" w:type="dxa"/>
          </w:tcPr>
          <w:p w14:paraId="362BDD59"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Twinning between MTES and MEMDD</w:t>
            </w:r>
          </w:p>
        </w:tc>
        <w:tc>
          <w:tcPr>
            <w:tcW w:w="8646" w:type="dxa"/>
          </w:tcPr>
          <w:p w14:paraId="4BD771C1"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 xml:space="preserve">France (MTES) has been selected, together with Germany (BMWi) as a partner to implement an EU-funded twinning with Morocco entitled ‘Support for strengthening the energy sector’ (2017-2019). </w:t>
            </w:r>
            <w:r w:rsidRPr="005B54EE">
              <w:rPr>
                <w:rFonts w:ascii="Arial" w:hAnsi="Arial"/>
                <w:sz w:val="20"/>
              </w:rPr>
              <w:br/>
              <w:t>The overall aim of the project is to facilitate the achievement of the objectives of the national energy strategy (security of energy supply and availability, widespread access to energy, demand management and environmental preservation).</w:t>
            </w:r>
          </w:p>
        </w:tc>
      </w:tr>
      <w:tr w:rsidR="00401567" w:rsidRPr="005B54EE" w14:paraId="11274E41" w14:textId="77777777" w:rsidTr="00896B85">
        <w:trPr>
          <w:cantSplit/>
          <w:trHeight w:val="20"/>
        </w:trPr>
        <w:tc>
          <w:tcPr>
            <w:tcW w:w="0" w:type="auto"/>
          </w:tcPr>
          <w:p w14:paraId="1511393F"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Africa</w:t>
            </w:r>
          </w:p>
        </w:tc>
        <w:tc>
          <w:tcPr>
            <w:tcW w:w="0" w:type="auto"/>
          </w:tcPr>
          <w:p w14:paraId="50CDF563"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Cities, Mitigation and adaptation</w:t>
            </w:r>
          </w:p>
        </w:tc>
        <w:tc>
          <w:tcPr>
            <w:tcW w:w="2249" w:type="dxa"/>
          </w:tcPr>
          <w:p w14:paraId="084BA618"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CICLIA</w:t>
            </w:r>
          </w:p>
        </w:tc>
        <w:tc>
          <w:tcPr>
            <w:tcW w:w="8646" w:type="dxa"/>
          </w:tcPr>
          <w:p w14:paraId="592F9300" w14:textId="77777777" w:rsidR="00401567" w:rsidRPr="005B54EE" w:rsidRDefault="00401567" w:rsidP="00896B85">
            <w:pPr>
              <w:autoSpaceDE w:val="0"/>
              <w:autoSpaceDN w:val="0"/>
              <w:adjustRightInd w:val="0"/>
              <w:rPr>
                <w:rFonts w:ascii="Arial" w:eastAsiaTheme="minorHAnsi" w:hAnsi="Arial" w:cs="Arial"/>
                <w:sz w:val="20"/>
                <w:szCs w:val="20"/>
              </w:rPr>
            </w:pPr>
            <w:r w:rsidRPr="005B54EE">
              <w:rPr>
                <w:rFonts w:ascii="Arial" w:hAnsi="Arial"/>
                <w:sz w:val="20"/>
              </w:rPr>
              <w:t>Agreed in 2016, partly financed by the AFD and partly delegated to the AFD by European Union and SECO funds: technical support for climate planning in cities; preparation of climate co-benefit projects; assistance and capacity building for local project owners</w:t>
            </w:r>
          </w:p>
        </w:tc>
      </w:tr>
      <w:tr w:rsidR="00F25018" w:rsidRPr="005B54EE" w14:paraId="5AF6882B" w14:textId="77777777" w:rsidTr="00896B85">
        <w:trPr>
          <w:cantSplit/>
          <w:trHeight w:val="20"/>
        </w:trPr>
        <w:tc>
          <w:tcPr>
            <w:tcW w:w="0" w:type="auto"/>
          </w:tcPr>
          <w:p w14:paraId="2BF1D2A1" w14:textId="77777777" w:rsidR="00F25018" w:rsidRPr="005B54EE" w:rsidRDefault="00F25018" w:rsidP="00F25018">
            <w:pPr>
              <w:autoSpaceDE w:val="0"/>
              <w:autoSpaceDN w:val="0"/>
              <w:adjustRightInd w:val="0"/>
              <w:rPr>
                <w:rFonts w:ascii="Arial" w:eastAsiaTheme="minorHAnsi" w:hAnsi="Arial" w:cs="Arial"/>
                <w:sz w:val="20"/>
                <w:szCs w:val="20"/>
              </w:rPr>
            </w:pPr>
            <w:r w:rsidRPr="005B54EE">
              <w:rPr>
                <w:rFonts w:ascii="Arial" w:hAnsi="Arial"/>
                <w:sz w:val="20"/>
              </w:rPr>
              <w:t>French-speaking Africa</w:t>
            </w:r>
          </w:p>
        </w:tc>
        <w:tc>
          <w:tcPr>
            <w:tcW w:w="0" w:type="auto"/>
          </w:tcPr>
          <w:p w14:paraId="772A3B1C" w14:textId="77777777" w:rsidR="00F25018" w:rsidRPr="005B54EE" w:rsidRDefault="00F25018" w:rsidP="00F25018">
            <w:pPr>
              <w:autoSpaceDE w:val="0"/>
              <w:autoSpaceDN w:val="0"/>
              <w:adjustRightInd w:val="0"/>
              <w:rPr>
                <w:rFonts w:ascii="Arial" w:eastAsiaTheme="minorHAnsi" w:hAnsi="Arial" w:cs="Arial"/>
                <w:sz w:val="20"/>
                <w:szCs w:val="20"/>
              </w:rPr>
            </w:pPr>
            <w:r w:rsidRPr="005B54EE">
              <w:rPr>
                <w:rFonts w:ascii="Arial" w:hAnsi="Arial"/>
                <w:sz w:val="20"/>
              </w:rPr>
              <w:t>Negotiation</w:t>
            </w:r>
          </w:p>
        </w:tc>
        <w:tc>
          <w:tcPr>
            <w:tcW w:w="2249" w:type="dxa"/>
          </w:tcPr>
          <w:p w14:paraId="2A2A8C19" w14:textId="594058E6" w:rsidR="00F25018" w:rsidRPr="005B54EE" w:rsidRDefault="00F25018" w:rsidP="00F25018">
            <w:pPr>
              <w:autoSpaceDE w:val="0"/>
              <w:autoSpaceDN w:val="0"/>
              <w:adjustRightInd w:val="0"/>
              <w:rPr>
                <w:rFonts w:ascii="Arial" w:eastAsiaTheme="minorHAnsi" w:hAnsi="Arial" w:cs="Arial"/>
                <w:sz w:val="20"/>
                <w:szCs w:val="20"/>
              </w:rPr>
            </w:pPr>
            <w:r w:rsidRPr="005B54EE">
              <w:rPr>
                <w:rFonts w:ascii="Arial" w:hAnsi="Arial"/>
                <w:sz w:val="20"/>
              </w:rPr>
              <w:t>Capacity-building workshops for French-speaking African women negotiators</w:t>
            </w:r>
          </w:p>
        </w:tc>
        <w:tc>
          <w:tcPr>
            <w:tcW w:w="8646" w:type="dxa"/>
          </w:tcPr>
          <w:p w14:paraId="3D4D565A" w14:textId="4231F6D3" w:rsidR="00F25018" w:rsidRPr="005B54EE" w:rsidRDefault="00F25018" w:rsidP="00F25018">
            <w:pPr>
              <w:autoSpaceDE w:val="0"/>
              <w:autoSpaceDN w:val="0"/>
              <w:adjustRightInd w:val="0"/>
              <w:rPr>
                <w:rFonts w:ascii="Arial" w:eastAsiaTheme="minorHAnsi" w:hAnsi="Arial" w:cs="Arial"/>
                <w:sz w:val="20"/>
                <w:szCs w:val="20"/>
              </w:rPr>
            </w:pPr>
            <w:r w:rsidRPr="005B54EE">
              <w:rPr>
                <w:rFonts w:ascii="Arial" w:hAnsi="Arial"/>
                <w:sz w:val="20"/>
              </w:rPr>
              <w:t xml:space="preserve">Since 2018, France and Canada have been funding capacity-building workshop cycles for French-speaking African women negotiators to ensure their active contribution during inter-sessional meetings and Conferences of the Parties. In 2022, 200 women negotiators participated in the workshops and more than 50 of them received additional financial support to participate in COP27. These workshops, supported by a mentoring system, aim, among other things, to acquire knowledge about negotiation processes and stakeholders and to develop negotiation skills in simulations. </w:t>
            </w:r>
          </w:p>
        </w:tc>
      </w:tr>
    </w:tbl>
    <w:p w14:paraId="4680559B" w14:textId="3AB94BE1" w:rsidR="005B7EE1" w:rsidRPr="005B54EE" w:rsidRDefault="00401567" w:rsidP="005B7EE1">
      <w:pPr>
        <w:pStyle w:val="Titre3Niveau3"/>
      </w:pPr>
      <w:r w:rsidRPr="005B54EE">
        <w:br w:type="page"/>
      </w:r>
      <w:bookmarkStart w:id="254" w:name="_Toc138344726"/>
      <w:r w:rsidR="005B7EE1">
        <w:t>AFD</w:t>
      </w:r>
      <w:r w:rsidR="005B7EE1" w:rsidRPr="005B54EE">
        <w:t>’s role</w:t>
      </w:r>
      <w:bookmarkEnd w:id="254"/>
    </w:p>
    <w:p w14:paraId="64A8DCCC" w14:textId="4B18E882" w:rsidR="00401567" w:rsidRPr="005B54EE" w:rsidRDefault="00401567">
      <w:pPr>
        <w:spacing w:line="240" w:lineRule="atLeast"/>
        <w:jc w:val="left"/>
        <w:rPr>
          <w:rFonts w:eastAsiaTheme="majorEastAsia" w:cstheme="majorBidi"/>
          <w:bCs/>
          <w:spacing w:val="-10"/>
          <w:kern w:val="28"/>
          <w:sz w:val="48"/>
          <w:szCs w:val="56"/>
        </w:rPr>
      </w:pPr>
    </w:p>
    <w:p w14:paraId="4A2BACB4" w14:textId="77777777" w:rsidR="005B7EE1" w:rsidRPr="00C50CEB" w:rsidRDefault="005B7EE1" w:rsidP="005B7EE1">
      <w:pPr>
        <w:suppressAutoHyphens/>
        <w:autoSpaceDE w:val="0"/>
        <w:autoSpaceDN w:val="0"/>
        <w:spacing w:before="40" w:after="80" w:line="220" w:lineRule="exact"/>
        <w:rPr>
          <w:rFonts w:asciiTheme="minorHAnsi" w:eastAsia="SimSun" w:hAnsiTheme="minorHAnsi"/>
          <w:color w:val="FF0000"/>
          <w:szCs w:val="22"/>
          <w:lang w:eastAsia="zh-CN"/>
        </w:rPr>
      </w:pPr>
      <w:r w:rsidRPr="00C50CEB">
        <w:rPr>
          <w:rFonts w:asciiTheme="minorHAnsi" w:eastAsia="SimSun" w:hAnsiTheme="minorHAnsi"/>
          <w:color w:val="4F81BD" w:themeColor="accent1"/>
          <w:szCs w:val="22"/>
          <w:lang w:eastAsia="en-GB"/>
        </w:rPr>
        <w:t>AFD provides technical assistance through specific programmes such as AdaptAction Facility, and through technical assistance grants in addition to soverain and non soverain loans</w:t>
      </w:r>
    </w:p>
    <w:p w14:paraId="61F4F11E" w14:textId="77777777" w:rsidR="00401567" w:rsidRPr="005B54EE" w:rsidRDefault="00401567" w:rsidP="007C589E">
      <w:pPr>
        <w:pStyle w:val="Titre1Niveau1"/>
        <w:sectPr w:rsidR="00401567" w:rsidRPr="005B54EE" w:rsidSect="00401567">
          <w:pgSz w:w="16838" w:h="11906" w:orient="landscape" w:code="9"/>
          <w:pgMar w:top="1049" w:right="1229" w:bottom="907" w:left="1648" w:header="284" w:footer="284" w:gutter="0"/>
          <w:cols w:space="708"/>
          <w:titlePg/>
          <w:docGrid w:linePitch="360"/>
        </w:sectPr>
      </w:pPr>
    </w:p>
    <w:p w14:paraId="313E9220" w14:textId="15C602A2" w:rsidR="0051771F" w:rsidRPr="005B54EE" w:rsidRDefault="0051771F" w:rsidP="007C589E">
      <w:pPr>
        <w:pStyle w:val="Titre1Niveau1"/>
      </w:pPr>
      <w:bookmarkStart w:id="255" w:name="_Toc138344727"/>
      <w:r w:rsidRPr="005B54EE">
        <w:t>Appendix I - Summary tables of emissions by sector</w:t>
      </w:r>
      <w:bookmarkEnd w:id="255"/>
    </w:p>
    <w:tbl>
      <w:tblPr>
        <w:tblW w:w="11108" w:type="dxa"/>
        <w:jc w:val="center"/>
        <w:tblCellMar>
          <w:left w:w="70" w:type="dxa"/>
          <w:right w:w="70" w:type="dxa"/>
        </w:tblCellMar>
        <w:tblLook w:val="04A0" w:firstRow="1" w:lastRow="0" w:firstColumn="1" w:lastColumn="0" w:noHBand="0" w:noVBand="1"/>
      </w:tblPr>
      <w:tblGrid>
        <w:gridCol w:w="3397"/>
        <w:gridCol w:w="914"/>
        <w:gridCol w:w="820"/>
        <w:gridCol w:w="820"/>
        <w:gridCol w:w="820"/>
        <w:gridCol w:w="723"/>
        <w:gridCol w:w="723"/>
        <w:gridCol w:w="1276"/>
        <w:gridCol w:w="580"/>
        <w:gridCol w:w="133"/>
        <w:gridCol w:w="843"/>
        <w:gridCol w:w="137"/>
      </w:tblGrid>
      <w:tr w:rsidR="00C430E9" w:rsidRPr="005B54EE" w14:paraId="63524B2F" w14:textId="77777777" w:rsidTr="00D8302C">
        <w:trPr>
          <w:gridAfter w:val="1"/>
          <w:wAfter w:w="152" w:type="dxa"/>
          <w:trHeight w:val="429"/>
          <w:jc w:val="center"/>
        </w:trPr>
        <w:tc>
          <w:tcPr>
            <w:tcW w:w="3397" w:type="dxa"/>
            <w:tcBorders>
              <w:top w:val="single" w:sz="4" w:space="0" w:color="auto"/>
              <w:left w:val="single" w:sz="4" w:space="0" w:color="auto"/>
              <w:bottom w:val="nil"/>
              <w:right w:val="single" w:sz="4" w:space="0" w:color="auto"/>
            </w:tcBorders>
            <w:shd w:val="clear" w:color="000000" w:fill="CCFFFF"/>
            <w:noWrap/>
            <w:vAlign w:val="center"/>
            <w:hideMark/>
          </w:tcPr>
          <w:p w14:paraId="76CE18AC" w14:textId="178A7FDE" w:rsidR="00C430E9" w:rsidRPr="005B54EE" w:rsidRDefault="00C430E9" w:rsidP="00C430E9">
            <w:pPr>
              <w:jc w:val="left"/>
              <w:rPr>
                <w:rFonts w:ascii="Times New Roman" w:hAnsi="Times New Roman"/>
                <w:b/>
                <w:bCs/>
                <w:sz w:val="14"/>
                <w:szCs w:val="16"/>
              </w:rPr>
            </w:pPr>
            <w:bookmarkStart w:id="256" w:name="RANGE!A5:J54"/>
            <w:r w:rsidRPr="005B54EE">
              <w:rPr>
                <w:rFonts w:ascii="Times New Roman" w:hAnsi="Times New Roman"/>
                <w:b/>
                <w:sz w:val="14"/>
              </w:rPr>
              <w:t xml:space="preserve">GREENHOUSE GAS SOURCE AND </w:t>
            </w:r>
            <w:bookmarkEnd w:id="256"/>
            <w:r w:rsidRPr="005B54EE">
              <w:rPr>
                <w:rFonts w:ascii="Times New Roman" w:hAnsi="Times New Roman"/>
                <w:b/>
                <w:sz w:val="14"/>
              </w:rPr>
              <w:t>SINK CATEGORIES</w:t>
            </w:r>
          </w:p>
        </w:tc>
        <w:tc>
          <w:tcPr>
            <w:tcW w:w="914"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5B957E76" w14:textId="35DB0063" w:rsidR="00C430E9" w:rsidRPr="005B54EE" w:rsidRDefault="00811B0F" w:rsidP="00C430E9">
            <w:pPr>
              <w:jc w:val="center"/>
              <w:rPr>
                <w:rFonts w:ascii="Times New Roman" w:hAnsi="Times New Roman"/>
                <w:b/>
                <w:bCs/>
                <w:sz w:val="14"/>
                <w:szCs w:val="16"/>
              </w:rPr>
            </w:pPr>
            <w:r w:rsidRPr="005B54EE">
              <w:rPr>
                <w:sz w:val="14"/>
              </w:rPr>
              <w:t>CO</w:t>
            </w:r>
            <w:r w:rsidRPr="005B54EE">
              <w:rPr>
                <w:sz w:val="14"/>
                <w:vertAlign w:val="subscript"/>
              </w:rPr>
              <w:t>2</w:t>
            </w:r>
            <w:r w:rsidRPr="005B54EE">
              <w:rPr>
                <w:rFonts w:ascii="Times New Roman" w:hAnsi="Times New Roman"/>
                <w:b/>
                <w:sz w:val="14"/>
                <w:vertAlign w:val="superscript"/>
              </w:rPr>
              <w:t>(1)</w:t>
            </w:r>
          </w:p>
        </w:tc>
        <w:tc>
          <w:tcPr>
            <w:tcW w:w="820" w:type="dxa"/>
            <w:tcBorders>
              <w:top w:val="single" w:sz="4" w:space="0" w:color="auto"/>
              <w:left w:val="nil"/>
              <w:bottom w:val="single" w:sz="4" w:space="0" w:color="auto"/>
              <w:right w:val="single" w:sz="4" w:space="0" w:color="auto"/>
            </w:tcBorders>
            <w:shd w:val="clear" w:color="000000" w:fill="CCFFFF"/>
            <w:noWrap/>
            <w:vAlign w:val="center"/>
            <w:hideMark/>
          </w:tcPr>
          <w:p w14:paraId="11215800" w14:textId="76E09C63" w:rsidR="00C430E9" w:rsidRPr="005B54EE" w:rsidRDefault="00891B49" w:rsidP="00C430E9">
            <w:pPr>
              <w:jc w:val="center"/>
              <w:rPr>
                <w:rFonts w:ascii="Times New Roman" w:hAnsi="Times New Roman"/>
                <w:b/>
                <w:bCs/>
                <w:sz w:val="14"/>
                <w:szCs w:val="16"/>
              </w:rPr>
            </w:pPr>
            <w:r w:rsidRPr="005B54EE">
              <w:rPr>
                <w:sz w:val="14"/>
              </w:rPr>
              <w:t>CH</w:t>
            </w:r>
            <w:r w:rsidRPr="005B54EE">
              <w:rPr>
                <w:sz w:val="14"/>
                <w:vertAlign w:val="subscript"/>
              </w:rPr>
              <w:t>4</w:t>
            </w:r>
          </w:p>
        </w:tc>
        <w:tc>
          <w:tcPr>
            <w:tcW w:w="820" w:type="dxa"/>
            <w:tcBorders>
              <w:top w:val="single" w:sz="4" w:space="0" w:color="auto"/>
              <w:left w:val="nil"/>
              <w:bottom w:val="single" w:sz="4" w:space="0" w:color="auto"/>
              <w:right w:val="single" w:sz="4" w:space="0" w:color="auto"/>
            </w:tcBorders>
            <w:shd w:val="clear" w:color="000000" w:fill="CCFFFF"/>
            <w:noWrap/>
            <w:vAlign w:val="center"/>
            <w:hideMark/>
          </w:tcPr>
          <w:p w14:paraId="4739B764" w14:textId="54750511" w:rsidR="00C430E9" w:rsidRPr="005B54EE" w:rsidRDefault="00891B49" w:rsidP="00C430E9">
            <w:pPr>
              <w:jc w:val="center"/>
              <w:rPr>
                <w:rFonts w:ascii="Times New Roman" w:hAnsi="Times New Roman"/>
                <w:b/>
                <w:bCs/>
                <w:sz w:val="14"/>
                <w:szCs w:val="16"/>
              </w:rPr>
            </w:pPr>
            <w:r w:rsidRPr="005B54EE">
              <w:rPr>
                <w:sz w:val="14"/>
              </w:rPr>
              <w:t>N</w:t>
            </w:r>
            <w:r w:rsidRPr="005B54EE">
              <w:rPr>
                <w:sz w:val="14"/>
                <w:vertAlign w:val="subscript"/>
              </w:rPr>
              <w:t>2</w:t>
            </w:r>
            <w:r w:rsidRPr="005B54EE">
              <w:rPr>
                <w:sz w:val="14"/>
              </w:rPr>
              <w:t>O</w:t>
            </w:r>
          </w:p>
        </w:tc>
        <w:tc>
          <w:tcPr>
            <w:tcW w:w="820" w:type="dxa"/>
            <w:tcBorders>
              <w:top w:val="single" w:sz="4" w:space="0" w:color="auto"/>
              <w:left w:val="nil"/>
              <w:bottom w:val="single" w:sz="4" w:space="0" w:color="auto"/>
              <w:right w:val="single" w:sz="4" w:space="0" w:color="auto"/>
            </w:tcBorders>
            <w:shd w:val="clear" w:color="000000" w:fill="CCFFFF"/>
            <w:noWrap/>
            <w:vAlign w:val="center"/>
            <w:hideMark/>
          </w:tcPr>
          <w:p w14:paraId="0C3D446F" w14:textId="77777777" w:rsidR="00C430E9" w:rsidRPr="005B54EE" w:rsidRDefault="00C430E9" w:rsidP="00C430E9">
            <w:pPr>
              <w:jc w:val="center"/>
              <w:rPr>
                <w:rFonts w:ascii="Times New Roman" w:hAnsi="Times New Roman"/>
                <w:b/>
                <w:bCs/>
                <w:sz w:val="14"/>
                <w:szCs w:val="16"/>
              </w:rPr>
            </w:pPr>
            <w:r w:rsidRPr="005B54EE">
              <w:rPr>
                <w:rFonts w:ascii="Times New Roman" w:hAnsi="Times New Roman"/>
                <w:b/>
                <w:sz w:val="14"/>
              </w:rPr>
              <w:t xml:space="preserve">HFCs </w:t>
            </w:r>
          </w:p>
        </w:tc>
        <w:tc>
          <w:tcPr>
            <w:tcW w:w="723" w:type="dxa"/>
            <w:tcBorders>
              <w:top w:val="single" w:sz="4" w:space="0" w:color="auto"/>
              <w:left w:val="nil"/>
              <w:bottom w:val="single" w:sz="4" w:space="0" w:color="auto"/>
              <w:right w:val="single" w:sz="4" w:space="0" w:color="auto"/>
            </w:tcBorders>
            <w:shd w:val="clear" w:color="000000" w:fill="CCFFFF"/>
            <w:noWrap/>
            <w:vAlign w:val="center"/>
            <w:hideMark/>
          </w:tcPr>
          <w:p w14:paraId="25770648" w14:textId="77777777" w:rsidR="00C430E9" w:rsidRPr="005B54EE" w:rsidRDefault="00C430E9" w:rsidP="00C430E9">
            <w:pPr>
              <w:jc w:val="center"/>
              <w:rPr>
                <w:rFonts w:ascii="Times New Roman" w:hAnsi="Times New Roman"/>
                <w:b/>
                <w:bCs/>
                <w:sz w:val="14"/>
                <w:szCs w:val="16"/>
              </w:rPr>
            </w:pPr>
            <w:r w:rsidRPr="005B54EE">
              <w:rPr>
                <w:rFonts w:ascii="Times New Roman" w:hAnsi="Times New Roman"/>
                <w:b/>
                <w:sz w:val="14"/>
              </w:rPr>
              <w:t>PFCs</w:t>
            </w:r>
          </w:p>
        </w:tc>
        <w:tc>
          <w:tcPr>
            <w:tcW w:w="723" w:type="dxa"/>
            <w:tcBorders>
              <w:top w:val="single" w:sz="4" w:space="0" w:color="auto"/>
              <w:left w:val="nil"/>
              <w:bottom w:val="single" w:sz="4" w:space="0" w:color="auto"/>
              <w:right w:val="single" w:sz="4" w:space="0" w:color="auto"/>
            </w:tcBorders>
            <w:shd w:val="clear" w:color="000000" w:fill="CCFFFF"/>
            <w:noWrap/>
            <w:vAlign w:val="center"/>
            <w:hideMark/>
          </w:tcPr>
          <w:p w14:paraId="6238B539" w14:textId="4F030748" w:rsidR="00C430E9" w:rsidRPr="005B54EE" w:rsidRDefault="002F2FFD" w:rsidP="00C430E9">
            <w:pPr>
              <w:jc w:val="center"/>
              <w:rPr>
                <w:rFonts w:ascii="Times New Roman" w:hAnsi="Times New Roman"/>
                <w:b/>
                <w:bCs/>
                <w:sz w:val="14"/>
                <w:szCs w:val="16"/>
              </w:rPr>
            </w:pPr>
            <w:r w:rsidRPr="005B54EE">
              <w:rPr>
                <w:sz w:val="14"/>
              </w:rPr>
              <w:t>SF</w:t>
            </w:r>
            <w:r w:rsidRPr="005B54EE">
              <w:rPr>
                <w:sz w:val="14"/>
                <w:vertAlign w:val="subscript"/>
              </w:rPr>
              <w:t>6</w:t>
            </w:r>
          </w:p>
        </w:tc>
        <w:tc>
          <w:tcPr>
            <w:tcW w:w="1276" w:type="dxa"/>
            <w:tcBorders>
              <w:top w:val="single" w:sz="4" w:space="0" w:color="auto"/>
              <w:left w:val="nil"/>
              <w:bottom w:val="single" w:sz="4" w:space="0" w:color="auto"/>
              <w:right w:val="single" w:sz="4" w:space="0" w:color="auto"/>
            </w:tcBorders>
            <w:shd w:val="clear" w:color="000000" w:fill="CCFFFF"/>
            <w:vAlign w:val="center"/>
            <w:hideMark/>
          </w:tcPr>
          <w:p w14:paraId="348D26F9" w14:textId="77777777" w:rsidR="00C430E9" w:rsidRPr="005B54EE" w:rsidRDefault="00C430E9" w:rsidP="00C430E9">
            <w:pPr>
              <w:jc w:val="center"/>
              <w:rPr>
                <w:rFonts w:ascii="Times New Roman" w:hAnsi="Times New Roman"/>
                <w:b/>
                <w:bCs/>
                <w:sz w:val="14"/>
                <w:szCs w:val="16"/>
              </w:rPr>
            </w:pPr>
            <w:r w:rsidRPr="005B54EE">
              <w:rPr>
                <w:rFonts w:ascii="Times New Roman" w:hAnsi="Times New Roman"/>
                <w:b/>
                <w:sz w:val="14"/>
              </w:rPr>
              <w:t>Unspecified mix of HFCs and PFCs</w:t>
            </w:r>
          </w:p>
        </w:tc>
        <w:tc>
          <w:tcPr>
            <w:tcW w:w="487" w:type="dxa"/>
            <w:tcBorders>
              <w:top w:val="single" w:sz="4" w:space="0" w:color="auto"/>
              <w:left w:val="nil"/>
              <w:bottom w:val="single" w:sz="4" w:space="0" w:color="auto"/>
              <w:right w:val="single" w:sz="4" w:space="0" w:color="auto"/>
            </w:tcBorders>
            <w:shd w:val="clear" w:color="000000" w:fill="CCFFFF"/>
            <w:noWrap/>
            <w:vAlign w:val="center"/>
            <w:hideMark/>
          </w:tcPr>
          <w:p w14:paraId="261CDB13" w14:textId="649E225C" w:rsidR="00C430E9" w:rsidRPr="005B54EE" w:rsidRDefault="002F2FFD" w:rsidP="00C430E9">
            <w:pPr>
              <w:jc w:val="center"/>
              <w:rPr>
                <w:rFonts w:ascii="Times New Roman" w:hAnsi="Times New Roman"/>
                <w:b/>
                <w:bCs/>
                <w:sz w:val="14"/>
                <w:szCs w:val="16"/>
              </w:rPr>
            </w:pPr>
            <w:r w:rsidRPr="005B54EE">
              <w:rPr>
                <w:sz w:val="14"/>
              </w:rPr>
              <w:t>NF</w:t>
            </w:r>
            <w:r w:rsidRPr="005B54EE">
              <w:rPr>
                <w:sz w:val="14"/>
                <w:vertAlign w:val="subscript"/>
              </w:rPr>
              <w:t>3</w:t>
            </w:r>
          </w:p>
        </w:tc>
        <w:tc>
          <w:tcPr>
            <w:tcW w:w="976" w:type="dxa"/>
            <w:gridSpan w:val="2"/>
            <w:tcBorders>
              <w:top w:val="single" w:sz="4" w:space="0" w:color="auto"/>
              <w:left w:val="nil"/>
              <w:bottom w:val="single" w:sz="4" w:space="0" w:color="auto"/>
              <w:right w:val="single" w:sz="4" w:space="0" w:color="auto"/>
            </w:tcBorders>
            <w:shd w:val="clear" w:color="000000" w:fill="CCFFFF"/>
            <w:noWrap/>
            <w:vAlign w:val="center"/>
            <w:hideMark/>
          </w:tcPr>
          <w:p w14:paraId="3C0D3FB8" w14:textId="77777777" w:rsidR="00C430E9" w:rsidRPr="005B54EE" w:rsidRDefault="00C430E9" w:rsidP="00C430E9">
            <w:pPr>
              <w:jc w:val="center"/>
              <w:rPr>
                <w:rFonts w:ascii="Times New Roman" w:hAnsi="Times New Roman"/>
                <w:b/>
                <w:bCs/>
                <w:sz w:val="14"/>
                <w:szCs w:val="16"/>
              </w:rPr>
            </w:pPr>
            <w:r w:rsidRPr="005B54EE">
              <w:rPr>
                <w:rFonts w:ascii="Times New Roman" w:hAnsi="Times New Roman"/>
                <w:b/>
                <w:sz w:val="14"/>
              </w:rPr>
              <w:t xml:space="preserve">Total </w:t>
            </w:r>
          </w:p>
        </w:tc>
      </w:tr>
      <w:tr w:rsidR="00C430E9" w:rsidRPr="005B54EE" w14:paraId="60592FDA" w14:textId="77777777" w:rsidTr="00D8302C">
        <w:trPr>
          <w:gridAfter w:val="1"/>
          <w:wAfter w:w="152" w:type="dxa"/>
          <w:trHeight w:val="68"/>
          <w:jc w:val="center"/>
        </w:trPr>
        <w:tc>
          <w:tcPr>
            <w:tcW w:w="3397" w:type="dxa"/>
            <w:tcBorders>
              <w:top w:val="nil"/>
              <w:left w:val="single" w:sz="4" w:space="0" w:color="auto"/>
              <w:bottom w:val="nil"/>
              <w:right w:val="single" w:sz="4" w:space="0" w:color="auto"/>
            </w:tcBorders>
            <w:shd w:val="clear" w:color="000000" w:fill="CCFFFF"/>
            <w:noWrap/>
            <w:vAlign w:val="center"/>
            <w:hideMark/>
          </w:tcPr>
          <w:p w14:paraId="7C444B6D" w14:textId="0522064D"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Total (net emissions)</w:t>
            </w:r>
            <w:r w:rsidRPr="005B54EE">
              <w:rPr>
                <w:rFonts w:ascii="Times New Roman" w:hAnsi="Times New Roman"/>
                <w:b/>
                <w:sz w:val="14"/>
                <w:vertAlign w:val="superscript"/>
              </w:rPr>
              <w:t>(1)</w:t>
            </w:r>
            <w:r w:rsidRPr="005B54EE">
              <w:rPr>
                <w:rFonts w:ascii="Times New Roman" w:hAnsi="Times New Roman"/>
                <w:b/>
                <w:sz w:val="14"/>
                <w:vertAlign w:val="subscript"/>
              </w:rPr>
              <w:t xml:space="preserve"> </w:t>
            </w:r>
            <w:r w:rsidRPr="005B54EE">
              <w:rPr>
                <w:rFonts w:ascii="Times New Roman" w:hAnsi="Times New Roman"/>
                <w:b/>
                <w:sz w:val="14"/>
              </w:rPr>
              <w:t>kt</w:t>
            </w:r>
            <w:r w:rsidRPr="005B54EE">
              <w:rPr>
                <w:sz w:val="14"/>
              </w:rPr>
              <w:t>CO</w:t>
            </w:r>
            <w:r w:rsidRPr="005B54EE">
              <w:rPr>
                <w:sz w:val="14"/>
                <w:vertAlign w:val="subscript"/>
              </w:rPr>
              <w:t>2e</w:t>
            </w:r>
          </w:p>
        </w:tc>
        <w:tc>
          <w:tcPr>
            <w:tcW w:w="914"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30E8FA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276517,49</w:t>
            </w:r>
          </w:p>
        </w:tc>
        <w:tc>
          <w:tcPr>
            <w:tcW w:w="820" w:type="dxa"/>
            <w:tcBorders>
              <w:top w:val="single" w:sz="4" w:space="0" w:color="auto"/>
              <w:left w:val="nil"/>
              <w:bottom w:val="single" w:sz="4" w:space="0" w:color="auto"/>
              <w:right w:val="single" w:sz="4" w:space="0" w:color="auto"/>
            </w:tcBorders>
            <w:shd w:val="clear" w:color="000000" w:fill="CCFFFF"/>
            <w:noWrap/>
            <w:vAlign w:val="bottom"/>
            <w:hideMark/>
          </w:tcPr>
          <w:p w14:paraId="40A8F73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56252,96</w:t>
            </w:r>
          </w:p>
        </w:tc>
        <w:tc>
          <w:tcPr>
            <w:tcW w:w="820" w:type="dxa"/>
            <w:tcBorders>
              <w:top w:val="single" w:sz="4" w:space="0" w:color="auto"/>
              <w:left w:val="nil"/>
              <w:bottom w:val="single" w:sz="4" w:space="0" w:color="auto"/>
              <w:right w:val="single" w:sz="4" w:space="0" w:color="auto"/>
            </w:tcBorders>
            <w:shd w:val="clear" w:color="000000" w:fill="CCFFFF"/>
            <w:noWrap/>
            <w:vAlign w:val="bottom"/>
            <w:hideMark/>
          </w:tcPr>
          <w:p w14:paraId="2D20F01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39298,64</w:t>
            </w:r>
          </w:p>
        </w:tc>
        <w:tc>
          <w:tcPr>
            <w:tcW w:w="820" w:type="dxa"/>
            <w:tcBorders>
              <w:top w:val="single" w:sz="4" w:space="0" w:color="auto"/>
              <w:left w:val="nil"/>
              <w:bottom w:val="single" w:sz="4" w:space="0" w:color="auto"/>
              <w:right w:val="single" w:sz="4" w:space="0" w:color="auto"/>
            </w:tcBorders>
            <w:shd w:val="clear" w:color="000000" w:fill="CCFFFF"/>
            <w:noWrap/>
            <w:vAlign w:val="bottom"/>
            <w:hideMark/>
          </w:tcPr>
          <w:p w14:paraId="63A8816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11822,65</w:t>
            </w:r>
          </w:p>
        </w:tc>
        <w:tc>
          <w:tcPr>
            <w:tcW w:w="723" w:type="dxa"/>
            <w:tcBorders>
              <w:top w:val="single" w:sz="4" w:space="0" w:color="auto"/>
              <w:left w:val="nil"/>
              <w:bottom w:val="single" w:sz="4" w:space="0" w:color="auto"/>
              <w:right w:val="single" w:sz="4" w:space="0" w:color="auto"/>
            </w:tcBorders>
            <w:shd w:val="clear" w:color="000000" w:fill="CCFFFF"/>
            <w:noWrap/>
            <w:vAlign w:val="bottom"/>
            <w:hideMark/>
          </w:tcPr>
          <w:p w14:paraId="5278D90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543,49</w:t>
            </w:r>
          </w:p>
        </w:tc>
        <w:tc>
          <w:tcPr>
            <w:tcW w:w="723" w:type="dxa"/>
            <w:tcBorders>
              <w:top w:val="single" w:sz="4" w:space="0" w:color="auto"/>
              <w:left w:val="nil"/>
              <w:bottom w:val="single" w:sz="4" w:space="0" w:color="auto"/>
              <w:right w:val="single" w:sz="4" w:space="0" w:color="auto"/>
            </w:tcBorders>
            <w:shd w:val="clear" w:color="000000" w:fill="CCFFFF"/>
            <w:noWrap/>
            <w:vAlign w:val="bottom"/>
            <w:hideMark/>
          </w:tcPr>
          <w:p w14:paraId="0129E8F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347,77</w:t>
            </w:r>
          </w:p>
        </w:tc>
        <w:tc>
          <w:tcPr>
            <w:tcW w:w="1276" w:type="dxa"/>
            <w:tcBorders>
              <w:top w:val="single" w:sz="4" w:space="0" w:color="auto"/>
              <w:left w:val="nil"/>
              <w:bottom w:val="single" w:sz="4" w:space="0" w:color="auto"/>
              <w:right w:val="single" w:sz="4" w:space="0" w:color="auto"/>
            </w:tcBorders>
            <w:shd w:val="clear" w:color="000000" w:fill="CCFFFF"/>
            <w:noWrap/>
            <w:vAlign w:val="bottom"/>
            <w:hideMark/>
          </w:tcPr>
          <w:p w14:paraId="3FDBDB6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487" w:type="dxa"/>
            <w:tcBorders>
              <w:top w:val="single" w:sz="4" w:space="0" w:color="auto"/>
              <w:left w:val="nil"/>
              <w:bottom w:val="single" w:sz="4" w:space="0" w:color="auto"/>
              <w:right w:val="single" w:sz="4" w:space="0" w:color="auto"/>
            </w:tcBorders>
            <w:shd w:val="clear" w:color="000000" w:fill="CCFFFF"/>
            <w:noWrap/>
            <w:vAlign w:val="bottom"/>
            <w:hideMark/>
          </w:tcPr>
          <w:p w14:paraId="707D89D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8,54</w:t>
            </w:r>
          </w:p>
        </w:tc>
        <w:tc>
          <w:tcPr>
            <w:tcW w:w="976" w:type="dxa"/>
            <w:gridSpan w:val="2"/>
            <w:tcBorders>
              <w:top w:val="single" w:sz="4" w:space="0" w:color="auto"/>
              <w:left w:val="nil"/>
              <w:bottom w:val="single" w:sz="4" w:space="0" w:color="auto"/>
              <w:right w:val="single" w:sz="4" w:space="0" w:color="auto"/>
            </w:tcBorders>
            <w:shd w:val="clear" w:color="000000" w:fill="CCFFFF"/>
            <w:noWrap/>
            <w:vAlign w:val="bottom"/>
            <w:hideMark/>
          </w:tcPr>
          <w:p w14:paraId="1B1DC69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384791,52</w:t>
            </w:r>
          </w:p>
        </w:tc>
      </w:tr>
      <w:tr w:rsidR="00C430E9" w:rsidRPr="005B54EE" w14:paraId="61BED860" w14:textId="77777777" w:rsidTr="00D8302C">
        <w:trPr>
          <w:gridAfter w:val="1"/>
          <w:wAfter w:w="152" w:type="dxa"/>
          <w:trHeight w:val="68"/>
          <w:jc w:val="center"/>
        </w:trPr>
        <w:tc>
          <w:tcPr>
            <w:tcW w:w="339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588DAE96"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1. Energy</w:t>
            </w:r>
          </w:p>
        </w:tc>
        <w:tc>
          <w:tcPr>
            <w:tcW w:w="914" w:type="dxa"/>
            <w:tcBorders>
              <w:top w:val="nil"/>
              <w:left w:val="nil"/>
              <w:bottom w:val="single" w:sz="4" w:space="0" w:color="auto"/>
              <w:right w:val="single" w:sz="4" w:space="0" w:color="auto"/>
            </w:tcBorders>
            <w:shd w:val="clear" w:color="000000" w:fill="CCFFFF"/>
            <w:noWrap/>
            <w:vAlign w:val="bottom"/>
            <w:hideMark/>
          </w:tcPr>
          <w:p w14:paraId="4E6F9C0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264912,62</w:t>
            </w:r>
          </w:p>
        </w:tc>
        <w:tc>
          <w:tcPr>
            <w:tcW w:w="820" w:type="dxa"/>
            <w:tcBorders>
              <w:top w:val="nil"/>
              <w:left w:val="nil"/>
              <w:bottom w:val="single" w:sz="4" w:space="0" w:color="auto"/>
              <w:right w:val="single" w:sz="4" w:space="0" w:color="auto"/>
            </w:tcBorders>
            <w:shd w:val="clear" w:color="000000" w:fill="CCFFFF"/>
            <w:noWrap/>
            <w:vAlign w:val="bottom"/>
            <w:hideMark/>
          </w:tcPr>
          <w:p w14:paraId="2AC1120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2137,89</w:t>
            </w:r>
          </w:p>
        </w:tc>
        <w:tc>
          <w:tcPr>
            <w:tcW w:w="820" w:type="dxa"/>
            <w:tcBorders>
              <w:top w:val="nil"/>
              <w:left w:val="nil"/>
              <w:bottom w:val="single" w:sz="4" w:space="0" w:color="auto"/>
              <w:right w:val="single" w:sz="4" w:space="0" w:color="auto"/>
            </w:tcBorders>
            <w:shd w:val="clear" w:color="000000" w:fill="CCFFFF"/>
            <w:noWrap/>
            <w:vAlign w:val="bottom"/>
            <w:hideMark/>
          </w:tcPr>
          <w:p w14:paraId="4BDD88C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3460,04</w:t>
            </w:r>
          </w:p>
        </w:tc>
        <w:tc>
          <w:tcPr>
            <w:tcW w:w="820" w:type="dxa"/>
            <w:tcBorders>
              <w:top w:val="nil"/>
              <w:left w:val="nil"/>
              <w:bottom w:val="single" w:sz="4" w:space="0" w:color="auto"/>
              <w:right w:val="single" w:sz="4" w:space="0" w:color="auto"/>
            </w:tcBorders>
            <w:shd w:val="clear" w:color="000000" w:fill="969696"/>
            <w:noWrap/>
            <w:vAlign w:val="bottom"/>
            <w:hideMark/>
          </w:tcPr>
          <w:p w14:paraId="0CD6471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372FC2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D411F9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666BF0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2EBA2B3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3719542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270510,55</w:t>
            </w:r>
          </w:p>
        </w:tc>
      </w:tr>
      <w:tr w:rsidR="00C430E9" w:rsidRPr="005B54EE" w14:paraId="069F0968"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17FC426"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A. Fuel combustion (sectoral approach)</w:t>
            </w:r>
          </w:p>
        </w:tc>
        <w:tc>
          <w:tcPr>
            <w:tcW w:w="914" w:type="dxa"/>
            <w:tcBorders>
              <w:top w:val="nil"/>
              <w:left w:val="nil"/>
              <w:bottom w:val="single" w:sz="4" w:space="0" w:color="auto"/>
              <w:right w:val="single" w:sz="4" w:space="0" w:color="auto"/>
            </w:tcBorders>
            <w:shd w:val="clear" w:color="000000" w:fill="CCFFFF"/>
            <w:noWrap/>
            <w:vAlign w:val="bottom"/>
            <w:hideMark/>
          </w:tcPr>
          <w:p w14:paraId="4D94C78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262709,51</w:t>
            </w:r>
          </w:p>
        </w:tc>
        <w:tc>
          <w:tcPr>
            <w:tcW w:w="820" w:type="dxa"/>
            <w:tcBorders>
              <w:top w:val="nil"/>
              <w:left w:val="nil"/>
              <w:bottom w:val="single" w:sz="4" w:space="0" w:color="auto"/>
              <w:right w:val="single" w:sz="4" w:space="0" w:color="auto"/>
            </w:tcBorders>
            <w:shd w:val="clear" w:color="000000" w:fill="CCFFFF"/>
            <w:noWrap/>
            <w:vAlign w:val="bottom"/>
            <w:hideMark/>
          </w:tcPr>
          <w:p w14:paraId="5FB6C10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1286,68</w:t>
            </w:r>
          </w:p>
        </w:tc>
        <w:tc>
          <w:tcPr>
            <w:tcW w:w="820" w:type="dxa"/>
            <w:tcBorders>
              <w:top w:val="nil"/>
              <w:left w:val="nil"/>
              <w:bottom w:val="single" w:sz="4" w:space="0" w:color="auto"/>
              <w:right w:val="single" w:sz="4" w:space="0" w:color="auto"/>
            </w:tcBorders>
            <w:shd w:val="clear" w:color="000000" w:fill="CCFFFF"/>
            <w:noWrap/>
            <w:vAlign w:val="bottom"/>
            <w:hideMark/>
          </w:tcPr>
          <w:p w14:paraId="011844F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3309,02</w:t>
            </w:r>
          </w:p>
        </w:tc>
        <w:tc>
          <w:tcPr>
            <w:tcW w:w="820" w:type="dxa"/>
            <w:tcBorders>
              <w:top w:val="nil"/>
              <w:left w:val="nil"/>
              <w:bottom w:val="single" w:sz="4" w:space="0" w:color="auto"/>
              <w:right w:val="single" w:sz="4" w:space="0" w:color="auto"/>
            </w:tcBorders>
            <w:shd w:val="clear" w:color="000000" w:fill="969696"/>
            <w:noWrap/>
            <w:vAlign w:val="bottom"/>
            <w:hideMark/>
          </w:tcPr>
          <w:p w14:paraId="1B19C71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6F87D2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5E6097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504DBC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466FAC0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527100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267305,22</w:t>
            </w:r>
          </w:p>
        </w:tc>
      </w:tr>
      <w:tr w:rsidR="00C430E9" w:rsidRPr="005B54EE" w14:paraId="1BAB490D"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E388FFC"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1.  Energy industries</w:t>
            </w:r>
          </w:p>
        </w:tc>
        <w:tc>
          <w:tcPr>
            <w:tcW w:w="914" w:type="dxa"/>
            <w:tcBorders>
              <w:top w:val="nil"/>
              <w:left w:val="nil"/>
              <w:bottom w:val="single" w:sz="4" w:space="0" w:color="auto"/>
              <w:right w:val="single" w:sz="4" w:space="0" w:color="auto"/>
            </w:tcBorders>
            <w:shd w:val="clear" w:color="000000" w:fill="CCFFFF"/>
            <w:noWrap/>
            <w:vAlign w:val="bottom"/>
            <w:hideMark/>
          </w:tcPr>
          <w:p w14:paraId="7AF868A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37537,83</w:t>
            </w:r>
          </w:p>
        </w:tc>
        <w:tc>
          <w:tcPr>
            <w:tcW w:w="820" w:type="dxa"/>
            <w:tcBorders>
              <w:top w:val="nil"/>
              <w:left w:val="nil"/>
              <w:bottom w:val="single" w:sz="4" w:space="0" w:color="auto"/>
              <w:right w:val="single" w:sz="4" w:space="0" w:color="auto"/>
            </w:tcBorders>
            <w:shd w:val="clear" w:color="000000" w:fill="CCFFFF"/>
            <w:noWrap/>
            <w:vAlign w:val="bottom"/>
            <w:hideMark/>
          </w:tcPr>
          <w:p w14:paraId="26D47C2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46,05</w:t>
            </w:r>
          </w:p>
        </w:tc>
        <w:tc>
          <w:tcPr>
            <w:tcW w:w="820" w:type="dxa"/>
            <w:tcBorders>
              <w:top w:val="nil"/>
              <w:left w:val="nil"/>
              <w:bottom w:val="single" w:sz="4" w:space="0" w:color="auto"/>
              <w:right w:val="single" w:sz="4" w:space="0" w:color="auto"/>
            </w:tcBorders>
            <w:shd w:val="clear" w:color="000000" w:fill="CCFFFF"/>
            <w:noWrap/>
            <w:vAlign w:val="bottom"/>
            <w:hideMark/>
          </w:tcPr>
          <w:p w14:paraId="40ACC78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252,68</w:t>
            </w:r>
          </w:p>
        </w:tc>
        <w:tc>
          <w:tcPr>
            <w:tcW w:w="820" w:type="dxa"/>
            <w:tcBorders>
              <w:top w:val="nil"/>
              <w:left w:val="nil"/>
              <w:bottom w:val="single" w:sz="4" w:space="0" w:color="auto"/>
              <w:right w:val="single" w:sz="4" w:space="0" w:color="auto"/>
            </w:tcBorders>
            <w:shd w:val="clear" w:color="000000" w:fill="969696"/>
            <w:noWrap/>
            <w:vAlign w:val="bottom"/>
            <w:hideMark/>
          </w:tcPr>
          <w:p w14:paraId="3F705A1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43C22F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215D03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9E2C00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4AEE914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3D4859D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37836,56</w:t>
            </w:r>
          </w:p>
        </w:tc>
      </w:tr>
      <w:tr w:rsidR="00C430E9" w:rsidRPr="005B54EE" w14:paraId="51A5BB79"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51E3731"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2.  Manufacturing industries and construction</w:t>
            </w:r>
          </w:p>
        </w:tc>
        <w:tc>
          <w:tcPr>
            <w:tcW w:w="914" w:type="dxa"/>
            <w:tcBorders>
              <w:top w:val="nil"/>
              <w:left w:val="nil"/>
              <w:bottom w:val="single" w:sz="4" w:space="0" w:color="auto"/>
              <w:right w:val="single" w:sz="4" w:space="0" w:color="auto"/>
            </w:tcBorders>
            <w:shd w:val="clear" w:color="000000" w:fill="CCFFFF"/>
            <w:noWrap/>
            <w:vAlign w:val="bottom"/>
            <w:hideMark/>
          </w:tcPr>
          <w:p w14:paraId="4338008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45369,28</w:t>
            </w:r>
          </w:p>
        </w:tc>
        <w:tc>
          <w:tcPr>
            <w:tcW w:w="820" w:type="dxa"/>
            <w:tcBorders>
              <w:top w:val="nil"/>
              <w:left w:val="nil"/>
              <w:bottom w:val="single" w:sz="4" w:space="0" w:color="auto"/>
              <w:right w:val="single" w:sz="4" w:space="0" w:color="auto"/>
            </w:tcBorders>
            <w:shd w:val="clear" w:color="000000" w:fill="CCFFFF"/>
            <w:noWrap/>
            <w:vAlign w:val="bottom"/>
            <w:hideMark/>
          </w:tcPr>
          <w:p w14:paraId="56784D6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102,97</w:t>
            </w:r>
          </w:p>
        </w:tc>
        <w:tc>
          <w:tcPr>
            <w:tcW w:w="820" w:type="dxa"/>
            <w:tcBorders>
              <w:top w:val="nil"/>
              <w:left w:val="nil"/>
              <w:bottom w:val="single" w:sz="4" w:space="0" w:color="auto"/>
              <w:right w:val="single" w:sz="4" w:space="0" w:color="auto"/>
            </w:tcBorders>
            <w:shd w:val="clear" w:color="000000" w:fill="CCFFFF"/>
            <w:noWrap/>
            <w:vAlign w:val="bottom"/>
            <w:hideMark/>
          </w:tcPr>
          <w:p w14:paraId="603F0C0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516,48</w:t>
            </w:r>
          </w:p>
        </w:tc>
        <w:tc>
          <w:tcPr>
            <w:tcW w:w="820" w:type="dxa"/>
            <w:tcBorders>
              <w:top w:val="nil"/>
              <w:left w:val="nil"/>
              <w:bottom w:val="single" w:sz="4" w:space="0" w:color="auto"/>
              <w:right w:val="single" w:sz="4" w:space="0" w:color="auto"/>
            </w:tcBorders>
            <w:shd w:val="clear" w:color="000000" w:fill="969696"/>
            <w:noWrap/>
            <w:vAlign w:val="bottom"/>
            <w:hideMark/>
          </w:tcPr>
          <w:p w14:paraId="6DBDB35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197384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155C91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310490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72CE6AE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73E9210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45988,73</w:t>
            </w:r>
          </w:p>
        </w:tc>
      </w:tr>
      <w:tr w:rsidR="00C430E9" w:rsidRPr="005B54EE" w14:paraId="386A4686"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E16035F"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3.  Transport</w:t>
            </w:r>
          </w:p>
        </w:tc>
        <w:tc>
          <w:tcPr>
            <w:tcW w:w="914" w:type="dxa"/>
            <w:tcBorders>
              <w:top w:val="nil"/>
              <w:left w:val="nil"/>
              <w:bottom w:val="single" w:sz="4" w:space="0" w:color="auto"/>
              <w:right w:val="single" w:sz="4" w:space="0" w:color="auto"/>
            </w:tcBorders>
            <w:shd w:val="clear" w:color="000000" w:fill="CCFFFF"/>
            <w:noWrap/>
            <w:vAlign w:val="bottom"/>
            <w:hideMark/>
          </w:tcPr>
          <w:p w14:paraId="0D8C3B5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109312,02</w:t>
            </w:r>
          </w:p>
        </w:tc>
        <w:tc>
          <w:tcPr>
            <w:tcW w:w="820" w:type="dxa"/>
            <w:tcBorders>
              <w:top w:val="nil"/>
              <w:left w:val="nil"/>
              <w:bottom w:val="single" w:sz="4" w:space="0" w:color="auto"/>
              <w:right w:val="single" w:sz="4" w:space="0" w:color="auto"/>
            </w:tcBorders>
            <w:shd w:val="clear" w:color="000000" w:fill="CCFFFF"/>
            <w:noWrap/>
            <w:vAlign w:val="bottom"/>
            <w:hideMark/>
          </w:tcPr>
          <w:p w14:paraId="57CE2F2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145,05</w:t>
            </w:r>
          </w:p>
        </w:tc>
        <w:tc>
          <w:tcPr>
            <w:tcW w:w="820" w:type="dxa"/>
            <w:tcBorders>
              <w:top w:val="nil"/>
              <w:left w:val="nil"/>
              <w:bottom w:val="single" w:sz="4" w:space="0" w:color="auto"/>
              <w:right w:val="single" w:sz="4" w:space="0" w:color="auto"/>
            </w:tcBorders>
            <w:shd w:val="clear" w:color="000000" w:fill="CCFFFF"/>
            <w:noWrap/>
            <w:vAlign w:val="bottom"/>
            <w:hideMark/>
          </w:tcPr>
          <w:p w14:paraId="1BF4F41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1156,99</w:t>
            </w:r>
          </w:p>
        </w:tc>
        <w:tc>
          <w:tcPr>
            <w:tcW w:w="820" w:type="dxa"/>
            <w:tcBorders>
              <w:top w:val="nil"/>
              <w:left w:val="nil"/>
              <w:bottom w:val="single" w:sz="4" w:space="0" w:color="auto"/>
              <w:right w:val="single" w:sz="4" w:space="0" w:color="auto"/>
            </w:tcBorders>
            <w:shd w:val="clear" w:color="000000" w:fill="969696"/>
            <w:noWrap/>
            <w:vAlign w:val="bottom"/>
            <w:hideMark/>
          </w:tcPr>
          <w:p w14:paraId="1F45044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5C1DD2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94EE8D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346F2E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23E1FC6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2F9D163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110614,06</w:t>
            </w:r>
          </w:p>
        </w:tc>
      </w:tr>
      <w:tr w:rsidR="00C430E9" w:rsidRPr="005B54EE" w14:paraId="0E49404D"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02056E6"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4.  Other sectors</w:t>
            </w:r>
          </w:p>
        </w:tc>
        <w:tc>
          <w:tcPr>
            <w:tcW w:w="914" w:type="dxa"/>
            <w:tcBorders>
              <w:top w:val="nil"/>
              <w:left w:val="nil"/>
              <w:bottom w:val="single" w:sz="4" w:space="0" w:color="auto"/>
              <w:right w:val="single" w:sz="4" w:space="0" w:color="auto"/>
            </w:tcBorders>
            <w:shd w:val="clear" w:color="000000" w:fill="CCFFFF"/>
            <w:noWrap/>
            <w:vAlign w:val="bottom"/>
            <w:hideMark/>
          </w:tcPr>
          <w:p w14:paraId="53B295B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69013,99</w:t>
            </w:r>
          </w:p>
        </w:tc>
        <w:tc>
          <w:tcPr>
            <w:tcW w:w="820" w:type="dxa"/>
            <w:tcBorders>
              <w:top w:val="nil"/>
              <w:left w:val="nil"/>
              <w:bottom w:val="single" w:sz="4" w:space="0" w:color="auto"/>
              <w:right w:val="single" w:sz="4" w:space="0" w:color="auto"/>
            </w:tcBorders>
            <w:shd w:val="clear" w:color="000000" w:fill="CCFFFF"/>
            <w:noWrap/>
            <w:vAlign w:val="bottom"/>
            <w:hideMark/>
          </w:tcPr>
          <w:p w14:paraId="05255C8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990,60</w:t>
            </w:r>
          </w:p>
        </w:tc>
        <w:tc>
          <w:tcPr>
            <w:tcW w:w="820" w:type="dxa"/>
            <w:tcBorders>
              <w:top w:val="nil"/>
              <w:left w:val="nil"/>
              <w:bottom w:val="single" w:sz="4" w:space="0" w:color="auto"/>
              <w:right w:val="single" w:sz="4" w:space="0" w:color="auto"/>
            </w:tcBorders>
            <w:shd w:val="clear" w:color="000000" w:fill="CCFFFF"/>
            <w:noWrap/>
            <w:vAlign w:val="bottom"/>
            <w:hideMark/>
          </w:tcPr>
          <w:p w14:paraId="055A72F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1374,75</w:t>
            </w:r>
          </w:p>
        </w:tc>
        <w:tc>
          <w:tcPr>
            <w:tcW w:w="820" w:type="dxa"/>
            <w:tcBorders>
              <w:top w:val="nil"/>
              <w:left w:val="nil"/>
              <w:bottom w:val="single" w:sz="4" w:space="0" w:color="auto"/>
              <w:right w:val="single" w:sz="4" w:space="0" w:color="auto"/>
            </w:tcBorders>
            <w:shd w:val="clear" w:color="000000" w:fill="969696"/>
            <w:noWrap/>
            <w:vAlign w:val="bottom"/>
            <w:hideMark/>
          </w:tcPr>
          <w:p w14:paraId="79FA419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0B3AE2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82CD5B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B1005F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40C1431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5138E22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71379,34</w:t>
            </w:r>
          </w:p>
        </w:tc>
      </w:tr>
      <w:tr w:rsidR="00C430E9" w:rsidRPr="005B54EE" w14:paraId="266E7843"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2B3471B0"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5.  Other</w:t>
            </w:r>
          </w:p>
        </w:tc>
        <w:tc>
          <w:tcPr>
            <w:tcW w:w="914" w:type="dxa"/>
            <w:tcBorders>
              <w:top w:val="nil"/>
              <w:left w:val="nil"/>
              <w:bottom w:val="single" w:sz="4" w:space="0" w:color="auto"/>
              <w:right w:val="single" w:sz="4" w:space="0" w:color="auto"/>
            </w:tcBorders>
            <w:shd w:val="clear" w:color="000000" w:fill="CCFFFF"/>
            <w:noWrap/>
            <w:vAlign w:val="bottom"/>
            <w:hideMark/>
          </w:tcPr>
          <w:p w14:paraId="15FA2AC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1476,39</w:t>
            </w:r>
          </w:p>
        </w:tc>
        <w:tc>
          <w:tcPr>
            <w:tcW w:w="820" w:type="dxa"/>
            <w:tcBorders>
              <w:top w:val="nil"/>
              <w:left w:val="nil"/>
              <w:bottom w:val="single" w:sz="4" w:space="0" w:color="auto"/>
              <w:right w:val="single" w:sz="4" w:space="0" w:color="auto"/>
            </w:tcBorders>
            <w:shd w:val="clear" w:color="000000" w:fill="CCFFFF"/>
            <w:noWrap/>
            <w:vAlign w:val="bottom"/>
            <w:hideMark/>
          </w:tcPr>
          <w:p w14:paraId="3947025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2,02</w:t>
            </w:r>
          </w:p>
        </w:tc>
        <w:tc>
          <w:tcPr>
            <w:tcW w:w="820" w:type="dxa"/>
            <w:tcBorders>
              <w:top w:val="nil"/>
              <w:left w:val="nil"/>
              <w:bottom w:val="single" w:sz="4" w:space="0" w:color="auto"/>
              <w:right w:val="single" w:sz="4" w:space="0" w:color="auto"/>
            </w:tcBorders>
            <w:shd w:val="clear" w:color="000000" w:fill="CCFFFF"/>
            <w:noWrap/>
            <w:vAlign w:val="bottom"/>
            <w:hideMark/>
          </w:tcPr>
          <w:p w14:paraId="7431570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8,13</w:t>
            </w:r>
          </w:p>
        </w:tc>
        <w:tc>
          <w:tcPr>
            <w:tcW w:w="820" w:type="dxa"/>
            <w:tcBorders>
              <w:top w:val="nil"/>
              <w:left w:val="nil"/>
              <w:bottom w:val="single" w:sz="4" w:space="0" w:color="auto"/>
              <w:right w:val="single" w:sz="4" w:space="0" w:color="auto"/>
            </w:tcBorders>
            <w:shd w:val="clear" w:color="000000" w:fill="969696"/>
            <w:noWrap/>
            <w:vAlign w:val="bottom"/>
            <w:hideMark/>
          </w:tcPr>
          <w:p w14:paraId="23E3E9A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987844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EEB9FF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064BBD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038723A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726EF9B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1486,53</w:t>
            </w:r>
          </w:p>
        </w:tc>
      </w:tr>
      <w:tr w:rsidR="00C430E9" w:rsidRPr="005B54EE" w14:paraId="4ACF7CB7"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7085E34"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B. Fugitive emissions from fuels</w:t>
            </w:r>
          </w:p>
        </w:tc>
        <w:tc>
          <w:tcPr>
            <w:tcW w:w="914" w:type="dxa"/>
            <w:tcBorders>
              <w:top w:val="nil"/>
              <w:left w:val="nil"/>
              <w:bottom w:val="single" w:sz="4" w:space="0" w:color="auto"/>
              <w:right w:val="single" w:sz="4" w:space="0" w:color="auto"/>
            </w:tcBorders>
            <w:shd w:val="clear" w:color="000000" w:fill="CCFFFF"/>
            <w:noWrap/>
            <w:vAlign w:val="bottom"/>
            <w:hideMark/>
          </w:tcPr>
          <w:p w14:paraId="1712F61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2203,10</w:t>
            </w:r>
          </w:p>
        </w:tc>
        <w:tc>
          <w:tcPr>
            <w:tcW w:w="820" w:type="dxa"/>
            <w:tcBorders>
              <w:top w:val="nil"/>
              <w:left w:val="nil"/>
              <w:bottom w:val="single" w:sz="4" w:space="0" w:color="auto"/>
              <w:right w:val="single" w:sz="4" w:space="0" w:color="auto"/>
            </w:tcBorders>
            <w:shd w:val="clear" w:color="000000" w:fill="CCFFFF"/>
            <w:noWrap/>
            <w:vAlign w:val="bottom"/>
            <w:hideMark/>
          </w:tcPr>
          <w:p w14:paraId="4D788EE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851,21</w:t>
            </w:r>
          </w:p>
        </w:tc>
        <w:tc>
          <w:tcPr>
            <w:tcW w:w="820" w:type="dxa"/>
            <w:tcBorders>
              <w:top w:val="nil"/>
              <w:left w:val="nil"/>
              <w:bottom w:val="single" w:sz="4" w:space="0" w:color="auto"/>
              <w:right w:val="single" w:sz="4" w:space="0" w:color="auto"/>
            </w:tcBorders>
            <w:shd w:val="clear" w:color="000000" w:fill="CCFFFF"/>
            <w:noWrap/>
            <w:vAlign w:val="bottom"/>
            <w:hideMark/>
          </w:tcPr>
          <w:p w14:paraId="250E072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151,02</w:t>
            </w:r>
          </w:p>
        </w:tc>
        <w:tc>
          <w:tcPr>
            <w:tcW w:w="820" w:type="dxa"/>
            <w:tcBorders>
              <w:top w:val="nil"/>
              <w:left w:val="nil"/>
              <w:bottom w:val="single" w:sz="4" w:space="0" w:color="auto"/>
              <w:right w:val="single" w:sz="4" w:space="0" w:color="auto"/>
            </w:tcBorders>
            <w:shd w:val="clear" w:color="000000" w:fill="969696"/>
            <w:noWrap/>
            <w:vAlign w:val="bottom"/>
            <w:hideMark/>
          </w:tcPr>
          <w:p w14:paraId="2634827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77CC96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947F9B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942E3B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16281E8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1C2822E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3205,33</w:t>
            </w:r>
          </w:p>
        </w:tc>
      </w:tr>
      <w:tr w:rsidR="00C430E9" w:rsidRPr="005B54EE" w14:paraId="2986234B"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4F043F0"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1.  Solid fuels</w:t>
            </w:r>
          </w:p>
        </w:tc>
        <w:tc>
          <w:tcPr>
            <w:tcW w:w="914" w:type="dxa"/>
            <w:tcBorders>
              <w:top w:val="nil"/>
              <w:left w:val="nil"/>
              <w:bottom w:val="single" w:sz="4" w:space="0" w:color="auto"/>
              <w:right w:val="single" w:sz="4" w:space="0" w:color="auto"/>
            </w:tcBorders>
            <w:shd w:val="clear" w:color="000000" w:fill="CCFFFF"/>
            <w:noWrap/>
            <w:vAlign w:val="bottom"/>
            <w:hideMark/>
          </w:tcPr>
          <w:p w14:paraId="606AFE4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03AA4E4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25,56</w:t>
            </w:r>
          </w:p>
        </w:tc>
        <w:tc>
          <w:tcPr>
            <w:tcW w:w="820" w:type="dxa"/>
            <w:tcBorders>
              <w:top w:val="nil"/>
              <w:left w:val="nil"/>
              <w:bottom w:val="single" w:sz="4" w:space="0" w:color="auto"/>
              <w:right w:val="single" w:sz="4" w:space="0" w:color="auto"/>
            </w:tcBorders>
            <w:shd w:val="clear" w:color="000000" w:fill="CCFFFF"/>
            <w:noWrap/>
            <w:vAlign w:val="bottom"/>
            <w:hideMark/>
          </w:tcPr>
          <w:p w14:paraId="3788C04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NO,NE</w:t>
            </w:r>
          </w:p>
        </w:tc>
        <w:tc>
          <w:tcPr>
            <w:tcW w:w="820" w:type="dxa"/>
            <w:tcBorders>
              <w:top w:val="nil"/>
              <w:left w:val="nil"/>
              <w:bottom w:val="single" w:sz="4" w:space="0" w:color="auto"/>
              <w:right w:val="single" w:sz="4" w:space="0" w:color="auto"/>
            </w:tcBorders>
            <w:shd w:val="clear" w:color="000000" w:fill="969696"/>
            <w:noWrap/>
            <w:vAlign w:val="bottom"/>
            <w:hideMark/>
          </w:tcPr>
          <w:p w14:paraId="1444FAC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55634E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737949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A4C8AE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257960D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3C83DB7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25,56</w:t>
            </w:r>
          </w:p>
        </w:tc>
      </w:tr>
      <w:tr w:rsidR="00C430E9" w:rsidRPr="005B54EE" w14:paraId="5FE0B694"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A04B24A"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2.  Oil and natural gas</w:t>
            </w:r>
          </w:p>
        </w:tc>
        <w:tc>
          <w:tcPr>
            <w:tcW w:w="914" w:type="dxa"/>
            <w:tcBorders>
              <w:top w:val="nil"/>
              <w:left w:val="nil"/>
              <w:bottom w:val="single" w:sz="4" w:space="0" w:color="auto"/>
              <w:right w:val="single" w:sz="4" w:space="0" w:color="auto"/>
            </w:tcBorders>
            <w:shd w:val="clear" w:color="000000" w:fill="CCFFFF"/>
            <w:noWrap/>
            <w:vAlign w:val="bottom"/>
            <w:hideMark/>
          </w:tcPr>
          <w:p w14:paraId="413883A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2203,10</w:t>
            </w:r>
          </w:p>
        </w:tc>
        <w:tc>
          <w:tcPr>
            <w:tcW w:w="820" w:type="dxa"/>
            <w:tcBorders>
              <w:top w:val="nil"/>
              <w:left w:val="nil"/>
              <w:bottom w:val="single" w:sz="4" w:space="0" w:color="auto"/>
              <w:right w:val="single" w:sz="4" w:space="0" w:color="auto"/>
            </w:tcBorders>
            <w:shd w:val="clear" w:color="000000" w:fill="CCFFFF"/>
            <w:noWrap/>
            <w:vAlign w:val="bottom"/>
            <w:hideMark/>
          </w:tcPr>
          <w:p w14:paraId="301F24B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825,65</w:t>
            </w:r>
          </w:p>
        </w:tc>
        <w:tc>
          <w:tcPr>
            <w:tcW w:w="820" w:type="dxa"/>
            <w:tcBorders>
              <w:top w:val="nil"/>
              <w:left w:val="nil"/>
              <w:bottom w:val="single" w:sz="4" w:space="0" w:color="auto"/>
              <w:right w:val="single" w:sz="4" w:space="0" w:color="auto"/>
            </w:tcBorders>
            <w:shd w:val="clear" w:color="000000" w:fill="CCFFFF"/>
            <w:noWrap/>
            <w:vAlign w:val="bottom"/>
            <w:hideMark/>
          </w:tcPr>
          <w:p w14:paraId="35D036C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151,02</w:t>
            </w:r>
          </w:p>
        </w:tc>
        <w:tc>
          <w:tcPr>
            <w:tcW w:w="820" w:type="dxa"/>
            <w:tcBorders>
              <w:top w:val="nil"/>
              <w:left w:val="nil"/>
              <w:bottom w:val="single" w:sz="4" w:space="0" w:color="auto"/>
              <w:right w:val="single" w:sz="4" w:space="0" w:color="auto"/>
            </w:tcBorders>
            <w:shd w:val="clear" w:color="000000" w:fill="969696"/>
            <w:noWrap/>
            <w:vAlign w:val="bottom"/>
            <w:hideMark/>
          </w:tcPr>
          <w:p w14:paraId="0FD34AC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7E7F11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8188F1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13644B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9F7E94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16BCB10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3179,77</w:t>
            </w:r>
          </w:p>
        </w:tc>
      </w:tr>
      <w:tr w:rsidR="00C430E9" w:rsidRPr="005B54EE" w14:paraId="711D590D"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AC945D3" w14:textId="2B755415" w:rsidR="00C430E9" w:rsidRPr="005B54EE" w:rsidRDefault="00C430E9" w:rsidP="0046409B">
            <w:pPr>
              <w:jc w:val="left"/>
              <w:rPr>
                <w:rFonts w:ascii="Times New Roman" w:hAnsi="Times New Roman"/>
                <w:sz w:val="14"/>
                <w:szCs w:val="16"/>
              </w:rPr>
            </w:pPr>
            <w:r w:rsidRPr="005B54EE">
              <w:rPr>
                <w:rFonts w:ascii="Times New Roman" w:hAnsi="Times New Roman"/>
                <w:sz w:val="14"/>
              </w:rPr>
              <w:t xml:space="preserve">C. </w:t>
            </w:r>
            <w:r w:rsidRPr="005B54EE">
              <w:rPr>
                <w:sz w:val="14"/>
              </w:rPr>
              <w:t>CO</w:t>
            </w:r>
            <w:r w:rsidRPr="005B54EE">
              <w:rPr>
                <w:sz w:val="14"/>
                <w:vertAlign w:val="subscript"/>
              </w:rPr>
              <w:t>2</w:t>
            </w:r>
            <w:r w:rsidRPr="005B54EE">
              <w:rPr>
                <w:rFonts w:ascii="Times New Roman" w:hAnsi="Times New Roman"/>
                <w:sz w:val="14"/>
              </w:rPr>
              <w:t xml:space="preserve"> transport and storage</w:t>
            </w:r>
          </w:p>
        </w:tc>
        <w:tc>
          <w:tcPr>
            <w:tcW w:w="914" w:type="dxa"/>
            <w:tcBorders>
              <w:top w:val="nil"/>
              <w:left w:val="nil"/>
              <w:bottom w:val="single" w:sz="4" w:space="0" w:color="auto"/>
              <w:right w:val="single" w:sz="4" w:space="0" w:color="auto"/>
            </w:tcBorders>
            <w:shd w:val="clear" w:color="000000" w:fill="CCFFFF"/>
            <w:noWrap/>
            <w:vAlign w:val="bottom"/>
            <w:hideMark/>
          </w:tcPr>
          <w:p w14:paraId="2688855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820" w:type="dxa"/>
            <w:tcBorders>
              <w:top w:val="nil"/>
              <w:left w:val="nil"/>
              <w:bottom w:val="single" w:sz="4" w:space="0" w:color="auto"/>
              <w:right w:val="single" w:sz="4" w:space="0" w:color="auto"/>
            </w:tcBorders>
            <w:shd w:val="clear" w:color="000000" w:fill="969696"/>
            <w:noWrap/>
            <w:vAlign w:val="bottom"/>
            <w:hideMark/>
          </w:tcPr>
          <w:p w14:paraId="5E715F8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3E6BC6D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47B71FE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74FFB4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26766C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3DF8D0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72332FF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30C42DC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r>
      <w:tr w:rsidR="00C430E9" w:rsidRPr="005B54EE" w14:paraId="3614E77E"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DEE2A2F"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2.  Industrial processes and product use</w:t>
            </w:r>
          </w:p>
        </w:tc>
        <w:tc>
          <w:tcPr>
            <w:tcW w:w="914" w:type="dxa"/>
            <w:tcBorders>
              <w:top w:val="nil"/>
              <w:left w:val="nil"/>
              <w:bottom w:val="single" w:sz="4" w:space="0" w:color="auto"/>
              <w:right w:val="single" w:sz="4" w:space="0" w:color="auto"/>
            </w:tcBorders>
            <w:shd w:val="clear" w:color="000000" w:fill="CCFFFF"/>
            <w:noWrap/>
            <w:vAlign w:val="bottom"/>
            <w:hideMark/>
          </w:tcPr>
          <w:p w14:paraId="04D4F44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26762,04</w:t>
            </w:r>
          </w:p>
        </w:tc>
        <w:tc>
          <w:tcPr>
            <w:tcW w:w="820" w:type="dxa"/>
            <w:tcBorders>
              <w:top w:val="nil"/>
              <w:left w:val="nil"/>
              <w:bottom w:val="single" w:sz="4" w:space="0" w:color="auto"/>
              <w:right w:val="single" w:sz="4" w:space="0" w:color="auto"/>
            </w:tcBorders>
            <w:shd w:val="clear" w:color="000000" w:fill="CCFFFF"/>
            <w:noWrap/>
            <w:vAlign w:val="bottom"/>
            <w:hideMark/>
          </w:tcPr>
          <w:p w14:paraId="78AB881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57,12</w:t>
            </w:r>
          </w:p>
        </w:tc>
        <w:tc>
          <w:tcPr>
            <w:tcW w:w="820" w:type="dxa"/>
            <w:tcBorders>
              <w:top w:val="nil"/>
              <w:left w:val="nil"/>
              <w:bottom w:val="single" w:sz="4" w:space="0" w:color="auto"/>
              <w:right w:val="single" w:sz="4" w:space="0" w:color="auto"/>
            </w:tcBorders>
            <w:shd w:val="clear" w:color="000000" w:fill="CCFFFF"/>
            <w:noWrap/>
            <w:vAlign w:val="bottom"/>
            <w:hideMark/>
          </w:tcPr>
          <w:p w14:paraId="67913E8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742,88</w:t>
            </w:r>
          </w:p>
        </w:tc>
        <w:tc>
          <w:tcPr>
            <w:tcW w:w="820" w:type="dxa"/>
            <w:tcBorders>
              <w:top w:val="nil"/>
              <w:left w:val="nil"/>
              <w:bottom w:val="single" w:sz="4" w:space="0" w:color="auto"/>
              <w:right w:val="single" w:sz="4" w:space="0" w:color="auto"/>
            </w:tcBorders>
            <w:shd w:val="clear" w:color="000000" w:fill="CCFFFF"/>
            <w:noWrap/>
            <w:vAlign w:val="bottom"/>
            <w:hideMark/>
          </w:tcPr>
          <w:p w14:paraId="4A18052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11822,65</w:t>
            </w:r>
          </w:p>
        </w:tc>
        <w:tc>
          <w:tcPr>
            <w:tcW w:w="723" w:type="dxa"/>
            <w:tcBorders>
              <w:top w:val="nil"/>
              <w:left w:val="nil"/>
              <w:bottom w:val="single" w:sz="4" w:space="0" w:color="auto"/>
              <w:right w:val="single" w:sz="4" w:space="0" w:color="auto"/>
            </w:tcBorders>
            <w:shd w:val="clear" w:color="000000" w:fill="CCFFFF"/>
            <w:noWrap/>
            <w:vAlign w:val="bottom"/>
            <w:hideMark/>
          </w:tcPr>
          <w:p w14:paraId="168B642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543,49</w:t>
            </w:r>
          </w:p>
        </w:tc>
        <w:tc>
          <w:tcPr>
            <w:tcW w:w="723" w:type="dxa"/>
            <w:tcBorders>
              <w:top w:val="nil"/>
              <w:left w:val="nil"/>
              <w:bottom w:val="single" w:sz="4" w:space="0" w:color="auto"/>
              <w:right w:val="single" w:sz="4" w:space="0" w:color="auto"/>
            </w:tcBorders>
            <w:shd w:val="clear" w:color="000000" w:fill="CCFFFF"/>
            <w:noWrap/>
            <w:vAlign w:val="bottom"/>
            <w:hideMark/>
          </w:tcPr>
          <w:p w14:paraId="7C8E90C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347,77</w:t>
            </w:r>
          </w:p>
        </w:tc>
        <w:tc>
          <w:tcPr>
            <w:tcW w:w="1276" w:type="dxa"/>
            <w:tcBorders>
              <w:top w:val="nil"/>
              <w:left w:val="nil"/>
              <w:bottom w:val="single" w:sz="4" w:space="0" w:color="auto"/>
              <w:right w:val="single" w:sz="4" w:space="0" w:color="auto"/>
            </w:tcBorders>
            <w:shd w:val="clear" w:color="000000" w:fill="CCFFFF"/>
            <w:noWrap/>
            <w:vAlign w:val="bottom"/>
            <w:hideMark/>
          </w:tcPr>
          <w:p w14:paraId="0454DCE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487" w:type="dxa"/>
            <w:tcBorders>
              <w:top w:val="nil"/>
              <w:left w:val="nil"/>
              <w:bottom w:val="single" w:sz="4" w:space="0" w:color="auto"/>
              <w:right w:val="single" w:sz="4" w:space="0" w:color="auto"/>
            </w:tcBorders>
            <w:shd w:val="clear" w:color="000000" w:fill="CCFFFF"/>
            <w:noWrap/>
            <w:vAlign w:val="bottom"/>
            <w:hideMark/>
          </w:tcPr>
          <w:p w14:paraId="46AACC1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8,54</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2164E0E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40284,48</w:t>
            </w:r>
          </w:p>
        </w:tc>
      </w:tr>
      <w:tr w:rsidR="00C430E9" w:rsidRPr="005B54EE" w14:paraId="0DAA7D05"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B01A3FD"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A.  Mineral industry</w:t>
            </w:r>
          </w:p>
        </w:tc>
        <w:tc>
          <w:tcPr>
            <w:tcW w:w="914" w:type="dxa"/>
            <w:tcBorders>
              <w:top w:val="nil"/>
              <w:left w:val="nil"/>
              <w:bottom w:val="single" w:sz="4" w:space="0" w:color="auto"/>
              <w:right w:val="single" w:sz="4" w:space="0" w:color="auto"/>
            </w:tcBorders>
            <w:shd w:val="clear" w:color="000000" w:fill="CCFFFF"/>
            <w:noWrap/>
            <w:vAlign w:val="bottom"/>
            <w:hideMark/>
          </w:tcPr>
          <w:p w14:paraId="68FD0B3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9082,96</w:t>
            </w:r>
          </w:p>
        </w:tc>
        <w:tc>
          <w:tcPr>
            <w:tcW w:w="820" w:type="dxa"/>
            <w:tcBorders>
              <w:top w:val="nil"/>
              <w:left w:val="nil"/>
              <w:bottom w:val="single" w:sz="4" w:space="0" w:color="auto"/>
              <w:right w:val="single" w:sz="4" w:space="0" w:color="auto"/>
            </w:tcBorders>
            <w:shd w:val="clear" w:color="000000" w:fill="969696"/>
            <w:noWrap/>
            <w:vAlign w:val="bottom"/>
            <w:hideMark/>
          </w:tcPr>
          <w:p w14:paraId="4EA4CCF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3582D9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8D90DF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9F95AA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E16982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3D8A6F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298A9A3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54BF2B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9082,96</w:t>
            </w:r>
          </w:p>
        </w:tc>
      </w:tr>
      <w:tr w:rsidR="00C430E9" w:rsidRPr="005B54EE" w14:paraId="093A18A2"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08AE0F0"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B.  Chemical industry</w:t>
            </w:r>
          </w:p>
        </w:tc>
        <w:tc>
          <w:tcPr>
            <w:tcW w:w="914" w:type="dxa"/>
            <w:tcBorders>
              <w:top w:val="nil"/>
              <w:left w:val="nil"/>
              <w:bottom w:val="single" w:sz="4" w:space="0" w:color="auto"/>
              <w:right w:val="single" w:sz="4" w:space="0" w:color="auto"/>
            </w:tcBorders>
            <w:shd w:val="clear" w:color="000000" w:fill="CCFFFF"/>
            <w:noWrap/>
            <w:vAlign w:val="bottom"/>
            <w:hideMark/>
          </w:tcPr>
          <w:p w14:paraId="4AE432E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6282,91</w:t>
            </w:r>
          </w:p>
        </w:tc>
        <w:tc>
          <w:tcPr>
            <w:tcW w:w="820" w:type="dxa"/>
            <w:tcBorders>
              <w:top w:val="nil"/>
              <w:left w:val="nil"/>
              <w:bottom w:val="single" w:sz="4" w:space="0" w:color="auto"/>
              <w:right w:val="single" w:sz="4" w:space="0" w:color="auto"/>
            </w:tcBorders>
            <w:shd w:val="clear" w:color="000000" w:fill="CCFFFF"/>
            <w:noWrap/>
            <w:vAlign w:val="bottom"/>
            <w:hideMark/>
          </w:tcPr>
          <w:p w14:paraId="2F8187F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31,24</w:t>
            </w:r>
          </w:p>
        </w:tc>
        <w:tc>
          <w:tcPr>
            <w:tcW w:w="820" w:type="dxa"/>
            <w:tcBorders>
              <w:top w:val="nil"/>
              <w:left w:val="nil"/>
              <w:bottom w:val="single" w:sz="4" w:space="0" w:color="auto"/>
              <w:right w:val="single" w:sz="4" w:space="0" w:color="auto"/>
            </w:tcBorders>
            <w:shd w:val="clear" w:color="000000" w:fill="CCFFFF"/>
            <w:noWrap/>
            <w:vAlign w:val="bottom"/>
            <w:hideMark/>
          </w:tcPr>
          <w:p w14:paraId="174A8DA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606,27</w:t>
            </w:r>
          </w:p>
        </w:tc>
        <w:tc>
          <w:tcPr>
            <w:tcW w:w="820" w:type="dxa"/>
            <w:tcBorders>
              <w:top w:val="nil"/>
              <w:left w:val="nil"/>
              <w:bottom w:val="single" w:sz="4" w:space="0" w:color="auto"/>
              <w:right w:val="single" w:sz="4" w:space="0" w:color="auto"/>
            </w:tcBorders>
            <w:shd w:val="clear" w:color="000000" w:fill="CCFFFF"/>
            <w:noWrap/>
            <w:vAlign w:val="bottom"/>
            <w:hideMark/>
          </w:tcPr>
          <w:p w14:paraId="22287DC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94,45</w:t>
            </w:r>
          </w:p>
        </w:tc>
        <w:tc>
          <w:tcPr>
            <w:tcW w:w="723" w:type="dxa"/>
            <w:tcBorders>
              <w:top w:val="nil"/>
              <w:left w:val="nil"/>
              <w:bottom w:val="single" w:sz="4" w:space="0" w:color="auto"/>
              <w:right w:val="single" w:sz="4" w:space="0" w:color="auto"/>
            </w:tcBorders>
            <w:shd w:val="clear" w:color="000000" w:fill="CCFFFF"/>
            <w:noWrap/>
            <w:vAlign w:val="bottom"/>
            <w:hideMark/>
          </w:tcPr>
          <w:p w14:paraId="066F2EA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723" w:type="dxa"/>
            <w:tcBorders>
              <w:top w:val="nil"/>
              <w:left w:val="nil"/>
              <w:bottom w:val="single" w:sz="4" w:space="0" w:color="auto"/>
              <w:right w:val="single" w:sz="4" w:space="0" w:color="auto"/>
            </w:tcBorders>
            <w:shd w:val="clear" w:color="000000" w:fill="CCFFFF"/>
            <w:noWrap/>
            <w:vAlign w:val="bottom"/>
            <w:hideMark/>
          </w:tcPr>
          <w:p w14:paraId="725D052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1276" w:type="dxa"/>
            <w:tcBorders>
              <w:top w:val="nil"/>
              <w:left w:val="nil"/>
              <w:bottom w:val="single" w:sz="4" w:space="0" w:color="auto"/>
              <w:right w:val="single" w:sz="4" w:space="0" w:color="auto"/>
            </w:tcBorders>
            <w:shd w:val="clear" w:color="000000" w:fill="CCFFFF"/>
            <w:noWrap/>
            <w:vAlign w:val="bottom"/>
            <w:hideMark/>
          </w:tcPr>
          <w:p w14:paraId="759B45C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487" w:type="dxa"/>
            <w:tcBorders>
              <w:top w:val="nil"/>
              <w:left w:val="nil"/>
              <w:bottom w:val="single" w:sz="4" w:space="0" w:color="auto"/>
              <w:right w:val="single" w:sz="4" w:space="0" w:color="auto"/>
            </w:tcBorders>
            <w:shd w:val="clear" w:color="000000" w:fill="CCFFFF"/>
            <w:noWrap/>
            <w:vAlign w:val="bottom"/>
            <w:hideMark/>
          </w:tcPr>
          <w:p w14:paraId="60D13F3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5672B29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7014,86</w:t>
            </w:r>
          </w:p>
        </w:tc>
      </w:tr>
      <w:tr w:rsidR="00C430E9" w:rsidRPr="005B54EE" w14:paraId="16D3BA07"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4CFC729"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C.  Metal industry</w:t>
            </w:r>
          </w:p>
        </w:tc>
        <w:tc>
          <w:tcPr>
            <w:tcW w:w="914" w:type="dxa"/>
            <w:tcBorders>
              <w:top w:val="nil"/>
              <w:left w:val="nil"/>
              <w:bottom w:val="single" w:sz="4" w:space="0" w:color="auto"/>
              <w:right w:val="single" w:sz="4" w:space="0" w:color="auto"/>
            </w:tcBorders>
            <w:shd w:val="clear" w:color="000000" w:fill="CCFFFF"/>
            <w:noWrap/>
            <w:vAlign w:val="bottom"/>
            <w:hideMark/>
          </w:tcPr>
          <w:p w14:paraId="02182E3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9862,56</w:t>
            </w:r>
          </w:p>
        </w:tc>
        <w:tc>
          <w:tcPr>
            <w:tcW w:w="820" w:type="dxa"/>
            <w:tcBorders>
              <w:top w:val="nil"/>
              <w:left w:val="nil"/>
              <w:bottom w:val="single" w:sz="4" w:space="0" w:color="auto"/>
              <w:right w:val="single" w:sz="4" w:space="0" w:color="auto"/>
            </w:tcBorders>
            <w:shd w:val="clear" w:color="000000" w:fill="CCFFFF"/>
            <w:noWrap/>
            <w:vAlign w:val="bottom"/>
            <w:hideMark/>
          </w:tcPr>
          <w:p w14:paraId="74B2926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25,64</w:t>
            </w:r>
          </w:p>
        </w:tc>
        <w:tc>
          <w:tcPr>
            <w:tcW w:w="820" w:type="dxa"/>
            <w:tcBorders>
              <w:top w:val="nil"/>
              <w:left w:val="nil"/>
              <w:bottom w:val="single" w:sz="4" w:space="0" w:color="auto"/>
              <w:right w:val="single" w:sz="4" w:space="0" w:color="auto"/>
            </w:tcBorders>
            <w:shd w:val="clear" w:color="000000" w:fill="CCFFFF"/>
            <w:noWrap/>
            <w:vAlign w:val="bottom"/>
            <w:hideMark/>
          </w:tcPr>
          <w:p w14:paraId="01A86F9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35CEA8F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NO,IE</w:t>
            </w:r>
          </w:p>
        </w:tc>
        <w:tc>
          <w:tcPr>
            <w:tcW w:w="723" w:type="dxa"/>
            <w:tcBorders>
              <w:top w:val="nil"/>
              <w:left w:val="nil"/>
              <w:bottom w:val="single" w:sz="4" w:space="0" w:color="auto"/>
              <w:right w:val="single" w:sz="4" w:space="0" w:color="auto"/>
            </w:tcBorders>
            <w:shd w:val="clear" w:color="000000" w:fill="CCFFFF"/>
            <w:noWrap/>
            <w:vAlign w:val="bottom"/>
            <w:hideMark/>
          </w:tcPr>
          <w:p w14:paraId="5433BCE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61,33</w:t>
            </w:r>
          </w:p>
        </w:tc>
        <w:tc>
          <w:tcPr>
            <w:tcW w:w="723" w:type="dxa"/>
            <w:tcBorders>
              <w:top w:val="nil"/>
              <w:left w:val="nil"/>
              <w:bottom w:val="single" w:sz="4" w:space="0" w:color="auto"/>
              <w:right w:val="single" w:sz="4" w:space="0" w:color="auto"/>
            </w:tcBorders>
            <w:shd w:val="clear" w:color="000000" w:fill="CCFFFF"/>
            <w:noWrap/>
            <w:vAlign w:val="bottom"/>
            <w:hideMark/>
          </w:tcPr>
          <w:p w14:paraId="5FE3CF2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7,66</w:t>
            </w:r>
          </w:p>
        </w:tc>
        <w:tc>
          <w:tcPr>
            <w:tcW w:w="1276" w:type="dxa"/>
            <w:tcBorders>
              <w:top w:val="nil"/>
              <w:left w:val="nil"/>
              <w:bottom w:val="single" w:sz="4" w:space="0" w:color="auto"/>
              <w:right w:val="single" w:sz="4" w:space="0" w:color="auto"/>
            </w:tcBorders>
            <w:shd w:val="clear" w:color="000000" w:fill="CCFFFF"/>
            <w:noWrap/>
            <w:vAlign w:val="bottom"/>
            <w:hideMark/>
          </w:tcPr>
          <w:p w14:paraId="418FCD9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487" w:type="dxa"/>
            <w:tcBorders>
              <w:top w:val="nil"/>
              <w:left w:val="nil"/>
              <w:bottom w:val="single" w:sz="4" w:space="0" w:color="auto"/>
              <w:right w:val="single" w:sz="4" w:space="0" w:color="auto"/>
            </w:tcBorders>
            <w:shd w:val="clear" w:color="000000" w:fill="CCFFFF"/>
            <w:noWrap/>
            <w:vAlign w:val="bottom"/>
            <w:hideMark/>
          </w:tcPr>
          <w:p w14:paraId="44CEBDF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A5AC21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9957,18</w:t>
            </w:r>
          </w:p>
        </w:tc>
      </w:tr>
      <w:tr w:rsidR="00C430E9" w:rsidRPr="005B54EE" w14:paraId="4138C9C9"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53946CB1"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D.  Non-energy products from fuels and solvent use</w:t>
            </w:r>
          </w:p>
        </w:tc>
        <w:tc>
          <w:tcPr>
            <w:tcW w:w="914" w:type="dxa"/>
            <w:tcBorders>
              <w:top w:val="nil"/>
              <w:left w:val="nil"/>
              <w:bottom w:val="single" w:sz="4" w:space="0" w:color="auto"/>
              <w:right w:val="single" w:sz="4" w:space="0" w:color="auto"/>
            </w:tcBorders>
            <w:shd w:val="clear" w:color="000000" w:fill="CCFFFF"/>
            <w:noWrap/>
            <w:vAlign w:val="bottom"/>
            <w:hideMark/>
          </w:tcPr>
          <w:p w14:paraId="001AAD7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1071,19</w:t>
            </w:r>
          </w:p>
        </w:tc>
        <w:tc>
          <w:tcPr>
            <w:tcW w:w="820" w:type="dxa"/>
            <w:tcBorders>
              <w:top w:val="nil"/>
              <w:left w:val="nil"/>
              <w:bottom w:val="single" w:sz="4" w:space="0" w:color="auto"/>
              <w:right w:val="single" w:sz="4" w:space="0" w:color="auto"/>
            </w:tcBorders>
            <w:shd w:val="clear" w:color="000000" w:fill="CCFFFF"/>
            <w:noWrap/>
            <w:vAlign w:val="bottom"/>
            <w:hideMark/>
          </w:tcPr>
          <w:p w14:paraId="1A7CE4E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0,24</w:t>
            </w:r>
          </w:p>
        </w:tc>
        <w:tc>
          <w:tcPr>
            <w:tcW w:w="820" w:type="dxa"/>
            <w:tcBorders>
              <w:top w:val="nil"/>
              <w:left w:val="nil"/>
              <w:bottom w:val="single" w:sz="4" w:space="0" w:color="auto"/>
              <w:right w:val="single" w:sz="4" w:space="0" w:color="auto"/>
            </w:tcBorders>
            <w:shd w:val="clear" w:color="000000" w:fill="CCFFFF"/>
            <w:noWrap/>
            <w:vAlign w:val="bottom"/>
            <w:hideMark/>
          </w:tcPr>
          <w:p w14:paraId="446545E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2,03</w:t>
            </w:r>
          </w:p>
        </w:tc>
        <w:tc>
          <w:tcPr>
            <w:tcW w:w="820" w:type="dxa"/>
            <w:tcBorders>
              <w:top w:val="nil"/>
              <w:left w:val="nil"/>
              <w:bottom w:val="single" w:sz="4" w:space="0" w:color="auto"/>
              <w:right w:val="single" w:sz="4" w:space="0" w:color="auto"/>
            </w:tcBorders>
            <w:shd w:val="clear" w:color="000000" w:fill="969696"/>
            <w:noWrap/>
            <w:vAlign w:val="bottom"/>
            <w:hideMark/>
          </w:tcPr>
          <w:p w14:paraId="7C36D58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EA9C98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2A5DA4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FB478A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985F08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5269D5B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1073,46</w:t>
            </w:r>
          </w:p>
        </w:tc>
      </w:tr>
      <w:tr w:rsidR="00C430E9" w:rsidRPr="005B54EE" w14:paraId="667C36DC"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3AA20AF9"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 xml:space="preserve">E.  Electronic Industry </w:t>
            </w:r>
          </w:p>
        </w:tc>
        <w:tc>
          <w:tcPr>
            <w:tcW w:w="914" w:type="dxa"/>
            <w:tcBorders>
              <w:top w:val="nil"/>
              <w:left w:val="nil"/>
              <w:bottom w:val="single" w:sz="4" w:space="0" w:color="auto"/>
              <w:right w:val="single" w:sz="4" w:space="0" w:color="auto"/>
            </w:tcBorders>
            <w:shd w:val="clear" w:color="000000" w:fill="969696"/>
            <w:noWrap/>
            <w:vAlign w:val="bottom"/>
            <w:hideMark/>
          </w:tcPr>
          <w:p w14:paraId="758BBBF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CB6AD7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5729E46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7D2B4CE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6,62</w:t>
            </w:r>
          </w:p>
        </w:tc>
        <w:tc>
          <w:tcPr>
            <w:tcW w:w="723" w:type="dxa"/>
            <w:tcBorders>
              <w:top w:val="nil"/>
              <w:left w:val="nil"/>
              <w:bottom w:val="single" w:sz="4" w:space="0" w:color="auto"/>
              <w:right w:val="single" w:sz="4" w:space="0" w:color="auto"/>
            </w:tcBorders>
            <w:shd w:val="clear" w:color="000000" w:fill="CCFFFF"/>
            <w:noWrap/>
            <w:vAlign w:val="bottom"/>
            <w:hideMark/>
          </w:tcPr>
          <w:p w14:paraId="0131464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77,41</w:t>
            </w:r>
          </w:p>
        </w:tc>
        <w:tc>
          <w:tcPr>
            <w:tcW w:w="723" w:type="dxa"/>
            <w:tcBorders>
              <w:top w:val="nil"/>
              <w:left w:val="nil"/>
              <w:bottom w:val="single" w:sz="4" w:space="0" w:color="auto"/>
              <w:right w:val="single" w:sz="4" w:space="0" w:color="auto"/>
            </w:tcBorders>
            <w:shd w:val="clear" w:color="000000" w:fill="CCFFFF"/>
            <w:noWrap/>
            <w:vAlign w:val="bottom"/>
            <w:hideMark/>
          </w:tcPr>
          <w:p w14:paraId="5A62EDD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4,08</w:t>
            </w:r>
          </w:p>
        </w:tc>
        <w:tc>
          <w:tcPr>
            <w:tcW w:w="1276" w:type="dxa"/>
            <w:tcBorders>
              <w:top w:val="nil"/>
              <w:left w:val="nil"/>
              <w:bottom w:val="single" w:sz="4" w:space="0" w:color="auto"/>
              <w:right w:val="single" w:sz="4" w:space="0" w:color="auto"/>
            </w:tcBorders>
            <w:shd w:val="clear" w:color="000000" w:fill="CCFFFF"/>
            <w:noWrap/>
            <w:vAlign w:val="bottom"/>
            <w:hideMark/>
          </w:tcPr>
          <w:p w14:paraId="204AF9D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487" w:type="dxa"/>
            <w:tcBorders>
              <w:top w:val="nil"/>
              <w:left w:val="nil"/>
              <w:bottom w:val="single" w:sz="4" w:space="0" w:color="auto"/>
              <w:right w:val="single" w:sz="4" w:space="0" w:color="auto"/>
            </w:tcBorders>
            <w:shd w:val="clear" w:color="000000" w:fill="CCFFFF"/>
            <w:noWrap/>
            <w:vAlign w:val="bottom"/>
            <w:hideMark/>
          </w:tcPr>
          <w:p w14:paraId="776097C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8,54</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FAACCB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96,65</w:t>
            </w:r>
          </w:p>
        </w:tc>
      </w:tr>
      <w:tr w:rsidR="00C430E9" w:rsidRPr="005B54EE" w14:paraId="2B1DC640"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46518078"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 xml:space="preserve">F.  Product uses as ODS substitutes </w:t>
            </w:r>
          </w:p>
        </w:tc>
        <w:tc>
          <w:tcPr>
            <w:tcW w:w="914" w:type="dxa"/>
            <w:tcBorders>
              <w:top w:val="nil"/>
              <w:left w:val="nil"/>
              <w:bottom w:val="single" w:sz="4" w:space="0" w:color="auto"/>
              <w:right w:val="single" w:sz="4" w:space="0" w:color="auto"/>
            </w:tcBorders>
            <w:shd w:val="clear" w:color="000000" w:fill="969696"/>
            <w:noWrap/>
            <w:vAlign w:val="bottom"/>
            <w:hideMark/>
          </w:tcPr>
          <w:p w14:paraId="3FBA60A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C1B819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6479F9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34C39D4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11720,99</w:t>
            </w:r>
          </w:p>
        </w:tc>
        <w:tc>
          <w:tcPr>
            <w:tcW w:w="723" w:type="dxa"/>
            <w:tcBorders>
              <w:top w:val="nil"/>
              <w:left w:val="nil"/>
              <w:bottom w:val="single" w:sz="4" w:space="0" w:color="auto"/>
              <w:right w:val="single" w:sz="4" w:space="0" w:color="auto"/>
            </w:tcBorders>
            <w:shd w:val="clear" w:color="000000" w:fill="CCFFFF"/>
            <w:noWrap/>
            <w:vAlign w:val="bottom"/>
            <w:hideMark/>
          </w:tcPr>
          <w:p w14:paraId="4F74C89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CCFFFF"/>
            <w:noWrap/>
            <w:vAlign w:val="bottom"/>
            <w:hideMark/>
          </w:tcPr>
          <w:p w14:paraId="4E410E7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CCFFFF"/>
            <w:noWrap/>
            <w:vAlign w:val="bottom"/>
            <w:hideMark/>
          </w:tcPr>
          <w:p w14:paraId="30D5E15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CCFFFF"/>
            <w:noWrap/>
            <w:vAlign w:val="bottom"/>
            <w:hideMark/>
          </w:tcPr>
          <w:p w14:paraId="1832EA8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745CE72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11720,99</w:t>
            </w:r>
          </w:p>
        </w:tc>
      </w:tr>
      <w:tr w:rsidR="00C430E9" w:rsidRPr="005B54EE" w14:paraId="2F6CEA50"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304B4684"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 xml:space="preserve">G.  Other product manufacture and use </w:t>
            </w:r>
          </w:p>
        </w:tc>
        <w:tc>
          <w:tcPr>
            <w:tcW w:w="914" w:type="dxa"/>
            <w:tcBorders>
              <w:top w:val="nil"/>
              <w:left w:val="nil"/>
              <w:bottom w:val="single" w:sz="4" w:space="0" w:color="auto"/>
              <w:right w:val="single" w:sz="4" w:space="0" w:color="auto"/>
            </w:tcBorders>
            <w:shd w:val="clear" w:color="000000" w:fill="CCFFFF"/>
            <w:noWrap/>
            <w:vAlign w:val="bottom"/>
            <w:hideMark/>
          </w:tcPr>
          <w:p w14:paraId="52DCF17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462,31</w:t>
            </w:r>
          </w:p>
        </w:tc>
        <w:tc>
          <w:tcPr>
            <w:tcW w:w="820" w:type="dxa"/>
            <w:tcBorders>
              <w:top w:val="nil"/>
              <w:left w:val="nil"/>
              <w:bottom w:val="single" w:sz="4" w:space="0" w:color="auto"/>
              <w:right w:val="single" w:sz="4" w:space="0" w:color="auto"/>
            </w:tcBorders>
            <w:shd w:val="clear" w:color="000000" w:fill="CCFFFF"/>
            <w:noWrap/>
            <w:vAlign w:val="bottom"/>
            <w:hideMark/>
          </w:tcPr>
          <w:p w14:paraId="012784C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641E4C8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134,58</w:t>
            </w:r>
          </w:p>
        </w:tc>
        <w:tc>
          <w:tcPr>
            <w:tcW w:w="820" w:type="dxa"/>
            <w:tcBorders>
              <w:top w:val="nil"/>
              <w:left w:val="nil"/>
              <w:bottom w:val="single" w:sz="4" w:space="0" w:color="auto"/>
              <w:right w:val="single" w:sz="4" w:space="0" w:color="auto"/>
            </w:tcBorders>
            <w:shd w:val="clear" w:color="000000" w:fill="CCFFFF"/>
            <w:noWrap/>
            <w:vAlign w:val="bottom"/>
            <w:hideMark/>
          </w:tcPr>
          <w:p w14:paraId="796B407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0,59</w:t>
            </w:r>
          </w:p>
        </w:tc>
        <w:tc>
          <w:tcPr>
            <w:tcW w:w="723" w:type="dxa"/>
            <w:tcBorders>
              <w:top w:val="nil"/>
              <w:left w:val="nil"/>
              <w:bottom w:val="single" w:sz="4" w:space="0" w:color="auto"/>
              <w:right w:val="single" w:sz="4" w:space="0" w:color="auto"/>
            </w:tcBorders>
            <w:shd w:val="clear" w:color="000000" w:fill="CCFFFF"/>
            <w:noWrap/>
            <w:vAlign w:val="bottom"/>
            <w:hideMark/>
          </w:tcPr>
          <w:p w14:paraId="2294337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404,76</w:t>
            </w:r>
          </w:p>
        </w:tc>
        <w:tc>
          <w:tcPr>
            <w:tcW w:w="723" w:type="dxa"/>
            <w:tcBorders>
              <w:top w:val="nil"/>
              <w:left w:val="nil"/>
              <w:bottom w:val="single" w:sz="4" w:space="0" w:color="auto"/>
              <w:right w:val="single" w:sz="4" w:space="0" w:color="auto"/>
            </w:tcBorders>
            <w:shd w:val="clear" w:color="000000" w:fill="CCFFFF"/>
            <w:noWrap/>
            <w:vAlign w:val="bottom"/>
            <w:hideMark/>
          </w:tcPr>
          <w:p w14:paraId="2A869B1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336,02</w:t>
            </w:r>
          </w:p>
        </w:tc>
        <w:tc>
          <w:tcPr>
            <w:tcW w:w="1276" w:type="dxa"/>
            <w:tcBorders>
              <w:top w:val="nil"/>
              <w:left w:val="nil"/>
              <w:bottom w:val="single" w:sz="4" w:space="0" w:color="auto"/>
              <w:right w:val="single" w:sz="4" w:space="0" w:color="auto"/>
            </w:tcBorders>
            <w:shd w:val="clear" w:color="000000" w:fill="CCFFFF"/>
            <w:noWrap/>
            <w:vAlign w:val="bottom"/>
            <w:hideMark/>
          </w:tcPr>
          <w:p w14:paraId="08F9ADA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CCFFFF"/>
            <w:noWrap/>
            <w:vAlign w:val="bottom"/>
            <w:hideMark/>
          </w:tcPr>
          <w:p w14:paraId="6D87E51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116D76A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1338,27</w:t>
            </w:r>
          </w:p>
        </w:tc>
      </w:tr>
      <w:tr w:rsidR="00C430E9" w:rsidRPr="005B54EE" w14:paraId="760E5E0D"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065C127"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 xml:space="preserve">H.  Other </w:t>
            </w:r>
          </w:p>
        </w:tc>
        <w:tc>
          <w:tcPr>
            <w:tcW w:w="914" w:type="dxa"/>
            <w:tcBorders>
              <w:top w:val="nil"/>
              <w:left w:val="nil"/>
              <w:bottom w:val="single" w:sz="4" w:space="0" w:color="auto"/>
              <w:right w:val="single" w:sz="4" w:space="0" w:color="auto"/>
            </w:tcBorders>
            <w:shd w:val="clear" w:color="000000" w:fill="CCFFFF"/>
            <w:noWrap/>
            <w:vAlign w:val="bottom"/>
            <w:hideMark/>
          </w:tcPr>
          <w:p w14:paraId="5AAFB09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0,10</w:t>
            </w:r>
          </w:p>
        </w:tc>
        <w:tc>
          <w:tcPr>
            <w:tcW w:w="820" w:type="dxa"/>
            <w:tcBorders>
              <w:top w:val="nil"/>
              <w:left w:val="nil"/>
              <w:bottom w:val="single" w:sz="4" w:space="0" w:color="auto"/>
              <w:right w:val="single" w:sz="4" w:space="0" w:color="auto"/>
            </w:tcBorders>
            <w:shd w:val="clear" w:color="000000" w:fill="CCFFFF"/>
            <w:noWrap/>
            <w:vAlign w:val="bottom"/>
            <w:hideMark/>
          </w:tcPr>
          <w:p w14:paraId="211645E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6E84AE3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731C8B7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CCFFFF"/>
            <w:noWrap/>
            <w:vAlign w:val="bottom"/>
            <w:hideMark/>
          </w:tcPr>
          <w:p w14:paraId="291FF8A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CCFFFF"/>
            <w:noWrap/>
            <w:vAlign w:val="bottom"/>
            <w:hideMark/>
          </w:tcPr>
          <w:p w14:paraId="4A93DC9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CCFFFF"/>
            <w:noWrap/>
            <w:vAlign w:val="bottom"/>
            <w:hideMark/>
          </w:tcPr>
          <w:p w14:paraId="25825B3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CCFFFF"/>
            <w:noWrap/>
            <w:vAlign w:val="bottom"/>
            <w:hideMark/>
          </w:tcPr>
          <w:p w14:paraId="14F2C02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3FC14F5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0,10</w:t>
            </w:r>
          </w:p>
        </w:tc>
      </w:tr>
      <w:tr w:rsidR="00C430E9" w:rsidRPr="005B54EE" w14:paraId="63F57622"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203B0C90"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3.  Agriculture</w:t>
            </w:r>
          </w:p>
        </w:tc>
        <w:tc>
          <w:tcPr>
            <w:tcW w:w="914" w:type="dxa"/>
            <w:tcBorders>
              <w:top w:val="nil"/>
              <w:left w:val="nil"/>
              <w:bottom w:val="single" w:sz="4" w:space="0" w:color="auto"/>
              <w:right w:val="single" w:sz="4" w:space="0" w:color="auto"/>
            </w:tcBorders>
            <w:shd w:val="clear" w:color="000000" w:fill="CCFFFF"/>
            <w:noWrap/>
            <w:vAlign w:val="bottom"/>
            <w:hideMark/>
          </w:tcPr>
          <w:p w14:paraId="145DC34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1858,83</w:t>
            </w:r>
          </w:p>
        </w:tc>
        <w:tc>
          <w:tcPr>
            <w:tcW w:w="820" w:type="dxa"/>
            <w:tcBorders>
              <w:top w:val="nil"/>
              <w:left w:val="nil"/>
              <w:bottom w:val="single" w:sz="4" w:space="0" w:color="auto"/>
              <w:right w:val="single" w:sz="4" w:space="0" w:color="auto"/>
            </w:tcBorders>
            <w:shd w:val="clear" w:color="000000" w:fill="CCFFFF"/>
            <w:noWrap/>
            <w:vAlign w:val="bottom"/>
            <w:hideMark/>
          </w:tcPr>
          <w:p w14:paraId="6C1897B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37165,76</w:t>
            </w:r>
          </w:p>
        </w:tc>
        <w:tc>
          <w:tcPr>
            <w:tcW w:w="820" w:type="dxa"/>
            <w:tcBorders>
              <w:top w:val="nil"/>
              <w:left w:val="nil"/>
              <w:bottom w:val="single" w:sz="4" w:space="0" w:color="auto"/>
              <w:right w:val="single" w:sz="4" w:space="0" w:color="auto"/>
            </w:tcBorders>
            <w:shd w:val="clear" w:color="000000" w:fill="CCFFFF"/>
            <w:noWrap/>
            <w:vAlign w:val="bottom"/>
            <w:hideMark/>
          </w:tcPr>
          <w:p w14:paraId="0682028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31621,31</w:t>
            </w:r>
          </w:p>
        </w:tc>
        <w:tc>
          <w:tcPr>
            <w:tcW w:w="820" w:type="dxa"/>
            <w:tcBorders>
              <w:top w:val="nil"/>
              <w:left w:val="nil"/>
              <w:bottom w:val="single" w:sz="4" w:space="0" w:color="auto"/>
              <w:right w:val="single" w:sz="4" w:space="0" w:color="auto"/>
            </w:tcBorders>
            <w:shd w:val="clear" w:color="000000" w:fill="969696"/>
            <w:noWrap/>
            <w:vAlign w:val="bottom"/>
            <w:hideMark/>
          </w:tcPr>
          <w:p w14:paraId="44A8D3C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BD1837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FAD1D9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F55B80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6827E0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672A7C7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70645,91</w:t>
            </w:r>
          </w:p>
        </w:tc>
      </w:tr>
      <w:tr w:rsidR="00C430E9" w:rsidRPr="005B54EE" w14:paraId="50869738"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AC1EA30"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A.  Enteric fermentation</w:t>
            </w:r>
          </w:p>
        </w:tc>
        <w:tc>
          <w:tcPr>
            <w:tcW w:w="914" w:type="dxa"/>
            <w:tcBorders>
              <w:top w:val="nil"/>
              <w:left w:val="nil"/>
              <w:bottom w:val="single" w:sz="4" w:space="0" w:color="auto"/>
              <w:right w:val="single" w:sz="4" w:space="0" w:color="auto"/>
            </w:tcBorders>
            <w:shd w:val="clear" w:color="000000" w:fill="969696"/>
            <w:noWrap/>
            <w:vAlign w:val="bottom"/>
            <w:hideMark/>
          </w:tcPr>
          <w:p w14:paraId="5C422C9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71B5B86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33258,60</w:t>
            </w:r>
          </w:p>
        </w:tc>
        <w:tc>
          <w:tcPr>
            <w:tcW w:w="820" w:type="dxa"/>
            <w:tcBorders>
              <w:top w:val="nil"/>
              <w:left w:val="nil"/>
              <w:bottom w:val="single" w:sz="4" w:space="0" w:color="auto"/>
              <w:right w:val="single" w:sz="4" w:space="0" w:color="auto"/>
            </w:tcBorders>
            <w:shd w:val="clear" w:color="000000" w:fill="969696"/>
            <w:noWrap/>
            <w:vAlign w:val="bottom"/>
            <w:hideMark/>
          </w:tcPr>
          <w:p w14:paraId="63704AE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5F6EAD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C9B3EC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AC40C8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E2114F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62D5E7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758D807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33258,60</w:t>
            </w:r>
          </w:p>
        </w:tc>
      </w:tr>
      <w:tr w:rsidR="00C430E9" w:rsidRPr="005B54EE" w14:paraId="469579DE"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6642386"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B.  Manure management</w:t>
            </w:r>
          </w:p>
        </w:tc>
        <w:tc>
          <w:tcPr>
            <w:tcW w:w="914" w:type="dxa"/>
            <w:tcBorders>
              <w:top w:val="nil"/>
              <w:left w:val="nil"/>
              <w:bottom w:val="single" w:sz="4" w:space="0" w:color="auto"/>
              <w:right w:val="single" w:sz="4" w:space="0" w:color="auto"/>
            </w:tcBorders>
            <w:shd w:val="clear" w:color="000000" w:fill="969696"/>
            <w:noWrap/>
            <w:vAlign w:val="bottom"/>
            <w:hideMark/>
          </w:tcPr>
          <w:p w14:paraId="5AB39FE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380A1AB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3840,68</w:t>
            </w:r>
          </w:p>
        </w:tc>
        <w:tc>
          <w:tcPr>
            <w:tcW w:w="820" w:type="dxa"/>
            <w:tcBorders>
              <w:top w:val="nil"/>
              <w:left w:val="nil"/>
              <w:bottom w:val="single" w:sz="4" w:space="0" w:color="auto"/>
              <w:right w:val="single" w:sz="4" w:space="0" w:color="auto"/>
            </w:tcBorders>
            <w:shd w:val="clear" w:color="000000" w:fill="CCFFFF"/>
            <w:noWrap/>
            <w:vAlign w:val="bottom"/>
            <w:hideMark/>
          </w:tcPr>
          <w:p w14:paraId="76AEAD7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2364,21</w:t>
            </w:r>
          </w:p>
        </w:tc>
        <w:tc>
          <w:tcPr>
            <w:tcW w:w="820" w:type="dxa"/>
            <w:tcBorders>
              <w:top w:val="nil"/>
              <w:left w:val="nil"/>
              <w:bottom w:val="single" w:sz="4" w:space="0" w:color="auto"/>
              <w:right w:val="single" w:sz="4" w:space="0" w:color="auto"/>
            </w:tcBorders>
            <w:shd w:val="clear" w:color="000000" w:fill="969696"/>
            <w:noWrap/>
            <w:vAlign w:val="bottom"/>
            <w:hideMark/>
          </w:tcPr>
          <w:p w14:paraId="2642DFF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E97DAA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2AD230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725608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4FF5734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1654999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6204,89</w:t>
            </w:r>
          </w:p>
        </w:tc>
      </w:tr>
      <w:tr w:rsidR="00C430E9" w:rsidRPr="005B54EE" w14:paraId="0268A473"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F711A14"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C.  Rice cultivation</w:t>
            </w:r>
          </w:p>
        </w:tc>
        <w:tc>
          <w:tcPr>
            <w:tcW w:w="914" w:type="dxa"/>
            <w:tcBorders>
              <w:top w:val="nil"/>
              <w:left w:val="nil"/>
              <w:bottom w:val="single" w:sz="4" w:space="0" w:color="auto"/>
              <w:right w:val="single" w:sz="4" w:space="0" w:color="auto"/>
            </w:tcBorders>
            <w:shd w:val="clear" w:color="000000" w:fill="969696"/>
            <w:noWrap/>
            <w:vAlign w:val="bottom"/>
            <w:hideMark/>
          </w:tcPr>
          <w:p w14:paraId="610268B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3477898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38,23</w:t>
            </w:r>
          </w:p>
        </w:tc>
        <w:tc>
          <w:tcPr>
            <w:tcW w:w="820" w:type="dxa"/>
            <w:tcBorders>
              <w:top w:val="nil"/>
              <w:left w:val="nil"/>
              <w:bottom w:val="single" w:sz="4" w:space="0" w:color="auto"/>
              <w:right w:val="single" w:sz="4" w:space="0" w:color="auto"/>
            </w:tcBorders>
            <w:shd w:val="clear" w:color="000000" w:fill="969696"/>
            <w:noWrap/>
            <w:vAlign w:val="bottom"/>
            <w:hideMark/>
          </w:tcPr>
          <w:p w14:paraId="68E496A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4735F0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9106BE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6083BC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4EA50C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2C29DC6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5CFA1E4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38,23</w:t>
            </w:r>
          </w:p>
        </w:tc>
      </w:tr>
      <w:tr w:rsidR="00C430E9" w:rsidRPr="005B54EE" w14:paraId="6FFDA6B0"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3797FA9"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D.  Agricultural soils</w:t>
            </w:r>
          </w:p>
        </w:tc>
        <w:tc>
          <w:tcPr>
            <w:tcW w:w="914" w:type="dxa"/>
            <w:tcBorders>
              <w:top w:val="nil"/>
              <w:left w:val="nil"/>
              <w:bottom w:val="single" w:sz="4" w:space="0" w:color="auto"/>
              <w:right w:val="single" w:sz="4" w:space="0" w:color="auto"/>
            </w:tcBorders>
            <w:shd w:val="clear" w:color="000000" w:fill="969696"/>
            <w:noWrap/>
            <w:vAlign w:val="bottom"/>
            <w:hideMark/>
          </w:tcPr>
          <w:p w14:paraId="67232C7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4B6ED42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75CDA66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29248,37</w:t>
            </w:r>
          </w:p>
        </w:tc>
        <w:tc>
          <w:tcPr>
            <w:tcW w:w="820" w:type="dxa"/>
            <w:tcBorders>
              <w:top w:val="nil"/>
              <w:left w:val="nil"/>
              <w:bottom w:val="single" w:sz="4" w:space="0" w:color="auto"/>
              <w:right w:val="single" w:sz="4" w:space="0" w:color="auto"/>
            </w:tcBorders>
            <w:shd w:val="clear" w:color="000000" w:fill="969696"/>
            <w:noWrap/>
            <w:vAlign w:val="bottom"/>
            <w:hideMark/>
          </w:tcPr>
          <w:p w14:paraId="6D76574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FFFE55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70DEF4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CA16B4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79E7A7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75CDB74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29248,37</w:t>
            </w:r>
          </w:p>
        </w:tc>
      </w:tr>
      <w:tr w:rsidR="00C430E9" w:rsidRPr="005B54EE" w14:paraId="41EF3160"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0F0A43F"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E.  Prescribed burning of savannas</w:t>
            </w:r>
          </w:p>
        </w:tc>
        <w:tc>
          <w:tcPr>
            <w:tcW w:w="914" w:type="dxa"/>
            <w:tcBorders>
              <w:top w:val="nil"/>
              <w:left w:val="nil"/>
              <w:bottom w:val="single" w:sz="4" w:space="0" w:color="auto"/>
              <w:right w:val="single" w:sz="4" w:space="0" w:color="auto"/>
            </w:tcBorders>
            <w:shd w:val="clear" w:color="000000" w:fill="969696"/>
            <w:noWrap/>
            <w:vAlign w:val="bottom"/>
            <w:hideMark/>
          </w:tcPr>
          <w:p w14:paraId="5AD9FDE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77EE218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0588B14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969696"/>
            <w:noWrap/>
            <w:vAlign w:val="bottom"/>
            <w:hideMark/>
          </w:tcPr>
          <w:p w14:paraId="6806A39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1C003F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E66236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F6A0BF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325A479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C78660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r>
      <w:tr w:rsidR="00C430E9" w:rsidRPr="005B54EE" w14:paraId="14895BC6"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045FC01"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F.  Field burning of agricultural residues</w:t>
            </w:r>
          </w:p>
        </w:tc>
        <w:tc>
          <w:tcPr>
            <w:tcW w:w="914" w:type="dxa"/>
            <w:tcBorders>
              <w:top w:val="nil"/>
              <w:left w:val="nil"/>
              <w:bottom w:val="single" w:sz="4" w:space="0" w:color="auto"/>
              <w:right w:val="single" w:sz="4" w:space="0" w:color="auto"/>
            </w:tcBorders>
            <w:shd w:val="clear" w:color="000000" w:fill="969696"/>
            <w:noWrap/>
            <w:vAlign w:val="bottom"/>
            <w:hideMark/>
          </w:tcPr>
          <w:p w14:paraId="67E17AD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5031969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28,26</w:t>
            </w:r>
          </w:p>
        </w:tc>
        <w:tc>
          <w:tcPr>
            <w:tcW w:w="820" w:type="dxa"/>
            <w:tcBorders>
              <w:top w:val="nil"/>
              <w:left w:val="nil"/>
              <w:bottom w:val="single" w:sz="4" w:space="0" w:color="auto"/>
              <w:right w:val="single" w:sz="4" w:space="0" w:color="auto"/>
            </w:tcBorders>
            <w:shd w:val="clear" w:color="000000" w:fill="CCFFFF"/>
            <w:noWrap/>
            <w:vAlign w:val="bottom"/>
            <w:hideMark/>
          </w:tcPr>
          <w:p w14:paraId="196A0F1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8,73</w:t>
            </w:r>
          </w:p>
        </w:tc>
        <w:tc>
          <w:tcPr>
            <w:tcW w:w="820" w:type="dxa"/>
            <w:tcBorders>
              <w:top w:val="nil"/>
              <w:left w:val="nil"/>
              <w:bottom w:val="single" w:sz="4" w:space="0" w:color="auto"/>
              <w:right w:val="single" w:sz="4" w:space="0" w:color="auto"/>
            </w:tcBorders>
            <w:shd w:val="clear" w:color="000000" w:fill="969696"/>
            <w:noWrap/>
            <w:vAlign w:val="bottom"/>
            <w:hideMark/>
          </w:tcPr>
          <w:p w14:paraId="14D0E99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D9D838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ECC4ED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EF9D57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180038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0713900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36,99</w:t>
            </w:r>
          </w:p>
        </w:tc>
      </w:tr>
      <w:tr w:rsidR="00C430E9" w:rsidRPr="005B54EE" w14:paraId="76456708"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4927EBD"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G. Liming</w:t>
            </w:r>
          </w:p>
        </w:tc>
        <w:tc>
          <w:tcPr>
            <w:tcW w:w="914" w:type="dxa"/>
            <w:tcBorders>
              <w:top w:val="nil"/>
              <w:left w:val="nil"/>
              <w:bottom w:val="single" w:sz="4" w:space="0" w:color="auto"/>
              <w:right w:val="single" w:sz="4" w:space="0" w:color="auto"/>
            </w:tcBorders>
            <w:shd w:val="clear" w:color="000000" w:fill="CCFFFF"/>
            <w:noWrap/>
            <w:vAlign w:val="bottom"/>
            <w:hideMark/>
          </w:tcPr>
          <w:p w14:paraId="3315014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640,81</w:t>
            </w:r>
          </w:p>
        </w:tc>
        <w:tc>
          <w:tcPr>
            <w:tcW w:w="820" w:type="dxa"/>
            <w:tcBorders>
              <w:top w:val="nil"/>
              <w:left w:val="nil"/>
              <w:bottom w:val="single" w:sz="4" w:space="0" w:color="auto"/>
              <w:right w:val="single" w:sz="4" w:space="0" w:color="auto"/>
            </w:tcBorders>
            <w:shd w:val="clear" w:color="000000" w:fill="969696"/>
            <w:noWrap/>
            <w:vAlign w:val="bottom"/>
            <w:hideMark/>
          </w:tcPr>
          <w:p w14:paraId="47DE30B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31FEEFD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1C43B00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BC584E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387F21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15E953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049083A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371686F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640,81</w:t>
            </w:r>
          </w:p>
        </w:tc>
      </w:tr>
      <w:tr w:rsidR="00C430E9" w:rsidRPr="005B54EE" w14:paraId="4D8D8EE3"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F8E96EA"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H. Urea application</w:t>
            </w:r>
          </w:p>
        </w:tc>
        <w:tc>
          <w:tcPr>
            <w:tcW w:w="914" w:type="dxa"/>
            <w:tcBorders>
              <w:top w:val="nil"/>
              <w:left w:val="nil"/>
              <w:bottom w:val="single" w:sz="4" w:space="0" w:color="auto"/>
              <w:right w:val="single" w:sz="4" w:space="0" w:color="auto"/>
            </w:tcBorders>
            <w:shd w:val="clear" w:color="000000" w:fill="CCFFFF"/>
            <w:noWrap/>
            <w:vAlign w:val="bottom"/>
            <w:hideMark/>
          </w:tcPr>
          <w:p w14:paraId="7C40765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1036,18</w:t>
            </w:r>
          </w:p>
        </w:tc>
        <w:tc>
          <w:tcPr>
            <w:tcW w:w="820" w:type="dxa"/>
            <w:tcBorders>
              <w:top w:val="nil"/>
              <w:left w:val="nil"/>
              <w:bottom w:val="single" w:sz="4" w:space="0" w:color="auto"/>
              <w:right w:val="single" w:sz="4" w:space="0" w:color="auto"/>
            </w:tcBorders>
            <w:shd w:val="clear" w:color="000000" w:fill="969696"/>
            <w:noWrap/>
            <w:vAlign w:val="bottom"/>
            <w:hideMark/>
          </w:tcPr>
          <w:p w14:paraId="5008873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23888B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DE1F41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05D793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CFFCD4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C7313A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5C4E49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D839F9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1036,18</w:t>
            </w:r>
          </w:p>
        </w:tc>
      </w:tr>
      <w:tr w:rsidR="00C430E9" w:rsidRPr="005B54EE" w14:paraId="625182E3"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AAF750E"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I.  Other carbon-containing fertilizers</w:t>
            </w:r>
          </w:p>
        </w:tc>
        <w:tc>
          <w:tcPr>
            <w:tcW w:w="914" w:type="dxa"/>
            <w:tcBorders>
              <w:top w:val="nil"/>
              <w:left w:val="nil"/>
              <w:bottom w:val="single" w:sz="4" w:space="0" w:color="auto"/>
              <w:right w:val="single" w:sz="4" w:space="0" w:color="auto"/>
            </w:tcBorders>
            <w:shd w:val="clear" w:color="000000" w:fill="CCFFFF"/>
            <w:noWrap/>
            <w:vAlign w:val="bottom"/>
            <w:hideMark/>
          </w:tcPr>
          <w:p w14:paraId="482A64B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181,84</w:t>
            </w:r>
          </w:p>
        </w:tc>
        <w:tc>
          <w:tcPr>
            <w:tcW w:w="820" w:type="dxa"/>
            <w:tcBorders>
              <w:top w:val="nil"/>
              <w:left w:val="nil"/>
              <w:bottom w:val="single" w:sz="4" w:space="0" w:color="auto"/>
              <w:right w:val="single" w:sz="4" w:space="0" w:color="auto"/>
            </w:tcBorders>
            <w:shd w:val="clear" w:color="000000" w:fill="969696"/>
            <w:noWrap/>
            <w:vAlign w:val="bottom"/>
            <w:hideMark/>
          </w:tcPr>
          <w:p w14:paraId="1D66970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3BC932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4660E1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A36864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8CA456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2D58B0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4543B37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51486B8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181,84</w:t>
            </w:r>
          </w:p>
        </w:tc>
      </w:tr>
      <w:tr w:rsidR="00C430E9" w:rsidRPr="005B54EE" w14:paraId="21E9DF48"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C1739CB"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 xml:space="preserve">J.  Other </w:t>
            </w:r>
          </w:p>
        </w:tc>
        <w:tc>
          <w:tcPr>
            <w:tcW w:w="914" w:type="dxa"/>
            <w:tcBorders>
              <w:top w:val="nil"/>
              <w:left w:val="nil"/>
              <w:bottom w:val="single" w:sz="4" w:space="0" w:color="auto"/>
              <w:right w:val="single" w:sz="4" w:space="0" w:color="auto"/>
            </w:tcBorders>
            <w:shd w:val="clear" w:color="000000" w:fill="CCFFFF"/>
            <w:noWrap/>
            <w:vAlign w:val="bottom"/>
            <w:hideMark/>
          </w:tcPr>
          <w:p w14:paraId="5211203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760D1D5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702A8FA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969696"/>
            <w:noWrap/>
            <w:vAlign w:val="bottom"/>
            <w:hideMark/>
          </w:tcPr>
          <w:p w14:paraId="2BD5003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575E0A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639042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460DB3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2C72D7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3E280F9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r>
      <w:tr w:rsidR="00C430E9" w:rsidRPr="005B54EE" w14:paraId="2966A20F"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24278A13"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4. Land use, land-use change and forestry</w:t>
            </w:r>
            <w:r w:rsidRPr="005B54EE">
              <w:rPr>
                <w:rFonts w:ascii="Times New Roman" w:hAnsi="Times New Roman"/>
                <w:b/>
                <w:sz w:val="14"/>
                <w:vertAlign w:val="superscript"/>
              </w:rPr>
              <w:t>(1)</w:t>
            </w:r>
          </w:p>
        </w:tc>
        <w:tc>
          <w:tcPr>
            <w:tcW w:w="914" w:type="dxa"/>
            <w:tcBorders>
              <w:top w:val="nil"/>
              <w:left w:val="nil"/>
              <w:bottom w:val="single" w:sz="4" w:space="0" w:color="auto"/>
              <w:right w:val="single" w:sz="4" w:space="0" w:color="auto"/>
            </w:tcBorders>
            <w:shd w:val="clear" w:color="000000" w:fill="CCFFFF"/>
            <w:noWrap/>
            <w:vAlign w:val="bottom"/>
            <w:hideMark/>
          </w:tcPr>
          <w:p w14:paraId="1BE8C83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-18618,93</w:t>
            </w:r>
          </w:p>
        </w:tc>
        <w:tc>
          <w:tcPr>
            <w:tcW w:w="820" w:type="dxa"/>
            <w:tcBorders>
              <w:top w:val="nil"/>
              <w:left w:val="nil"/>
              <w:bottom w:val="single" w:sz="4" w:space="0" w:color="auto"/>
              <w:right w:val="single" w:sz="4" w:space="0" w:color="auto"/>
            </w:tcBorders>
            <w:shd w:val="clear" w:color="000000" w:fill="CCFFFF"/>
            <w:noWrap/>
            <w:vAlign w:val="bottom"/>
            <w:hideMark/>
          </w:tcPr>
          <w:p w14:paraId="4C56444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1130,14</w:t>
            </w:r>
          </w:p>
        </w:tc>
        <w:tc>
          <w:tcPr>
            <w:tcW w:w="820" w:type="dxa"/>
            <w:tcBorders>
              <w:top w:val="nil"/>
              <w:left w:val="nil"/>
              <w:bottom w:val="single" w:sz="4" w:space="0" w:color="auto"/>
              <w:right w:val="single" w:sz="4" w:space="0" w:color="auto"/>
            </w:tcBorders>
            <w:shd w:val="clear" w:color="000000" w:fill="CCFFFF"/>
            <w:noWrap/>
            <w:vAlign w:val="bottom"/>
            <w:hideMark/>
          </w:tcPr>
          <w:p w14:paraId="2486C85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2867,64</w:t>
            </w:r>
          </w:p>
        </w:tc>
        <w:tc>
          <w:tcPr>
            <w:tcW w:w="820" w:type="dxa"/>
            <w:tcBorders>
              <w:top w:val="nil"/>
              <w:left w:val="nil"/>
              <w:bottom w:val="single" w:sz="4" w:space="0" w:color="auto"/>
              <w:right w:val="single" w:sz="4" w:space="0" w:color="auto"/>
            </w:tcBorders>
            <w:shd w:val="clear" w:color="000000" w:fill="969696"/>
            <w:noWrap/>
            <w:vAlign w:val="bottom"/>
            <w:hideMark/>
          </w:tcPr>
          <w:p w14:paraId="61BF817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AD5F13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C92CB8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696D50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37674D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026CF7A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-14621,14</w:t>
            </w:r>
          </w:p>
        </w:tc>
      </w:tr>
      <w:tr w:rsidR="00C430E9" w:rsidRPr="005B54EE" w14:paraId="35173FD9"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163D6BE"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A. Forest land</w:t>
            </w:r>
          </w:p>
        </w:tc>
        <w:tc>
          <w:tcPr>
            <w:tcW w:w="914" w:type="dxa"/>
            <w:tcBorders>
              <w:top w:val="nil"/>
              <w:left w:val="nil"/>
              <w:bottom w:val="single" w:sz="4" w:space="0" w:color="auto"/>
              <w:right w:val="single" w:sz="4" w:space="0" w:color="auto"/>
            </w:tcBorders>
            <w:shd w:val="clear" w:color="000000" w:fill="CCFFFF"/>
            <w:noWrap/>
            <w:vAlign w:val="bottom"/>
            <w:hideMark/>
          </w:tcPr>
          <w:p w14:paraId="4E3217D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-31276,74</w:t>
            </w:r>
          </w:p>
        </w:tc>
        <w:tc>
          <w:tcPr>
            <w:tcW w:w="820" w:type="dxa"/>
            <w:tcBorders>
              <w:top w:val="nil"/>
              <w:left w:val="nil"/>
              <w:bottom w:val="single" w:sz="4" w:space="0" w:color="auto"/>
              <w:right w:val="single" w:sz="4" w:space="0" w:color="auto"/>
            </w:tcBorders>
            <w:shd w:val="clear" w:color="000000" w:fill="CCFFFF"/>
            <w:noWrap/>
            <w:vAlign w:val="bottom"/>
            <w:hideMark/>
          </w:tcPr>
          <w:p w14:paraId="72C913E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611,29</w:t>
            </w:r>
          </w:p>
        </w:tc>
        <w:tc>
          <w:tcPr>
            <w:tcW w:w="820" w:type="dxa"/>
            <w:tcBorders>
              <w:top w:val="nil"/>
              <w:left w:val="nil"/>
              <w:bottom w:val="single" w:sz="4" w:space="0" w:color="auto"/>
              <w:right w:val="single" w:sz="4" w:space="0" w:color="auto"/>
            </w:tcBorders>
            <w:shd w:val="clear" w:color="000000" w:fill="CCFFFF"/>
            <w:noWrap/>
            <w:vAlign w:val="bottom"/>
            <w:hideMark/>
          </w:tcPr>
          <w:p w14:paraId="270E6B3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381,80</w:t>
            </w:r>
          </w:p>
        </w:tc>
        <w:tc>
          <w:tcPr>
            <w:tcW w:w="820" w:type="dxa"/>
            <w:tcBorders>
              <w:top w:val="nil"/>
              <w:left w:val="nil"/>
              <w:bottom w:val="single" w:sz="4" w:space="0" w:color="auto"/>
              <w:right w:val="single" w:sz="4" w:space="0" w:color="auto"/>
            </w:tcBorders>
            <w:shd w:val="clear" w:color="000000" w:fill="969696"/>
            <w:noWrap/>
            <w:vAlign w:val="bottom"/>
            <w:hideMark/>
          </w:tcPr>
          <w:p w14:paraId="6F345AE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690FB2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300FFD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8636C5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394016E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6ABB78D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-30283,65</w:t>
            </w:r>
          </w:p>
        </w:tc>
      </w:tr>
      <w:tr w:rsidR="00C430E9" w:rsidRPr="005B54EE" w14:paraId="5F9C7026"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7F931B6"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B. Cropland</w:t>
            </w:r>
          </w:p>
        </w:tc>
        <w:tc>
          <w:tcPr>
            <w:tcW w:w="914" w:type="dxa"/>
            <w:tcBorders>
              <w:top w:val="nil"/>
              <w:left w:val="nil"/>
              <w:bottom w:val="single" w:sz="4" w:space="0" w:color="auto"/>
              <w:right w:val="single" w:sz="4" w:space="0" w:color="auto"/>
            </w:tcBorders>
            <w:shd w:val="clear" w:color="000000" w:fill="CCFFFF"/>
            <w:noWrap/>
            <w:vAlign w:val="bottom"/>
            <w:hideMark/>
          </w:tcPr>
          <w:p w14:paraId="0DF4F0B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11507,10</w:t>
            </w:r>
          </w:p>
        </w:tc>
        <w:tc>
          <w:tcPr>
            <w:tcW w:w="820" w:type="dxa"/>
            <w:tcBorders>
              <w:top w:val="nil"/>
              <w:left w:val="nil"/>
              <w:bottom w:val="single" w:sz="4" w:space="0" w:color="auto"/>
              <w:right w:val="single" w:sz="4" w:space="0" w:color="auto"/>
            </w:tcBorders>
            <w:shd w:val="clear" w:color="000000" w:fill="CCFFFF"/>
            <w:noWrap/>
            <w:vAlign w:val="bottom"/>
            <w:hideMark/>
          </w:tcPr>
          <w:p w14:paraId="08C2FE3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109,50</w:t>
            </w:r>
          </w:p>
        </w:tc>
        <w:tc>
          <w:tcPr>
            <w:tcW w:w="820" w:type="dxa"/>
            <w:tcBorders>
              <w:top w:val="nil"/>
              <w:left w:val="nil"/>
              <w:bottom w:val="single" w:sz="4" w:space="0" w:color="auto"/>
              <w:right w:val="single" w:sz="4" w:space="0" w:color="auto"/>
            </w:tcBorders>
            <w:shd w:val="clear" w:color="000000" w:fill="CCFFFF"/>
            <w:noWrap/>
            <w:vAlign w:val="bottom"/>
            <w:hideMark/>
          </w:tcPr>
          <w:p w14:paraId="3B9F28C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1346,42</w:t>
            </w:r>
          </w:p>
        </w:tc>
        <w:tc>
          <w:tcPr>
            <w:tcW w:w="820" w:type="dxa"/>
            <w:tcBorders>
              <w:top w:val="nil"/>
              <w:left w:val="nil"/>
              <w:bottom w:val="single" w:sz="4" w:space="0" w:color="auto"/>
              <w:right w:val="single" w:sz="4" w:space="0" w:color="auto"/>
            </w:tcBorders>
            <w:shd w:val="clear" w:color="000000" w:fill="969696"/>
            <w:noWrap/>
            <w:vAlign w:val="bottom"/>
            <w:hideMark/>
          </w:tcPr>
          <w:p w14:paraId="63EBEE8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D2A662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E9E512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A9BC3E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74B6FEA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2B54646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12963,02</w:t>
            </w:r>
          </w:p>
        </w:tc>
      </w:tr>
      <w:tr w:rsidR="00C430E9" w:rsidRPr="005B54EE" w14:paraId="3C73D72C"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F874C81"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C. Grassland</w:t>
            </w:r>
          </w:p>
        </w:tc>
        <w:tc>
          <w:tcPr>
            <w:tcW w:w="914" w:type="dxa"/>
            <w:tcBorders>
              <w:top w:val="nil"/>
              <w:left w:val="nil"/>
              <w:bottom w:val="single" w:sz="4" w:space="0" w:color="auto"/>
              <w:right w:val="single" w:sz="4" w:space="0" w:color="auto"/>
            </w:tcBorders>
            <w:shd w:val="clear" w:color="000000" w:fill="CCFFFF"/>
            <w:noWrap/>
            <w:vAlign w:val="bottom"/>
            <w:hideMark/>
          </w:tcPr>
          <w:p w14:paraId="548EBD8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-9313,49</w:t>
            </w:r>
          </w:p>
        </w:tc>
        <w:tc>
          <w:tcPr>
            <w:tcW w:w="820" w:type="dxa"/>
            <w:tcBorders>
              <w:top w:val="nil"/>
              <w:left w:val="nil"/>
              <w:bottom w:val="single" w:sz="4" w:space="0" w:color="auto"/>
              <w:right w:val="single" w:sz="4" w:space="0" w:color="auto"/>
            </w:tcBorders>
            <w:shd w:val="clear" w:color="000000" w:fill="CCFFFF"/>
            <w:noWrap/>
            <w:vAlign w:val="bottom"/>
            <w:hideMark/>
          </w:tcPr>
          <w:p w14:paraId="030943D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123,86</w:t>
            </w:r>
          </w:p>
        </w:tc>
        <w:tc>
          <w:tcPr>
            <w:tcW w:w="820" w:type="dxa"/>
            <w:tcBorders>
              <w:top w:val="nil"/>
              <w:left w:val="nil"/>
              <w:bottom w:val="single" w:sz="4" w:space="0" w:color="auto"/>
              <w:right w:val="single" w:sz="4" w:space="0" w:color="auto"/>
            </w:tcBorders>
            <w:shd w:val="clear" w:color="000000" w:fill="CCFFFF"/>
            <w:noWrap/>
            <w:vAlign w:val="bottom"/>
            <w:hideMark/>
          </w:tcPr>
          <w:p w14:paraId="157BCB7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99,88</w:t>
            </w:r>
          </w:p>
        </w:tc>
        <w:tc>
          <w:tcPr>
            <w:tcW w:w="820" w:type="dxa"/>
            <w:tcBorders>
              <w:top w:val="nil"/>
              <w:left w:val="nil"/>
              <w:bottom w:val="single" w:sz="4" w:space="0" w:color="auto"/>
              <w:right w:val="single" w:sz="4" w:space="0" w:color="auto"/>
            </w:tcBorders>
            <w:shd w:val="clear" w:color="000000" w:fill="969696"/>
            <w:noWrap/>
            <w:vAlign w:val="bottom"/>
            <w:hideMark/>
          </w:tcPr>
          <w:p w14:paraId="4938AD6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E623DB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9E6466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227F51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1F1A5F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0E78697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-9089,76</w:t>
            </w:r>
          </w:p>
        </w:tc>
      </w:tr>
      <w:tr w:rsidR="00C430E9" w:rsidRPr="005B54EE" w14:paraId="24913B8C"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3128901"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D. Wetlands</w:t>
            </w:r>
          </w:p>
        </w:tc>
        <w:tc>
          <w:tcPr>
            <w:tcW w:w="914" w:type="dxa"/>
            <w:tcBorders>
              <w:top w:val="nil"/>
              <w:left w:val="nil"/>
              <w:bottom w:val="single" w:sz="4" w:space="0" w:color="auto"/>
              <w:right w:val="single" w:sz="4" w:space="0" w:color="auto"/>
            </w:tcBorders>
            <w:shd w:val="clear" w:color="000000" w:fill="CCFFFF"/>
            <w:noWrap/>
            <w:vAlign w:val="bottom"/>
            <w:hideMark/>
          </w:tcPr>
          <w:p w14:paraId="391EB2E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494,83</w:t>
            </w:r>
          </w:p>
        </w:tc>
        <w:tc>
          <w:tcPr>
            <w:tcW w:w="820" w:type="dxa"/>
            <w:tcBorders>
              <w:top w:val="nil"/>
              <w:left w:val="nil"/>
              <w:bottom w:val="single" w:sz="4" w:space="0" w:color="auto"/>
              <w:right w:val="single" w:sz="4" w:space="0" w:color="auto"/>
            </w:tcBorders>
            <w:shd w:val="clear" w:color="000000" w:fill="CCFFFF"/>
            <w:noWrap/>
            <w:vAlign w:val="bottom"/>
            <w:hideMark/>
          </w:tcPr>
          <w:p w14:paraId="69C2CD1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8,92</w:t>
            </w:r>
          </w:p>
        </w:tc>
        <w:tc>
          <w:tcPr>
            <w:tcW w:w="820" w:type="dxa"/>
            <w:tcBorders>
              <w:top w:val="nil"/>
              <w:left w:val="nil"/>
              <w:bottom w:val="single" w:sz="4" w:space="0" w:color="auto"/>
              <w:right w:val="single" w:sz="4" w:space="0" w:color="auto"/>
            </w:tcBorders>
            <w:shd w:val="clear" w:color="000000" w:fill="CCFFFF"/>
            <w:noWrap/>
            <w:vAlign w:val="bottom"/>
            <w:hideMark/>
          </w:tcPr>
          <w:p w14:paraId="7143D96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0,73</w:t>
            </w:r>
          </w:p>
        </w:tc>
        <w:tc>
          <w:tcPr>
            <w:tcW w:w="820" w:type="dxa"/>
            <w:tcBorders>
              <w:top w:val="nil"/>
              <w:left w:val="nil"/>
              <w:bottom w:val="single" w:sz="4" w:space="0" w:color="auto"/>
              <w:right w:val="single" w:sz="4" w:space="0" w:color="auto"/>
            </w:tcBorders>
            <w:shd w:val="clear" w:color="000000" w:fill="969696"/>
            <w:noWrap/>
            <w:vAlign w:val="bottom"/>
            <w:hideMark/>
          </w:tcPr>
          <w:p w14:paraId="52F7442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2FDF41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38AF0F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44B64C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B66552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FDE773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504,48</w:t>
            </w:r>
          </w:p>
        </w:tc>
      </w:tr>
      <w:tr w:rsidR="00C430E9" w:rsidRPr="005B54EE" w14:paraId="5211B004"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2A64246"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 xml:space="preserve">E. Settlements </w:t>
            </w:r>
          </w:p>
        </w:tc>
        <w:tc>
          <w:tcPr>
            <w:tcW w:w="914" w:type="dxa"/>
            <w:tcBorders>
              <w:top w:val="nil"/>
              <w:left w:val="nil"/>
              <w:bottom w:val="single" w:sz="4" w:space="0" w:color="auto"/>
              <w:right w:val="single" w:sz="4" w:space="0" w:color="auto"/>
            </w:tcBorders>
            <w:shd w:val="clear" w:color="000000" w:fill="CCFFFF"/>
            <w:noWrap/>
            <w:vAlign w:val="bottom"/>
            <w:hideMark/>
          </w:tcPr>
          <w:p w14:paraId="6F495E2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10743,98</w:t>
            </w:r>
          </w:p>
        </w:tc>
        <w:tc>
          <w:tcPr>
            <w:tcW w:w="820" w:type="dxa"/>
            <w:tcBorders>
              <w:top w:val="nil"/>
              <w:left w:val="nil"/>
              <w:bottom w:val="single" w:sz="4" w:space="0" w:color="auto"/>
              <w:right w:val="single" w:sz="4" w:space="0" w:color="auto"/>
            </w:tcBorders>
            <w:shd w:val="clear" w:color="000000" w:fill="CCFFFF"/>
            <w:noWrap/>
            <w:vAlign w:val="bottom"/>
            <w:hideMark/>
          </w:tcPr>
          <w:p w14:paraId="6CADFF9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58,41</w:t>
            </w:r>
          </w:p>
        </w:tc>
        <w:tc>
          <w:tcPr>
            <w:tcW w:w="820" w:type="dxa"/>
            <w:tcBorders>
              <w:top w:val="nil"/>
              <w:left w:val="nil"/>
              <w:bottom w:val="single" w:sz="4" w:space="0" w:color="auto"/>
              <w:right w:val="single" w:sz="4" w:space="0" w:color="auto"/>
            </w:tcBorders>
            <w:shd w:val="clear" w:color="000000" w:fill="CCFFFF"/>
            <w:noWrap/>
            <w:vAlign w:val="bottom"/>
            <w:hideMark/>
          </w:tcPr>
          <w:p w14:paraId="6A32523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592,19</w:t>
            </w:r>
          </w:p>
        </w:tc>
        <w:tc>
          <w:tcPr>
            <w:tcW w:w="820" w:type="dxa"/>
            <w:tcBorders>
              <w:top w:val="nil"/>
              <w:left w:val="nil"/>
              <w:bottom w:val="single" w:sz="4" w:space="0" w:color="auto"/>
              <w:right w:val="single" w:sz="4" w:space="0" w:color="auto"/>
            </w:tcBorders>
            <w:shd w:val="clear" w:color="000000" w:fill="969696"/>
            <w:noWrap/>
            <w:vAlign w:val="bottom"/>
            <w:hideMark/>
          </w:tcPr>
          <w:p w14:paraId="2787E6A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3A8B87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AB9634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5218D0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032C2C4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50AB2E0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11394,58</w:t>
            </w:r>
          </w:p>
        </w:tc>
      </w:tr>
      <w:tr w:rsidR="00C430E9" w:rsidRPr="005B54EE" w14:paraId="7397B842"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B9A6266"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F. Other land</w:t>
            </w:r>
          </w:p>
        </w:tc>
        <w:tc>
          <w:tcPr>
            <w:tcW w:w="914" w:type="dxa"/>
            <w:tcBorders>
              <w:top w:val="nil"/>
              <w:left w:val="nil"/>
              <w:bottom w:val="single" w:sz="4" w:space="0" w:color="auto"/>
              <w:right w:val="single" w:sz="4" w:space="0" w:color="auto"/>
            </w:tcBorders>
            <w:shd w:val="clear" w:color="000000" w:fill="CCFFFF"/>
            <w:noWrap/>
            <w:vAlign w:val="bottom"/>
            <w:hideMark/>
          </w:tcPr>
          <w:p w14:paraId="3CBD877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4E02EB1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610101A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NO,NE</w:t>
            </w:r>
          </w:p>
        </w:tc>
        <w:tc>
          <w:tcPr>
            <w:tcW w:w="820" w:type="dxa"/>
            <w:tcBorders>
              <w:top w:val="nil"/>
              <w:left w:val="nil"/>
              <w:bottom w:val="single" w:sz="4" w:space="0" w:color="auto"/>
              <w:right w:val="single" w:sz="4" w:space="0" w:color="auto"/>
            </w:tcBorders>
            <w:shd w:val="clear" w:color="000000" w:fill="969696"/>
            <w:noWrap/>
            <w:vAlign w:val="bottom"/>
            <w:hideMark/>
          </w:tcPr>
          <w:p w14:paraId="7EA8737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F63D29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391A8D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6081C3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02F8CC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B3962F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NO,NE,NA</w:t>
            </w:r>
          </w:p>
        </w:tc>
      </w:tr>
      <w:tr w:rsidR="00C430E9" w:rsidRPr="005B54EE" w14:paraId="1C10FA9C"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E84C433"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G. Harvested wood products</w:t>
            </w:r>
          </w:p>
        </w:tc>
        <w:tc>
          <w:tcPr>
            <w:tcW w:w="914" w:type="dxa"/>
            <w:tcBorders>
              <w:top w:val="nil"/>
              <w:left w:val="nil"/>
              <w:bottom w:val="single" w:sz="4" w:space="0" w:color="auto"/>
              <w:right w:val="single" w:sz="4" w:space="0" w:color="auto"/>
            </w:tcBorders>
            <w:shd w:val="clear" w:color="000000" w:fill="CCFFFF"/>
            <w:noWrap/>
            <w:vAlign w:val="bottom"/>
            <w:hideMark/>
          </w:tcPr>
          <w:p w14:paraId="666794B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-814,43</w:t>
            </w:r>
          </w:p>
        </w:tc>
        <w:tc>
          <w:tcPr>
            <w:tcW w:w="820" w:type="dxa"/>
            <w:tcBorders>
              <w:top w:val="nil"/>
              <w:left w:val="nil"/>
              <w:bottom w:val="single" w:sz="4" w:space="0" w:color="auto"/>
              <w:right w:val="single" w:sz="4" w:space="0" w:color="auto"/>
            </w:tcBorders>
            <w:shd w:val="clear" w:color="000000" w:fill="969696"/>
            <w:noWrap/>
            <w:vAlign w:val="bottom"/>
            <w:hideMark/>
          </w:tcPr>
          <w:p w14:paraId="2EC0450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12531F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AFB172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DB3995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E0D9F1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B9C966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143136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654B7D4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-814,43</w:t>
            </w:r>
          </w:p>
        </w:tc>
      </w:tr>
      <w:tr w:rsidR="00C430E9" w:rsidRPr="005B54EE" w14:paraId="0F4B1360"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26AFDE6"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H. Other</w:t>
            </w:r>
            <w:r w:rsidRPr="005B54EE">
              <w:rPr>
                <w:rFonts w:ascii="Times New Roman" w:hAnsi="Times New Roman"/>
                <w:i/>
                <w:sz w:val="14"/>
              </w:rPr>
              <w:t xml:space="preserve">       </w:t>
            </w:r>
          </w:p>
        </w:tc>
        <w:tc>
          <w:tcPr>
            <w:tcW w:w="914" w:type="dxa"/>
            <w:tcBorders>
              <w:top w:val="nil"/>
              <w:left w:val="nil"/>
              <w:bottom w:val="single" w:sz="4" w:space="0" w:color="auto"/>
              <w:right w:val="single" w:sz="4" w:space="0" w:color="auto"/>
            </w:tcBorders>
            <w:shd w:val="clear" w:color="000000" w:fill="CCFFFF"/>
            <w:noWrap/>
            <w:vAlign w:val="bottom"/>
            <w:hideMark/>
          </w:tcPr>
          <w:p w14:paraId="6D9B487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39,82</w:t>
            </w:r>
          </w:p>
        </w:tc>
        <w:tc>
          <w:tcPr>
            <w:tcW w:w="820" w:type="dxa"/>
            <w:tcBorders>
              <w:top w:val="nil"/>
              <w:left w:val="nil"/>
              <w:bottom w:val="single" w:sz="4" w:space="0" w:color="auto"/>
              <w:right w:val="single" w:sz="4" w:space="0" w:color="auto"/>
            </w:tcBorders>
            <w:shd w:val="clear" w:color="000000" w:fill="CCFFFF"/>
            <w:noWrap/>
            <w:vAlign w:val="bottom"/>
            <w:hideMark/>
          </w:tcPr>
          <w:p w14:paraId="79386E0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218,17</w:t>
            </w:r>
          </w:p>
        </w:tc>
        <w:tc>
          <w:tcPr>
            <w:tcW w:w="820" w:type="dxa"/>
            <w:tcBorders>
              <w:top w:val="nil"/>
              <w:left w:val="nil"/>
              <w:bottom w:val="single" w:sz="4" w:space="0" w:color="auto"/>
              <w:right w:val="single" w:sz="4" w:space="0" w:color="auto"/>
            </w:tcBorders>
            <w:shd w:val="clear" w:color="000000" w:fill="CCFFFF"/>
            <w:noWrap/>
            <w:vAlign w:val="bottom"/>
            <w:hideMark/>
          </w:tcPr>
          <w:p w14:paraId="04E2BAC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NA</w:t>
            </w:r>
          </w:p>
        </w:tc>
        <w:tc>
          <w:tcPr>
            <w:tcW w:w="820" w:type="dxa"/>
            <w:tcBorders>
              <w:top w:val="nil"/>
              <w:left w:val="nil"/>
              <w:bottom w:val="single" w:sz="4" w:space="0" w:color="auto"/>
              <w:right w:val="single" w:sz="4" w:space="0" w:color="auto"/>
            </w:tcBorders>
            <w:shd w:val="clear" w:color="000000" w:fill="969696"/>
            <w:noWrap/>
            <w:vAlign w:val="bottom"/>
            <w:hideMark/>
          </w:tcPr>
          <w:p w14:paraId="0923ED8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25B7B2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A915D3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5B1E81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5217D6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00D53B2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257,99</w:t>
            </w:r>
          </w:p>
        </w:tc>
      </w:tr>
      <w:tr w:rsidR="00C430E9" w:rsidRPr="005B54EE" w14:paraId="1D11DCC6"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E32F2F0"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5.  Waste</w:t>
            </w:r>
          </w:p>
        </w:tc>
        <w:tc>
          <w:tcPr>
            <w:tcW w:w="914" w:type="dxa"/>
            <w:tcBorders>
              <w:top w:val="nil"/>
              <w:left w:val="nil"/>
              <w:bottom w:val="single" w:sz="4" w:space="0" w:color="auto"/>
              <w:right w:val="single" w:sz="4" w:space="0" w:color="auto"/>
            </w:tcBorders>
            <w:shd w:val="clear" w:color="000000" w:fill="CCFFFF"/>
            <w:noWrap/>
            <w:vAlign w:val="bottom"/>
            <w:hideMark/>
          </w:tcPr>
          <w:p w14:paraId="139EB4D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1602,93</w:t>
            </w:r>
          </w:p>
        </w:tc>
        <w:tc>
          <w:tcPr>
            <w:tcW w:w="820" w:type="dxa"/>
            <w:tcBorders>
              <w:top w:val="nil"/>
              <w:left w:val="nil"/>
              <w:bottom w:val="single" w:sz="4" w:space="0" w:color="auto"/>
              <w:right w:val="single" w:sz="4" w:space="0" w:color="auto"/>
            </w:tcBorders>
            <w:shd w:val="clear" w:color="000000" w:fill="CCFFFF"/>
            <w:noWrap/>
            <w:vAlign w:val="bottom"/>
            <w:hideMark/>
          </w:tcPr>
          <w:p w14:paraId="4A8CA7E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15762,03</w:t>
            </w:r>
          </w:p>
        </w:tc>
        <w:tc>
          <w:tcPr>
            <w:tcW w:w="820" w:type="dxa"/>
            <w:tcBorders>
              <w:top w:val="nil"/>
              <w:left w:val="nil"/>
              <w:bottom w:val="single" w:sz="4" w:space="0" w:color="auto"/>
              <w:right w:val="single" w:sz="4" w:space="0" w:color="auto"/>
            </w:tcBorders>
            <w:shd w:val="clear" w:color="000000" w:fill="CCFFFF"/>
            <w:noWrap/>
            <w:vAlign w:val="bottom"/>
            <w:hideMark/>
          </w:tcPr>
          <w:p w14:paraId="1112E05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606,76</w:t>
            </w:r>
          </w:p>
        </w:tc>
        <w:tc>
          <w:tcPr>
            <w:tcW w:w="820" w:type="dxa"/>
            <w:tcBorders>
              <w:top w:val="nil"/>
              <w:left w:val="nil"/>
              <w:bottom w:val="single" w:sz="4" w:space="0" w:color="auto"/>
              <w:right w:val="single" w:sz="4" w:space="0" w:color="auto"/>
            </w:tcBorders>
            <w:shd w:val="clear" w:color="000000" w:fill="969696"/>
            <w:noWrap/>
            <w:vAlign w:val="bottom"/>
            <w:hideMark/>
          </w:tcPr>
          <w:p w14:paraId="1C34B6F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D5B909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CC61A6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6EF30A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6129D3E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1CB313F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17971,72</w:t>
            </w:r>
          </w:p>
        </w:tc>
      </w:tr>
      <w:tr w:rsidR="00C430E9" w:rsidRPr="005B54EE" w14:paraId="3881B898"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14F5CF0"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A.  Solid waste disposal</w:t>
            </w:r>
            <w:r w:rsidRPr="005B54EE">
              <w:rPr>
                <w:rFonts w:ascii="Times New Roman" w:hAnsi="Times New Roman"/>
                <w:b/>
                <w:sz w:val="14"/>
              </w:rPr>
              <w:t xml:space="preserve"> </w:t>
            </w:r>
          </w:p>
        </w:tc>
        <w:tc>
          <w:tcPr>
            <w:tcW w:w="914" w:type="dxa"/>
            <w:tcBorders>
              <w:top w:val="nil"/>
              <w:left w:val="nil"/>
              <w:bottom w:val="single" w:sz="4" w:space="0" w:color="auto"/>
              <w:right w:val="single" w:sz="4" w:space="0" w:color="auto"/>
            </w:tcBorders>
            <w:shd w:val="clear" w:color="000000" w:fill="CCFFFF"/>
            <w:noWrap/>
            <w:vAlign w:val="bottom"/>
            <w:hideMark/>
          </w:tcPr>
          <w:p w14:paraId="6CAD483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NA</w:t>
            </w:r>
          </w:p>
        </w:tc>
        <w:tc>
          <w:tcPr>
            <w:tcW w:w="820" w:type="dxa"/>
            <w:tcBorders>
              <w:top w:val="nil"/>
              <w:left w:val="nil"/>
              <w:bottom w:val="single" w:sz="4" w:space="0" w:color="auto"/>
              <w:right w:val="single" w:sz="4" w:space="0" w:color="auto"/>
            </w:tcBorders>
            <w:shd w:val="clear" w:color="000000" w:fill="CCFFFF"/>
            <w:noWrap/>
            <w:vAlign w:val="bottom"/>
            <w:hideMark/>
          </w:tcPr>
          <w:p w14:paraId="4EB753F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12212,19</w:t>
            </w:r>
          </w:p>
        </w:tc>
        <w:tc>
          <w:tcPr>
            <w:tcW w:w="820" w:type="dxa"/>
            <w:tcBorders>
              <w:top w:val="nil"/>
              <w:left w:val="nil"/>
              <w:bottom w:val="single" w:sz="4" w:space="0" w:color="auto"/>
              <w:right w:val="single" w:sz="4" w:space="0" w:color="auto"/>
            </w:tcBorders>
            <w:shd w:val="clear" w:color="000000" w:fill="969696"/>
            <w:noWrap/>
            <w:vAlign w:val="bottom"/>
            <w:hideMark/>
          </w:tcPr>
          <w:p w14:paraId="6A1C442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596F72D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394B64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B21D9C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CAB5C4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501406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2C118E0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12212,19</w:t>
            </w:r>
          </w:p>
        </w:tc>
      </w:tr>
      <w:tr w:rsidR="00C430E9" w:rsidRPr="005B54EE" w14:paraId="34F090C7"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3937F33"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B.  Biological treatment of solid waste</w:t>
            </w:r>
          </w:p>
        </w:tc>
        <w:tc>
          <w:tcPr>
            <w:tcW w:w="914" w:type="dxa"/>
            <w:tcBorders>
              <w:top w:val="nil"/>
              <w:left w:val="nil"/>
              <w:bottom w:val="single" w:sz="4" w:space="0" w:color="auto"/>
              <w:right w:val="single" w:sz="4" w:space="0" w:color="auto"/>
            </w:tcBorders>
            <w:shd w:val="clear" w:color="000000" w:fill="969696"/>
            <w:noWrap/>
            <w:vAlign w:val="bottom"/>
            <w:hideMark/>
          </w:tcPr>
          <w:p w14:paraId="2C83BB8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54BD97A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1125,28</w:t>
            </w:r>
          </w:p>
        </w:tc>
        <w:tc>
          <w:tcPr>
            <w:tcW w:w="820" w:type="dxa"/>
            <w:tcBorders>
              <w:top w:val="nil"/>
              <w:left w:val="nil"/>
              <w:bottom w:val="single" w:sz="4" w:space="0" w:color="auto"/>
              <w:right w:val="single" w:sz="4" w:space="0" w:color="auto"/>
            </w:tcBorders>
            <w:shd w:val="clear" w:color="000000" w:fill="CCFFFF"/>
            <w:noWrap/>
            <w:vAlign w:val="bottom"/>
            <w:hideMark/>
          </w:tcPr>
          <w:p w14:paraId="0871018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215,09</w:t>
            </w:r>
          </w:p>
        </w:tc>
        <w:tc>
          <w:tcPr>
            <w:tcW w:w="820" w:type="dxa"/>
            <w:tcBorders>
              <w:top w:val="nil"/>
              <w:left w:val="nil"/>
              <w:bottom w:val="single" w:sz="4" w:space="0" w:color="auto"/>
              <w:right w:val="single" w:sz="4" w:space="0" w:color="auto"/>
            </w:tcBorders>
            <w:shd w:val="clear" w:color="000000" w:fill="969696"/>
            <w:noWrap/>
            <w:vAlign w:val="bottom"/>
            <w:hideMark/>
          </w:tcPr>
          <w:p w14:paraId="7254293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1BD7A3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D06975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0EA205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30E72A6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2F5397B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1340,37</w:t>
            </w:r>
          </w:p>
        </w:tc>
      </w:tr>
      <w:tr w:rsidR="00C430E9" w:rsidRPr="005B54EE" w14:paraId="09E3E616"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0BEEE818"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C.  Incineration and open burning of waste</w:t>
            </w:r>
          </w:p>
        </w:tc>
        <w:tc>
          <w:tcPr>
            <w:tcW w:w="914" w:type="dxa"/>
            <w:tcBorders>
              <w:top w:val="nil"/>
              <w:left w:val="nil"/>
              <w:bottom w:val="single" w:sz="4" w:space="0" w:color="auto"/>
              <w:right w:val="single" w:sz="4" w:space="0" w:color="auto"/>
            </w:tcBorders>
            <w:shd w:val="clear" w:color="000000" w:fill="CCFFFF"/>
            <w:noWrap/>
            <w:vAlign w:val="bottom"/>
            <w:hideMark/>
          </w:tcPr>
          <w:p w14:paraId="674A889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1602,93</w:t>
            </w:r>
          </w:p>
        </w:tc>
        <w:tc>
          <w:tcPr>
            <w:tcW w:w="820" w:type="dxa"/>
            <w:tcBorders>
              <w:top w:val="nil"/>
              <w:left w:val="nil"/>
              <w:bottom w:val="single" w:sz="4" w:space="0" w:color="auto"/>
              <w:right w:val="single" w:sz="4" w:space="0" w:color="auto"/>
            </w:tcBorders>
            <w:shd w:val="clear" w:color="000000" w:fill="CCFFFF"/>
            <w:noWrap/>
            <w:vAlign w:val="bottom"/>
            <w:hideMark/>
          </w:tcPr>
          <w:p w14:paraId="3167F7D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37,98</w:t>
            </w:r>
          </w:p>
        </w:tc>
        <w:tc>
          <w:tcPr>
            <w:tcW w:w="820" w:type="dxa"/>
            <w:tcBorders>
              <w:top w:val="nil"/>
              <w:left w:val="nil"/>
              <w:bottom w:val="single" w:sz="4" w:space="0" w:color="auto"/>
              <w:right w:val="single" w:sz="4" w:space="0" w:color="auto"/>
            </w:tcBorders>
            <w:shd w:val="clear" w:color="000000" w:fill="CCFFFF"/>
            <w:noWrap/>
            <w:vAlign w:val="bottom"/>
            <w:hideMark/>
          </w:tcPr>
          <w:p w14:paraId="7C9AE9F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62,83</w:t>
            </w:r>
          </w:p>
        </w:tc>
        <w:tc>
          <w:tcPr>
            <w:tcW w:w="820" w:type="dxa"/>
            <w:tcBorders>
              <w:top w:val="nil"/>
              <w:left w:val="nil"/>
              <w:bottom w:val="single" w:sz="4" w:space="0" w:color="auto"/>
              <w:right w:val="single" w:sz="4" w:space="0" w:color="auto"/>
            </w:tcBorders>
            <w:shd w:val="clear" w:color="000000" w:fill="969696"/>
            <w:noWrap/>
            <w:vAlign w:val="bottom"/>
            <w:hideMark/>
          </w:tcPr>
          <w:p w14:paraId="5E0F595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DE23A2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ADD360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36E277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43ED15A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7963EF6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1703,74</w:t>
            </w:r>
          </w:p>
        </w:tc>
      </w:tr>
      <w:tr w:rsidR="00C430E9" w:rsidRPr="005B54EE" w14:paraId="10F9F36E"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6FE9F28"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D.  Waste water treatment and discharge</w:t>
            </w:r>
          </w:p>
        </w:tc>
        <w:tc>
          <w:tcPr>
            <w:tcW w:w="914" w:type="dxa"/>
            <w:tcBorders>
              <w:top w:val="nil"/>
              <w:left w:val="nil"/>
              <w:bottom w:val="single" w:sz="4" w:space="0" w:color="auto"/>
              <w:right w:val="single" w:sz="4" w:space="0" w:color="auto"/>
            </w:tcBorders>
            <w:shd w:val="clear" w:color="000000" w:fill="969696"/>
            <w:noWrap/>
            <w:vAlign w:val="bottom"/>
            <w:hideMark/>
          </w:tcPr>
          <w:p w14:paraId="712C67B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4F94D64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2386,59</w:t>
            </w:r>
          </w:p>
        </w:tc>
        <w:tc>
          <w:tcPr>
            <w:tcW w:w="820" w:type="dxa"/>
            <w:tcBorders>
              <w:top w:val="nil"/>
              <w:left w:val="nil"/>
              <w:bottom w:val="single" w:sz="4" w:space="0" w:color="auto"/>
              <w:right w:val="single" w:sz="4" w:space="0" w:color="auto"/>
            </w:tcBorders>
            <w:shd w:val="clear" w:color="000000" w:fill="CCFFFF"/>
            <w:noWrap/>
            <w:vAlign w:val="bottom"/>
            <w:hideMark/>
          </w:tcPr>
          <w:p w14:paraId="1BEDAEE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328,84</w:t>
            </w:r>
          </w:p>
        </w:tc>
        <w:tc>
          <w:tcPr>
            <w:tcW w:w="820" w:type="dxa"/>
            <w:tcBorders>
              <w:top w:val="nil"/>
              <w:left w:val="nil"/>
              <w:bottom w:val="single" w:sz="4" w:space="0" w:color="auto"/>
              <w:right w:val="single" w:sz="4" w:space="0" w:color="auto"/>
            </w:tcBorders>
            <w:shd w:val="clear" w:color="000000" w:fill="969696"/>
            <w:noWrap/>
            <w:vAlign w:val="bottom"/>
            <w:hideMark/>
          </w:tcPr>
          <w:p w14:paraId="085A80A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30524E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765CD9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78E117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1041181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2C45E89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2715,42</w:t>
            </w:r>
          </w:p>
        </w:tc>
      </w:tr>
      <w:tr w:rsidR="00C430E9" w:rsidRPr="005B54EE" w14:paraId="4F272EB3"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FFC8A5E" w14:textId="77777777" w:rsidR="00C430E9" w:rsidRPr="005B54EE" w:rsidRDefault="00C430E9" w:rsidP="0046409B">
            <w:pPr>
              <w:jc w:val="left"/>
              <w:rPr>
                <w:rFonts w:ascii="Times New Roman" w:hAnsi="Times New Roman"/>
                <w:sz w:val="14"/>
                <w:szCs w:val="16"/>
              </w:rPr>
            </w:pPr>
            <w:r w:rsidRPr="005B54EE">
              <w:rPr>
                <w:rFonts w:ascii="Times New Roman" w:hAnsi="Times New Roman"/>
                <w:sz w:val="14"/>
              </w:rPr>
              <w:t>E.  Other</w:t>
            </w:r>
            <w:r w:rsidRPr="005B54EE">
              <w:rPr>
                <w:rFonts w:ascii="Times New Roman" w:hAnsi="Times New Roman"/>
                <w:b/>
                <w:i/>
                <w:sz w:val="14"/>
              </w:rPr>
              <w:t xml:space="preserve"> </w:t>
            </w:r>
          </w:p>
        </w:tc>
        <w:tc>
          <w:tcPr>
            <w:tcW w:w="914" w:type="dxa"/>
            <w:tcBorders>
              <w:top w:val="nil"/>
              <w:left w:val="nil"/>
              <w:bottom w:val="single" w:sz="4" w:space="0" w:color="auto"/>
              <w:right w:val="single" w:sz="4" w:space="0" w:color="auto"/>
            </w:tcBorders>
            <w:shd w:val="clear" w:color="000000" w:fill="CCFFFF"/>
            <w:noWrap/>
            <w:vAlign w:val="bottom"/>
            <w:hideMark/>
          </w:tcPr>
          <w:p w14:paraId="765515F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393841B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3E3E61C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969696"/>
            <w:noWrap/>
            <w:vAlign w:val="bottom"/>
            <w:hideMark/>
          </w:tcPr>
          <w:p w14:paraId="7A3AB82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9B7C9B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AC1928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F1FD96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13E333E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0E4A302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r>
      <w:tr w:rsidR="00C430E9" w:rsidRPr="005B54EE" w14:paraId="268A1785"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2D3768A3"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 xml:space="preserve">6.  Other </w:t>
            </w:r>
            <w:r w:rsidRPr="005B54EE">
              <w:rPr>
                <w:rFonts w:ascii="Times New Roman" w:hAnsi="Times New Roman"/>
                <w:b/>
                <w:i/>
                <w:sz w:val="14"/>
              </w:rPr>
              <w:t>(as specified in summary 1.A)</w:t>
            </w:r>
          </w:p>
        </w:tc>
        <w:tc>
          <w:tcPr>
            <w:tcW w:w="914" w:type="dxa"/>
            <w:tcBorders>
              <w:top w:val="nil"/>
              <w:left w:val="nil"/>
              <w:bottom w:val="single" w:sz="4" w:space="0" w:color="auto"/>
              <w:right w:val="single" w:sz="4" w:space="0" w:color="auto"/>
            </w:tcBorders>
            <w:shd w:val="clear" w:color="000000" w:fill="CCFFFF"/>
            <w:noWrap/>
            <w:vAlign w:val="bottom"/>
            <w:hideMark/>
          </w:tcPr>
          <w:p w14:paraId="41B6065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7F1EECC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606DB98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6C741F6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723" w:type="dxa"/>
            <w:tcBorders>
              <w:top w:val="nil"/>
              <w:left w:val="nil"/>
              <w:bottom w:val="single" w:sz="4" w:space="0" w:color="auto"/>
              <w:right w:val="single" w:sz="4" w:space="0" w:color="auto"/>
            </w:tcBorders>
            <w:shd w:val="clear" w:color="000000" w:fill="CCFFFF"/>
            <w:noWrap/>
            <w:vAlign w:val="bottom"/>
            <w:hideMark/>
          </w:tcPr>
          <w:p w14:paraId="3DE6843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723" w:type="dxa"/>
            <w:tcBorders>
              <w:top w:val="nil"/>
              <w:left w:val="nil"/>
              <w:bottom w:val="single" w:sz="4" w:space="0" w:color="auto"/>
              <w:right w:val="single" w:sz="4" w:space="0" w:color="auto"/>
            </w:tcBorders>
            <w:shd w:val="clear" w:color="000000" w:fill="CCFFFF"/>
            <w:noWrap/>
            <w:vAlign w:val="bottom"/>
            <w:hideMark/>
          </w:tcPr>
          <w:p w14:paraId="4F6A45B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1276" w:type="dxa"/>
            <w:tcBorders>
              <w:top w:val="nil"/>
              <w:left w:val="nil"/>
              <w:bottom w:val="single" w:sz="4" w:space="0" w:color="auto"/>
              <w:right w:val="single" w:sz="4" w:space="0" w:color="auto"/>
            </w:tcBorders>
            <w:shd w:val="clear" w:color="000000" w:fill="CCFFFF"/>
            <w:noWrap/>
            <w:vAlign w:val="bottom"/>
            <w:hideMark/>
          </w:tcPr>
          <w:p w14:paraId="3B011EE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487" w:type="dxa"/>
            <w:tcBorders>
              <w:top w:val="nil"/>
              <w:left w:val="nil"/>
              <w:bottom w:val="single" w:sz="4" w:space="0" w:color="auto"/>
              <w:right w:val="single" w:sz="4" w:space="0" w:color="auto"/>
            </w:tcBorders>
            <w:shd w:val="clear" w:color="000000" w:fill="CCFFFF"/>
            <w:noWrap/>
            <w:vAlign w:val="bottom"/>
            <w:hideMark/>
          </w:tcPr>
          <w:p w14:paraId="350B37D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0A6A2E9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w:t>
            </w:r>
          </w:p>
        </w:tc>
      </w:tr>
      <w:tr w:rsidR="00C430E9" w:rsidRPr="005B54EE" w14:paraId="78643BC6" w14:textId="77777777" w:rsidTr="00D8302C">
        <w:trPr>
          <w:gridAfter w:val="1"/>
          <w:wAfter w:w="152" w:type="dxa"/>
          <w:trHeight w:val="68"/>
          <w:jc w:val="center"/>
        </w:trPr>
        <w:tc>
          <w:tcPr>
            <w:tcW w:w="339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07FEBBAE" w14:textId="711242A4" w:rsidR="00C430E9" w:rsidRPr="005B54EE" w:rsidRDefault="00C430E9" w:rsidP="00C430E9">
            <w:pPr>
              <w:jc w:val="left"/>
              <w:rPr>
                <w:rFonts w:ascii="Times New Roman" w:hAnsi="Times New Roman"/>
                <w:b/>
                <w:bCs/>
                <w:sz w:val="14"/>
                <w:szCs w:val="16"/>
              </w:rPr>
            </w:pPr>
            <w:bookmarkStart w:id="257" w:name="RANGE!A56:J64"/>
            <w:r w:rsidRPr="005B54EE">
              <w:rPr>
                <w:rFonts w:ascii="Times New Roman" w:hAnsi="Times New Roman"/>
                <w:b/>
                <w:sz w:val="14"/>
              </w:rPr>
              <w:t>Memo items:</w:t>
            </w:r>
            <w:r w:rsidRPr="005B54EE">
              <w:rPr>
                <w:rFonts w:ascii="Times New Roman" w:hAnsi="Times New Roman"/>
                <w:b/>
                <w:sz w:val="14"/>
                <w:vertAlign w:val="superscript"/>
              </w:rPr>
              <w:t>(2)</w:t>
            </w:r>
            <w:bookmarkEnd w:id="257"/>
          </w:p>
        </w:tc>
        <w:tc>
          <w:tcPr>
            <w:tcW w:w="914" w:type="dxa"/>
            <w:tcBorders>
              <w:top w:val="single" w:sz="4" w:space="0" w:color="auto"/>
              <w:left w:val="nil"/>
              <w:bottom w:val="single" w:sz="4" w:space="0" w:color="auto"/>
              <w:right w:val="single" w:sz="4" w:space="0" w:color="auto"/>
            </w:tcBorders>
            <w:shd w:val="clear" w:color="000000" w:fill="969696"/>
            <w:noWrap/>
            <w:vAlign w:val="bottom"/>
            <w:hideMark/>
          </w:tcPr>
          <w:p w14:paraId="5272B94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single" w:sz="4" w:space="0" w:color="auto"/>
              <w:left w:val="nil"/>
              <w:bottom w:val="single" w:sz="4" w:space="0" w:color="auto"/>
              <w:right w:val="single" w:sz="4" w:space="0" w:color="auto"/>
            </w:tcBorders>
            <w:shd w:val="clear" w:color="000000" w:fill="969696"/>
            <w:noWrap/>
            <w:vAlign w:val="bottom"/>
            <w:hideMark/>
          </w:tcPr>
          <w:p w14:paraId="163B036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single" w:sz="4" w:space="0" w:color="auto"/>
              <w:left w:val="nil"/>
              <w:bottom w:val="single" w:sz="4" w:space="0" w:color="auto"/>
              <w:right w:val="single" w:sz="4" w:space="0" w:color="auto"/>
            </w:tcBorders>
            <w:shd w:val="clear" w:color="000000" w:fill="969696"/>
            <w:noWrap/>
            <w:vAlign w:val="bottom"/>
            <w:hideMark/>
          </w:tcPr>
          <w:p w14:paraId="70FE1B1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single" w:sz="4" w:space="0" w:color="auto"/>
              <w:left w:val="nil"/>
              <w:bottom w:val="single" w:sz="4" w:space="0" w:color="auto"/>
              <w:right w:val="single" w:sz="4" w:space="0" w:color="auto"/>
            </w:tcBorders>
            <w:shd w:val="clear" w:color="000000" w:fill="969696"/>
            <w:noWrap/>
            <w:vAlign w:val="bottom"/>
            <w:hideMark/>
          </w:tcPr>
          <w:p w14:paraId="5F626D0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single" w:sz="4" w:space="0" w:color="auto"/>
              <w:left w:val="nil"/>
              <w:bottom w:val="single" w:sz="4" w:space="0" w:color="auto"/>
              <w:right w:val="single" w:sz="4" w:space="0" w:color="auto"/>
            </w:tcBorders>
            <w:shd w:val="clear" w:color="000000" w:fill="969696"/>
            <w:noWrap/>
            <w:vAlign w:val="bottom"/>
            <w:hideMark/>
          </w:tcPr>
          <w:p w14:paraId="5DFD11A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single" w:sz="4" w:space="0" w:color="auto"/>
              <w:left w:val="nil"/>
              <w:bottom w:val="single" w:sz="4" w:space="0" w:color="auto"/>
              <w:right w:val="single" w:sz="4" w:space="0" w:color="auto"/>
            </w:tcBorders>
            <w:shd w:val="clear" w:color="000000" w:fill="969696"/>
            <w:noWrap/>
            <w:vAlign w:val="bottom"/>
            <w:hideMark/>
          </w:tcPr>
          <w:p w14:paraId="509C619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single" w:sz="4" w:space="0" w:color="auto"/>
              <w:left w:val="nil"/>
              <w:bottom w:val="single" w:sz="4" w:space="0" w:color="auto"/>
              <w:right w:val="single" w:sz="4" w:space="0" w:color="auto"/>
            </w:tcBorders>
            <w:shd w:val="clear" w:color="000000" w:fill="969696"/>
            <w:noWrap/>
            <w:vAlign w:val="bottom"/>
            <w:hideMark/>
          </w:tcPr>
          <w:p w14:paraId="1A595AE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single" w:sz="4" w:space="0" w:color="auto"/>
              <w:left w:val="nil"/>
              <w:bottom w:val="single" w:sz="4" w:space="0" w:color="auto"/>
              <w:right w:val="single" w:sz="4" w:space="0" w:color="auto"/>
            </w:tcBorders>
            <w:shd w:val="clear" w:color="000000" w:fill="969696"/>
            <w:noWrap/>
            <w:vAlign w:val="bottom"/>
            <w:hideMark/>
          </w:tcPr>
          <w:p w14:paraId="71009FA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single" w:sz="4" w:space="0" w:color="auto"/>
              <w:left w:val="nil"/>
              <w:bottom w:val="single" w:sz="4" w:space="0" w:color="auto"/>
              <w:right w:val="single" w:sz="4" w:space="0" w:color="auto"/>
            </w:tcBorders>
            <w:shd w:val="clear" w:color="000000" w:fill="969696"/>
            <w:noWrap/>
            <w:vAlign w:val="bottom"/>
            <w:hideMark/>
          </w:tcPr>
          <w:p w14:paraId="3FFA177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r>
      <w:tr w:rsidR="00C430E9" w:rsidRPr="005B54EE" w14:paraId="0E61155D"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8561690"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International bunkers</w:t>
            </w:r>
          </w:p>
        </w:tc>
        <w:tc>
          <w:tcPr>
            <w:tcW w:w="914" w:type="dxa"/>
            <w:tcBorders>
              <w:top w:val="nil"/>
              <w:left w:val="nil"/>
              <w:bottom w:val="single" w:sz="4" w:space="0" w:color="auto"/>
              <w:right w:val="single" w:sz="4" w:space="0" w:color="auto"/>
            </w:tcBorders>
            <w:shd w:val="clear" w:color="000000" w:fill="CCFFFF"/>
            <w:noWrap/>
            <w:vAlign w:val="bottom"/>
            <w:hideMark/>
          </w:tcPr>
          <w:p w14:paraId="59AC611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11437,54</w:t>
            </w:r>
          </w:p>
        </w:tc>
        <w:tc>
          <w:tcPr>
            <w:tcW w:w="820" w:type="dxa"/>
            <w:tcBorders>
              <w:top w:val="nil"/>
              <w:left w:val="nil"/>
              <w:bottom w:val="single" w:sz="4" w:space="0" w:color="auto"/>
              <w:right w:val="single" w:sz="4" w:space="0" w:color="auto"/>
            </w:tcBorders>
            <w:shd w:val="clear" w:color="000000" w:fill="CCFFFF"/>
            <w:noWrap/>
            <w:vAlign w:val="bottom"/>
            <w:hideMark/>
          </w:tcPr>
          <w:p w14:paraId="451478F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8,51</w:t>
            </w:r>
          </w:p>
        </w:tc>
        <w:tc>
          <w:tcPr>
            <w:tcW w:w="820" w:type="dxa"/>
            <w:tcBorders>
              <w:top w:val="nil"/>
              <w:left w:val="nil"/>
              <w:bottom w:val="single" w:sz="4" w:space="0" w:color="auto"/>
              <w:right w:val="single" w:sz="4" w:space="0" w:color="auto"/>
            </w:tcBorders>
            <w:shd w:val="clear" w:color="000000" w:fill="CCFFFF"/>
            <w:noWrap/>
            <w:vAlign w:val="bottom"/>
            <w:hideMark/>
          </w:tcPr>
          <w:p w14:paraId="3D720AA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91,23</w:t>
            </w:r>
          </w:p>
        </w:tc>
        <w:tc>
          <w:tcPr>
            <w:tcW w:w="820" w:type="dxa"/>
            <w:tcBorders>
              <w:top w:val="nil"/>
              <w:left w:val="nil"/>
              <w:bottom w:val="single" w:sz="4" w:space="0" w:color="auto"/>
              <w:right w:val="single" w:sz="4" w:space="0" w:color="auto"/>
            </w:tcBorders>
            <w:shd w:val="clear" w:color="000000" w:fill="969696"/>
            <w:noWrap/>
            <w:vAlign w:val="bottom"/>
            <w:hideMark/>
          </w:tcPr>
          <w:p w14:paraId="5B10725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0FFC8E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FCC0AF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1CD313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7E51CF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0B95D6E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11537,28</w:t>
            </w:r>
          </w:p>
        </w:tc>
      </w:tr>
      <w:tr w:rsidR="00C430E9" w:rsidRPr="005B54EE" w14:paraId="1AC64695"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D7D36ED"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Aviation</w:t>
            </w:r>
          </w:p>
        </w:tc>
        <w:tc>
          <w:tcPr>
            <w:tcW w:w="914" w:type="dxa"/>
            <w:tcBorders>
              <w:top w:val="nil"/>
              <w:left w:val="nil"/>
              <w:bottom w:val="single" w:sz="4" w:space="0" w:color="auto"/>
              <w:right w:val="single" w:sz="4" w:space="0" w:color="auto"/>
            </w:tcBorders>
            <w:shd w:val="clear" w:color="000000" w:fill="CCFFFF"/>
            <w:noWrap/>
            <w:vAlign w:val="bottom"/>
            <w:hideMark/>
          </w:tcPr>
          <w:p w14:paraId="07B0E70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8183,82</w:t>
            </w:r>
          </w:p>
        </w:tc>
        <w:tc>
          <w:tcPr>
            <w:tcW w:w="820" w:type="dxa"/>
            <w:tcBorders>
              <w:top w:val="nil"/>
              <w:left w:val="nil"/>
              <w:bottom w:val="single" w:sz="4" w:space="0" w:color="auto"/>
              <w:right w:val="single" w:sz="4" w:space="0" w:color="auto"/>
            </w:tcBorders>
            <w:shd w:val="clear" w:color="000000" w:fill="CCFFFF"/>
            <w:noWrap/>
            <w:vAlign w:val="bottom"/>
            <w:hideMark/>
          </w:tcPr>
          <w:p w14:paraId="289BFBF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0,70</w:t>
            </w:r>
          </w:p>
        </w:tc>
        <w:tc>
          <w:tcPr>
            <w:tcW w:w="820" w:type="dxa"/>
            <w:tcBorders>
              <w:top w:val="nil"/>
              <w:left w:val="nil"/>
              <w:bottom w:val="single" w:sz="4" w:space="0" w:color="auto"/>
              <w:right w:val="single" w:sz="4" w:space="0" w:color="auto"/>
            </w:tcBorders>
            <w:shd w:val="clear" w:color="000000" w:fill="CCFFFF"/>
            <w:noWrap/>
            <w:vAlign w:val="bottom"/>
            <w:hideMark/>
          </w:tcPr>
          <w:p w14:paraId="031D24D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66,37</w:t>
            </w:r>
          </w:p>
        </w:tc>
        <w:tc>
          <w:tcPr>
            <w:tcW w:w="820" w:type="dxa"/>
            <w:tcBorders>
              <w:top w:val="nil"/>
              <w:left w:val="nil"/>
              <w:bottom w:val="single" w:sz="4" w:space="0" w:color="auto"/>
              <w:right w:val="single" w:sz="4" w:space="0" w:color="auto"/>
            </w:tcBorders>
            <w:shd w:val="clear" w:color="000000" w:fill="969696"/>
            <w:noWrap/>
            <w:vAlign w:val="bottom"/>
            <w:hideMark/>
          </w:tcPr>
          <w:p w14:paraId="101A3EB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9E4D5B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AE69E4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C53AFE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718F6EF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26A1730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8250,89</w:t>
            </w:r>
          </w:p>
        </w:tc>
      </w:tr>
      <w:tr w:rsidR="00C430E9" w:rsidRPr="005B54EE" w14:paraId="17FA28EE"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38E8BB5"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Navigation</w:t>
            </w:r>
          </w:p>
        </w:tc>
        <w:tc>
          <w:tcPr>
            <w:tcW w:w="914" w:type="dxa"/>
            <w:tcBorders>
              <w:top w:val="nil"/>
              <w:left w:val="nil"/>
              <w:bottom w:val="single" w:sz="4" w:space="0" w:color="auto"/>
              <w:right w:val="single" w:sz="4" w:space="0" w:color="auto"/>
            </w:tcBorders>
            <w:shd w:val="clear" w:color="000000" w:fill="CCFFFF"/>
            <w:noWrap/>
            <w:vAlign w:val="bottom"/>
            <w:hideMark/>
          </w:tcPr>
          <w:p w14:paraId="4E9286D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3253,71</w:t>
            </w:r>
          </w:p>
        </w:tc>
        <w:tc>
          <w:tcPr>
            <w:tcW w:w="820" w:type="dxa"/>
            <w:tcBorders>
              <w:top w:val="nil"/>
              <w:left w:val="nil"/>
              <w:bottom w:val="single" w:sz="4" w:space="0" w:color="auto"/>
              <w:right w:val="single" w:sz="4" w:space="0" w:color="auto"/>
            </w:tcBorders>
            <w:shd w:val="clear" w:color="000000" w:fill="CCFFFF"/>
            <w:noWrap/>
            <w:vAlign w:val="bottom"/>
            <w:hideMark/>
          </w:tcPr>
          <w:p w14:paraId="664B585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7,81</w:t>
            </w:r>
          </w:p>
        </w:tc>
        <w:tc>
          <w:tcPr>
            <w:tcW w:w="820" w:type="dxa"/>
            <w:tcBorders>
              <w:top w:val="nil"/>
              <w:left w:val="nil"/>
              <w:bottom w:val="single" w:sz="4" w:space="0" w:color="auto"/>
              <w:right w:val="single" w:sz="4" w:space="0" w:color="auto"/>
            </w:tcBorders>
            <w:shd w:val="clear" w:color="000000" w:fill="CCFFFF"/>
            <w:noWrap/>
            <w:vAlign w:val="bottom"/>
            <w:hideMark/>
          </w:tcPr>
          <w:p w14:paraId="73880B7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24,86</w:t>
            </w:r>
          </w:p>
        </w:tc>
        <w:tc>
          <w:tcPr>
            <w:tcW w:w="820" w:type="dxa"/>
            <w:tcBorders>
              <w:top w:val="nil"/>
              <w:left w:val="nil"/>
              <w:bottom w:val="single" w:sz="4" w:space="0" w:color="auto"/>
              <w:right w:val="single" w:sz="4" w:space="0" w:color="auto"/>
            </w:tcBorders>
            <w:shd w:val="clear" w:color="000000" w:fill="969696"/>
            <w:noWrap/>
            <w:vAlign w:val="bottom"/>
            <w:hideMark/>
          </w:tcPr>
          <w:p w14:paraId="452BDD1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ECDC30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6C0A1A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707C03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F65F1BE"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64F7F83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3286,39</w:t>
            </w:r>
          </w:p>
        </w:tc>
      </w:tr>
      <w:tr w:rsidR="00C430E9" w:rsidRPr="005B54EE" w14:paraId="09F3DF51"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300E8DB"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Multilateral operations</w:t>
            </w:r>
          </w:p>
        </w:tc>
        <w:tc>
          <w:tcPr>
            <w:tcW w:w="914" w:type="dxa"/>
            <w:tcBorders>
              <w:top w:val="nil"/>
              <w:left w:val="nil"/>
              <w:bottom w:val="single" w:sz="4" w:space="0" w:color="auto"/>
              <w:right w:val="single" w:sz="4" w:space="0" w:color="auto"/>
            </w:tcBorders>
            <w:shd w:val="clear" w:color="000000" w:fill="CCFFFF"/>
            <w:noWrap/>
            <w:vAlign w:val="bottom"/>
            <w:hideMark/>
          </w:tcPr>
          <w:p w14:paraId="04F214D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1,42</w:t>
            </w:r>
          </w:p>
        </w:tc>
        <w:tc>
          <w:tcPr>
            <w:tcW w:w="820" w:type="dxa"/>
            <w:tcBorders>
              <w:top w:val="nil"/>
              <w:left w:val="nil"/>
              <w:bottom w:val="single" w:sz="4" w:space="0" w:color="auto"/>
              <w:right w:val="single" w:sz="4" w:space="0" w:color="auto"/>
            </w:tcBorders>
            <w:shd w:val="clear" w:color="000000" w:fill="CCFFFF"/>
            <w:noWrap/>
            <w:vAlign w:val="bottom"/>
            <w:hideMark/>
          </w:tcPr>
          <w:p w14:paraId="5615681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NE</w:t>
            </w:r>
          </w:p>
        </w:tc>
        <w:tc>
          <w:tcPr>
            <w:tcW w:w="820" w:type="dxa"/>
            <w:tcBorders>
              <w:top w:val="nil"/>
              <w:left w:val="nil"/>
              <w:bottom w:val="single" w:sz="4" w:space="0" w:color="auto"/>
              <w:right w:val="single" w:sz="4" w:space="0" w:color="auto"/>
            </w:tcBorders>
            <w:shd w:val="clear" w:color="000000" w:fill="CCFFFF"/>
            <w:noWrap/>
            <w:vAlign w:val="bottom"/>
            <w:hideMark/>
          </w:tcPr>
          <w:p w14:paraId="0E48511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NE</w:t>
            </w:r>
          </w:p>
        </w:tc>
        <w:tc>
          <w:tcPr>
            <w:tcW w:w="820" w:type="dxa"/>
            <w:tcBorders>
              <w:top w:val="nil"/>
              <w:left w:val="nil"/>
              <w:bottom w:val="single" w:sz="4" w:space="0" w:color="auto"/>
              <w:right w:val="single" w:sz="4" w:space="0" w:color="auto"/>
            </w:tcBorders>
            <w:shd w:val="clear" w:color="000000" w:fill="969696"/>
            <w:noWrap/>
            <w:vAlign w:val="bottom"/>
            <w:hideMark/>
          </w:tcPr>
          <w:p w14:paraId="075AD0E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20D95B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E369A1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FC1B50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3549A2A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64F0EE5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1,42</w:t>
            </w:r>
          </w:p>
        </w:tc>
      </w:tr>
      <w:tr w:rsidR="00C430E9" w:rsidRPr="005B54EE" w14:paraId="79B7F4FD"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BCACEE2" w14:textId="360BB0E2" w:rsidR="00C430E9" w:rsidRPr="005B54EE" w:rsidRDefault="00811B0F" w:rsidP="00C430E9">
            <w:pPr>
              <w:jc w:val="left"/>
              <w:rPr>
                <w:rFonts w:ascii="Times New Roman" w:hAnsi="Times New Roman"/>
                <w:b/>
                <w:bCs/>
                <w:sz w:val="14"/>
                <w:szCs w:val="16"/>
              </w:rPr>
            </w:pPr>
            <w:r w:rsidRPr="005B54EE">
              <w:rPr>
                <w:sz w:val="14"/>
              </w:rPr>
              <w:t>CO</w:t>
            </w:r>
            <w:r w:rsidRPr="005B54EE">
              <w:rPr>
                <w:sz w:val="14"/>
                <w:vertAlign w:val="subscript"/>
              </w:rPr>
              <w:t>2</w:t>
            </w:r>
            <w:r w:rsidRPr="005B54EE">
              <w:rPr>
                <w:rFonts w:ascii="Times New Roman" w:hAnsi="Times New Roman"/>
                <w:b/>
                <w:sz w:val="14"/>
              </w:rPr>
              <w:t xml:space="preserve"> emissions from biomass</w:t>
            </w:r>
          </w:p>
        </w:tc>
        <w:tc>
          <w:tcPr>
            <w:tcW w:w="914" w:type="dxa"/>
            <w:tcBorders>
              <w:top w:val="nil"/>
              <w:left w:val="nil"/>
              <w:bottom w:val="single" w:sz="4" w:space="0" w:color="auto"/>
              <w:right w:val="single" w:sz="4" w:space="0" w:color="auto"/>
            </w:tcBorders>
            <w:shd w:val="clear" w:color="000000" w:fill="CCFFFF"/>
            <w:noWrap/>
            <w:vAlign w:val="bottom"/>
            <w:hideMark/>
          </w:tcPr>
          <w:p w14:paraId="5E6FB79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59133,68</w:t>
            </w:r>
          </w:p>
        </w:tc>
        <w:tc>
          <w:tcPr>
            <w:tcW w:w="820" w:type="dxa"/>
            <w:tcBorders>
              <w:top w:val="nil"/>
              <w:left w:val="nil"/>
              <w:bottom w:val="single" w:sz="4" w:space="0" w:color="auto"/>
              <w:right w:val="single" w:sz="4" w:space="0" w:color="auto"/>
            </w:tcBorders>
            <w:shd w:val="clear" w:color="000000" w:fill="969696"/>
            <w:noWrap/>
            <w:vAlign w:val="bottom"/>
            <w:hideMark/>
          </w:tcPr>
          <w:p w14:paraId="7EE36064"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3F5C72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36E6E41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2C8F8A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2F73420"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09757D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2912818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45FF99B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59133,68</w:t>
            </w:r>
          </w:p>
        </w:tc>
      </w:tr>
      <w:tr w:rsidR="00C430E9" w:rsidRPr="005B54EE" w14:paraId="665CE4C3"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213E7803" w14:textId="4AB876FD" w:rsidR="00C430E9" w:rsidRPr="005B54EE" w:rsidRDefault="00811B0F" w:rsidP="00C430E9">
            <w:pPr>
              <w:jc w:val="left"/>
              <w:rPr>
                <w:rFonts w:ascii="Times New Roman" w:hAnsi="Times New Roman"/>
                <w:b/>
                <w:bCs/>
                <w:sz w:val="14"/>
                <w:szCs w:val="16"/>
              </w:rPr>
            </w:pPr>
            <w:r w:rsidRPr="005B54EE">
              <w:rPr>
                <w:sz w:val="14"/>
              </w:rPr>
              <w:t>CO</w:t>
            </w:r>
            <w:r w:rsidRPr="005B54EE">
              <w:rPr>
                <w:sz w:val="14"/>
                <w:vertAlign w:val="subscript"/>
              </w:rPr>
              <w:t>2</w:t>
            </w:r>
            <w:r w:rsidRPr="005B54EE">
              <w:rPr>
                <w:rFonts w:ascii="Times New Roman" w:hAnsi="Times New Roman"/>
                <w:b/>
                <w:sz w:val="14"/>
              </w:rPr>
              <w:t xml:space="preserve"> captured</w:t>
            </w:r>
          </w:p>
        </w:tc>
        <w:tc>
          <w:tcPr>
            <w:tcW w:w="914" w:type="dxa"/>
            <w:tcBorders>
              <w:top w:val="nil"/>
              <w:left w:val="nil"/>
              <w:bottom w:val="single" w:sz="4" w:space="0" w:color="auto"/>
              <w:right w:val="single" w:sz="4" w:space="0" w:color="auto"/>
            </w:tcBorders>
            <w:shd w:val="clear" w:color="000000" w:fill="CCFFFF"/>
            <w:noWrap/>
            <w:vAlign w:val="bottom"/>
            <w:hideMark/>
          </w:tcPr>
          <w:p w14:paraId="748EC65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c>
          <w:tcPr>
            <w:tcW w:w="820" w:type="dxa"/>
            <w:tcBorders>
              <w:top w:val="nil"/>
              <w:left w:val="nil"/>
              <w:bottom w:val="single" w:sz="4" w:space="0" w:color="auto"/>
              <w:right w:val="single" w:sz="4" w:space="0" w:color="auto"/>
            </w:tcBorders>
            <w:shd w:val="clear" w:color="000000" w:fill="969696"/>
            <w:noWrap/>
            <w:vAlign w:val="bottom"/>
            <w:hideMark/>
          </w:tcPr>
          <w:p w14:paraId="245C84E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C633E8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5661914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80E8C3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126ABEB"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39E333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071F541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57EAD0E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NO,NA</w:t>
            </w:r>
          </w:p>
        </w:tc>
      </w:tr>
      <w:tr w:rsidR="00C430E9" w:rsidRPr="005B54EE" w14:paraId="2AB8213A" w14:textId="77777777" w:rsidTr="00D8302C">
        <w:trPr>
          <w:gridAfter w:val="1"/>
          <w:wAfter w:w="152" w:type="dxa"/>
          <w:trHeight w:val="68"/>
          <w:jc w:val="center"/>
        </w:trPr>
        <w:tc>
          <w:tcPr>
            <w:tcW w:w="3397" w:type="dxa"/>
            <w:tcBorders>
              <w:top w:val="single" w:sz="4" w:space="0" w:color="auto"/>
              <w:left w:val="single" w:sz="4" w:space="0" w:color="auto"/>
              <w:bottom w:val="nil"/>
              <w:right w:val="single" w:sz="4" w:space="0" w:color="auto"/>
            </w:tcBorders>
            <w:shd w:val="clear" w:color="000000" w:fill="CCFFFF"/>
            <w:noWrap/>
            <w:vAlign w:val="center"/>
            <w:hideMark/>
          </w:tcPr>
          <w:p w14:paraId="14C10B8C" w14:textId="77777777"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Long-term storage of C in waste disposal sites</w:t>
            </w:r>
          </w:p>
        </w:tc>
        <w:tc>
          <w:tcPr>
            <w:tcW w:w="914" w:type="dxa"/>
            <w:tcBorders>
              <w:top w:val="nil"/>
              <w:left w:val="single" w:sz="4" w:space="0" w:color="auto"/>
              <w:bottom w:val="single" w:sz="4" w:space="0" w:color="auto"/>
              <w:right w:val="single" w:sz="4" w:space="0" w:color="auto"/>
            </w:tcBorders>
            <w:shd w:val="clear" w:color="000000" w:fill="CCFFFF"/>
            <w:noWrap/>
            <w:vAlign w:val="bottom"/>
            <w:hideMark/>
          </w:tcPr>
          <w:p w14:paraId="4CE4B34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NE</w:t>
            </w:r>
          </w:p>
        </w:tc>
        <w:tc>
          <w:tcPr>
            <w:tcW w:w="820" w:type="dxa"/>
            <w:tcBorders>
              <w:top w:val="nil"/>
              <w:left w:val="nil"/>
              <w:bottom w:val="single" w:sz="4" w:space="0" w:color="auto"/>
              <w:right w:val="single" w:sz="4" w:space="0" w:color="auto"/>
            </w:tcBorders>
            <w:shd w:val="clear" w:color="000000" w:fill="969696"/>
            <w:noWrap/>
            <w:vAlign w:val="bottom"/>
            <w:hideMark/>
          </w:tcPr>
          <w:p w14:paraId="7CBDA3B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123DD0C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87E8E4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A25E20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A5E3B3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C1321D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55064C6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CCFFFF"/>
            <w:noWrap/>
            <w:vAlign w:val="bottom"/>
            <w:hideMark/>
          </w:tcPr>
          <w:p w14:paraId="6DAD4189"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NE</w:t>
            </w:r>
          </w:p>
        </w:tc>
      </w:tr>
      <w:tr w:rsidR="00C430E9" w:rsidRPr="005B54EE" w14:paraId="39BF8DCB" w14:textId="77777777" w:rsidTr="00D8302C">
        <w:trPr>
          <w:gridAfter w:val="1"/>
          <w:wAfter w:w="152" w:type="dxa"/>
          <w:trHeight w:val="68"/>
          <w:jc w:val="center"/>
        </w:trPr>
        <w:tc>
          <w:tcPr>
            <w:tcW w:w="3397"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4DF7CAB" w14:textId="29277CF2" w:rsidR="00C430E9" w:rsidRPr="005B54EE" w:rsidRDefault="00C430E9" w:rsidP="00C430E9">
            <w:pPr>
              <w:jc w:val="left"/>
              <w:rPr>
                <w:rFonts w:ascii="Times New Roman" w:hAnsi="Times New Roman"/>
                <w:b/>
                <w:bCs/>
                <w:sz w:val="14"/>
                <w:szCs w:val="16"/>
              </w:rPr>
            </w:pPr>
            <w:r w:rsidRPr="005B54EE">
              <w:rPr>
                <w:rFonts w:ascii="Times New Roman" w:hAnsi="Times New Roman"/>
                <w:b/>
                <w:sz w:val="14"/>
              </w:rPr>
              <w:t xml:space="preserve">Indirect </w:t>
            </w:r>
            <w:r w:rsidRPr="005B54EE">
              <w:rPr>
                <w:sz w:val="14"/>
              </w:rPr>
              <w:t>N</w:t>
            </w:r>
            <w:r w:rsidRPr="005B54EE">
              <w:rPr>
                <w:sz w:val="14"/>
                <w:vertAlign w:val="subscript"/>
              </w:rPr>
              <w:t>2</w:t>
            </w:r>
            <w:r w:rsidRPr="005B54EE">
              <w:rPr>
                <w:sz w:val="14"/>
              </w:rPr>
              <w:t>O</w:t>
            </w:r>
          </w:p>
        </w:tc>
        <w:tc>
          <w:tcPr>
            <w:tcW w:w="914" w:type="dxa"/>
            <w:tcBorders>
              <w:top w:val="nil"/>
              <w:left w:val="nil"/>
              <w:bottom w:val="single" w:sz="4" w:space="0" w:color="auto"/>
              <w:right w:val="single" w:sz="4" w:space="0" w:color="auto"/>
            </w:tcBorders>
            <w:shd w:val="clear" w:color="000000" w:fill="969696"/>
            <w:noWrap/>
            <w:vAlign w:val="bottom"/>
            <w:hideMark/>
          </w:tcPr>
          <w:p w14:paraId="3CBE9AB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7423C3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430CECB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NO,NE</w:t>
            </w:r>
          </w:p>
        </w:tc>
        <w:tc>
          <w:tcPr>
            <w:tcW w:w="820" w:type="dxa"/>
            <w:tcBorders>
              <w:top w:val="nil"/>
              <w:left w:val="nil"/>
              <w:bottom w:val="single" w:sz="4" w:space="0" w:color="auto"/>
              <w:right w:val="single" w:sz="4" w:space="0" w:color="auto"/>
            </w:tcBorders>
            <w:shd w:val="clear" w:color="000000" w:fill="969696"/>
            <w:noWrap/>
            <w:vAlign w:val="bottom"/>
            <w:hideMark/>
          </w:tcPr>
          <w:p w14:paraId="61E2D1B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5946F7C"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A85DA9D"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C20887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471FDF0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969696"/>
            <w:noWrap/>
            <w:vAlign w:val="bottom"/>
            <w:hideMark/>
          </w:tcPr>
          <w:p w14:paraId="2CBBBFF3"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r>
      <w:tr w:rsidR="00C430E9" w:rsidRPr="005B54EE" w14:paraId="79170B62" w14:textId="77777777" w:rsidTr="00D8302C">
        <w:trPr>
          <w:gridAfter w:val="1"/>
          <w:wAfter w:w="152" w:type="dxa"/>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4AF6749" w14:textId="6B3F803F" w:rsidR="00C430E9" w:rsidRPr="005B54EE" w:rsidRDefault="00C430E9" w:rsidP="00C430E9">
            <w:pPr>
              <w:jc w:val="left"/>
              <w:rPr>
                <w:rFonts w:ascii="Times New Roman" w:hAnsi="Times New Roman"/>
                <w:b/>
                <w:bCs/>
                <w:sz w:val="14"/>
                <w:szCs w:val="16"/>
              </w:rPr>
            </w:pPr>
            <w:bookmarkStart w:id="258" w:name="RANGE!A65:J65"/>
            <w:r w:rsidRPr="005B54EE">
              <w:rPr>
                <w:rFonts w:ascii="Times New Roman" w:hAnsi="Times New Roman"/>
                <w:b/>
                <w:sz w:val="14"/>
              </w:rPr>
              <w:t xml:space="preserve">Indirect </w:t>
            </w:r>
            <w:r w:rsidRPr="005B54EE">
              <w:rPr>
                <w:sz w:val="14"/>
              </w:rPr>
              <w:t>CO</w:t>
            </w:r>
            <w:r w:rsidRPr="005B54EE">
              <w:rPr>
                <w:sz w:val="14"/>
                <w:vertAlign w:val="subscript"/>
              </w:rPr>
              <w:t>2</w:t>
            </w:r>
            <w:r w:rsidRPr="005B54EE">
              <w:rPr>
                <w:rFonts w:ascii="Times New Roman" w:hAnsi="Times New Roman"/>
                <w:b/>
                <w:sz w:val="14"/>
                <w:vertAlign w:val="subscript"/>
              </w:rPr>
              <w:t xml:space="preserve"> </w:t>
            </w:r>
            <w:r w:rsidRPr="005B54EE">
              <w:rPr>
                <w:rFonts w:ascii="Times New Roman" w:hAnsi="Times New Roman"/>
                <w:b/>
                <w:sz w:val="14"/>
                <w:vertAlign w:val="superscript"/>
              </w:rPr>
              <w:t>(3)</w:t>
            </w:r>
            <w:bookmarkEnd w:id="258"/>
          </w:p>
        </w:tc>
        <w:tc>
          <w:tcPr>
            <w:tcW w:w="914" w:type="dxa"/>
            <w:tcBorders>
              <w:top w:val="nil"/>
              <w:left w:val="nil"/>
              <w:bottom w:val="single" w:sz="4" w:space="0" w:color="auto"/>
              <w:right w:val="single" w:sz="4" w:space="0" w:color="auto"/>
            </w:tcBorders>
            <w:shd w:val="clear" w:color="000000" w:fill="CCFFFF"/>
            <w:noWrap/>
            <w:vAlign w:val="bottom"/>
            <w:hideMark/>
          </w:tcPr>
          <w:p w14:paraId="581A1A62"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NO,IE,NA</w:t>
            </w:r>
          </w:p>
        </w:tc>
        <w:tc>
          <w:tcPr>
            <w:tcW w:w="820" w:type="dxa"/>
            <w:tcBorders>
              <w:top w:val="nil"/>
              <w:left w:val="nil"/>
              <w:bottom w:val="single" w:sz="4" w:space="0" w:color="auto"/>
              <w:right w:val="single" w:sz="4" w:space="0" w:color="auto"/>
            </w:tcBorders>
            <w:shd w:val="clear" w:color="000000" w:fill="969696"/>
            <w:noWrap/>
            <w:vAlign w:val="bottom"/>
            <w:hideMark/>
          </w:tcPr>
          <w:p w14:paraId="7C730AA6"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46C757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FE35D7A"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085E5D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BCF3EB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8A716D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single" w:sz="4" w:space="0" w:color="auto"/>
              <w:right w:val="single" w:sz="4" w:space="0" w:color="auto"/>
            </w:tcBorders>
            <w:shd w:val="clear" w:color="000000" w:fill="969696"/>
            <w:noWrap/>
            <w:vAlign w:val="bottom"/>
            <w:hideMark/>
          </w:tcPr>
          <w:p w14:paraId="0D239D28"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single" w:sz="4" w:space="0" w:color="auto"/>
              <w:right w:val="single" w:sz="4" w:space="0" w:color="auto"/>
            </w:tcBorders>
            <w:shd w:val="clear" w:color="000000" w:fill="969696"/>
            <w:noWrap/>
            <w:vAlign w:val="bottom"/>
            <w:hideMark/>
          </w:tcPr>
          <w:p w14:paraId="2A50CEB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 </w:t>
            </w:r>
          </w:p>
        </w:tc>
      </w:tr>
      <w:tr w:rsidR="00C430E9" w:rsidRPr="005B54EE" w14:paraId="07F80B61" w14:textId="77777777" w:rsidTr="0046409B">
        <w:trPr>
          <w:trHeight w:val="68"/>
          <w:jc w:val="center"/>
        </w:trPr>
        <w:tc>
          <w:tcPr>
            <w:tcW w:w="10113" w:type="dxa"/>
            <w:gridSpan w:val="10"/>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041CA4B1" w14:textId="637AADB3" w:rsidR="00C430E9" w:rsidRPr="005B54EE" w:rsidRDefault="00C430E9" w:rsidP="00C430E9">
            <w:pPr>
              <w:jc w:val="right"/>
              <w:rPr>
                <w:rFonts w:ascii="Times New Roman" w:hAnsi="Times New Roman"/>
                <w:b/>
                <w:bCs/>
                <w:sz w:val="14"/>
                <w:szCs w:val="16"/>
              </w:rPr>
            </w:pPr>
            <w:bookmarkStart w:id="259" w:name="RANGE!A66:J69"/>
            <w:r w:rsidRPr="005B54EE">
              <w:rPr>
                <w:rFonts w:ascii="Times New Roman" w:hAnsi="Times New Roman"/>
                <w:b/>
                <w:sz w:val="14"/>
              </w:rPr>
              <w:t xml:space="preserve">Total </w:t>
            </w:r>
            <w:r w:rsidRPr="005B54EE">
              <w:rPr>
                <w:sz w:val="14"/>
              </w:rPr>
              <w:t>CO</w:t>
            </w:r>
            <w:r w:rsidRPr="005B54EE">
              <w:rPr>
                <w:sz w:val="14"/>
                <w:vertAlign w:val="subscript"/>
              </w:rPr>
              <w:t>2</w:t>
            </w:r>
            <w:r w:rsidRPr="005B54EE">
              <w:rPr>
                <w:rFonts w:ascii="Times New Roman" w:hAnsi="Times New Roman"/>
                <w:b/>
                <w:sz w:val="14"/>
              </w:rPr>
              <w:t xml:space="preserve"> equivalent emissions without land use, land-use change and forestry</w:t>
            </w:r>
            <w:bookmarkEnd w:id="259"/>
          </w:p>
        </w:tc>
        <w:tc>
          <w:tcPr>
            <w:tcW w:w="980" w:type="dxa"/>
            <w:gridSpan w:val="2"/>
            <w:tcBorders>
              <w:top w:val="nil"/>
              <w:left w:val="nil"/>
              <w:bottom w:val="single" w:sz="4" w:space="0" w:color="auto"/>
              <w:right w:val="single" w:sz="4" w:space="0" w:color="auto"/>
            </w:tcBorders>
            <w:shd w:val="clear" w:color="000000" w:fill="CCFFFF"/>
            <w:noWrap/>
            <w:vAlign w:val="bottom"/>
            <w:hideMark/>
          </w:tcPr>
          <w:p w14:paraId="59E6D7F7"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399412,67</w:t>
            </w:r>
          </w:p>
        </w:tc>
      </w:tr>
      <w:tr w:rsidR="00C430E9" w:rsidRPr="005B54EE" w14:paraId="2C5FC959" w14:textId="77777777" w:rsidTr="0046409B">
        <w:trPr>
          <w:trHeight w:val="68"/>
          <w:jc w:val="center"/>
        </w:trPr>
        <w:tc>
          <w:tcPr>
            <w:tcW w:w="10113" w:type="dxa"/>
            <w:gridSpan w:val="10"/>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51D94A40" w14:textId="5220DA39" w:rsidR="00C430E9" w:rsidRPr="005B54EE" w:rsidRDefault="00C430E9" w:rsidP="00C430E9">
            <w:pPr>
              <w:jc w:val="right"/>
              <w:rPr>
                <w:rFonts w:ascii="Times New Roman" w:hAnsi="Times New Roman"/>
                <w:b/>
                <w:bCs/>
                <w:sz w:val="14"/>
                <w:szCs w:val="16"/>
              </w:rPr>
            </w:pPr>
            <w:r w:rsidRPr="005B54EE">
              <w:rPr>
                <w:rFonts w:ascii="Times New Roman" w:hAnsi="Times New Roman"/>
                <w:b/>
                <w:sz w:val="14"/>
              </w:rPr>
              <w:t xml:space="preserve">Total </w:t>
            </w:r>
            <w:r w:rsidRPr="005B54EE">
              <w:rPr>
                <w:sz w:val="14"/>
              </w:rPr>
              <w:t>CO</w:t>
            </w:r>
            <w:r w:rsidRPr="005B54EE">
              <w:rPr>
                <w:sz w:val="14"/>
                <w:vertAlign w:val="subscript"/>
              </w:rPr>
              <w:t>2</w:t>
            </w:r>
            <w:r w:rsidRPr="005B54EE">
              <w:rPr>
                <w:rFonts w:ascii="Times New Roman" w:hAnsi="Times New Roman"/>
                <w:b/>
                <w:sz w:val="14"/>
              </w:rPr>
              <w:t xml:space="preserve"> equivalent emissions with land use, land-use change and forestry</w:t>
            </w:r>
          </w:p>
        </w:tc>
        <w:tc>
          <w:tcPr>
            <w:tcW w:w="980" w:type="dxa"/>
            <w:gridSpan w:val="2"/>
            <w:tcBorders>
              <w:top w:val="nil"/>
              <w:left w:val="nil"/>
              <w:bottom w:val="single" w:sz="4" w:space="0" w:color="auto"/>
              <w:right w:val="single" w:sz="4" w:space="0" w:color="auto"/>
            </w:tcBorders>
            <w:shd w:val="clear" w:color="000000" w:fill="CCFFFF"/>
            <w:noWrap/>
            <w:vAlign w:val="bottom"/>
            <w:hideMark/>
          </w:tcPr>
          <w:p w14:paraId="18025411"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384791,52</w:t>
            </w:r>
          </w:p>
        </w:tc>
      </w:tr>
      <w:tr w:rsidR="00C430E9" w:rsidRPr="005B54EE" w14:paraId="1633555A" w14:textId="77777777" w:rsidTr="0046409B">
        <w:trPr>
          <w:trHeight w:val="68"/>
          <w:jc w:val="center"/>
        </w:trPr>
        <w:tc>
          <w:tcPr>
            <w:tcW w:w="10113" w:type="dxa"/>
            <w:gridSpan w:val="10"/>
            <w:tcBorders>
              <w:top w:val="single" w:sz="4" w:space="0" w:color="auto"/>
              <w:left w:val="single" w:sz="4" w:space="0" w:color="auto"/>
              <w:bottom w:val="single" w:sz="4" w:space="0" w:color="auto"/>
              <w:right w:val="single" w:sz="4" w:space="0" w:color="auto"/>
            </w:tcBorders>
            <w:shd w:val="clear" w:color="000000" w:fill="CCFFFF"/>
            <w:vAlign w:val="center"/>
            <w:hideMark/>
          </w:tcPr>
          <w:p w14:paraId="71BC2582" w14:textId="1542CD26" w:rsidR="00C430E9" w:rsidRPr="005B54EE" w:rsidRDefault="00C430E9" w:rsidP="00C430E9">
            <w:pPr>
              <w:jc w:val="right"/>
              <w:rPr>
                <w:rFonts w:ascii="Times New Roman" w:hAnsi="Times New Roman"/>
                <w:b/>
                <w:bCs/>
                <w:sz w:val="14"/>
                <w:szCs w:val="16"/>
              </w:rPr>
            </w:pPr>
            <w:r w:rsidRPr="005B54EE">
              <w:rPr>
                <w:rFonts w:ascii="Times New Roman" w:hAnsi="Times New Roman"/>
                <w:b/>
                <w:sz w:val="14"/>
              </w:rPr>
              <w:t xml:space="preserve">Total </w:t>
            </w:r>
            <w:r w:rsidRPr="005B54EE">
              <w:rPr>
                <w:sz w:val="14"/>
              </w:rPr>
              <w:t>CO</w:t>
            </w:r>
            <w:r w:rsidRPr="005B54EE">
              <w:rPr>
                <w:sz w:val="14"/>
                <w:vertAlign w:val="subscript"/>
              </w:rPr>
              <w:t>2</w:t>
            </w:r>
            <w:r w:rsidRPr="005B54EE">
              <w:rPr>
                <w:rFonts w:ascii="Times New Roman" w:hAnsi="Times New Roman"/>
                <w:b/>
                <w:sz w:val="14"/>
              </w:rPr>
              <w:t xml:space="preserve"> equivalent emissions, including indirect </w:t>
            </w:r>
            <w:r w:rsidRPr="005B54EE">
              <w:rPr>
                <w:sz w:val="14"/>
              </w:rPr>
              <w:t>CO</w:t>
            </w:r>
            <w:r w:rsidRPr="005B54EE">
              <w:rPr>
                <w:sz w:val="14"/>
                <w:vertAlign w:val="subscript"/>
              </w:rPr>
              <w:t>2</w:t>
            </w:r>
            <w:r w:rsidRPr="005B54EE">
              <w:rPr>
                <w:rFonts w:ascii="Times New Roman" w:hAnsi="Times New Roman"/>
                <w:b/>
                <w:sz w:val="14"/>
              </w:rPr>
              <w:t>,  without land use, land-use change and forestry</w:t>
            </w:r>
          </w:p>
        </w:tc>
        <w:tc>
          <w:tcPr>
            <w:tcW w:w="980" w:type="dxa"/>
            <w:gridSpan w:val="2"/>
            <w:tcBorders>
              <w:top w:val="nil"/>
              <w:left w:val="nil"/>
              <w:bottom w:val="single" w:sz="4" w:space="0" w:color="auto"/>
              <w:right w:val="single" w:sz="4" w:space="0" w:color="auto"/>
            </w:tcBorders>
            <w:shd w:val="clear" w:color="000000" w:fill="CCFFFF"/>
            <w:noWrap/>
            <w:vAlign w:val="bottom"/>
            <w:hideMark/>
          </w:tcPr>
          <w:p w14:paraId="59F7E5AF"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NA</w:t>
            </w:r>
          </w:p>
        </w:tc>
      </w:tr>
      <w:tr w:rsidR="00C430E9" w:rsidRPr="005B54EE" w14:paraId="175D2F80" w14:textId="77777777" w:rsidTr="0046409B">
        <w:trPr>
          <w:trHeight w:val="68"/>
          <w:jc w:val="center"/>
        </w:trPr>
        <w:tc>
          <w:tcPr>
            <w:tcW w:w="10113" w:type="dxa"/>
            <w:gridSpan w:val="10"/>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4A5E0AF4" w14:textId="2C2C5D9B" w:rsidR="00C430E9" w:rsidRPr="005B54EE" w:rsidRDefault="00C430E9" w:rsidP="00C430E9">
            <w:pPr>
              <w:jc w:val="right"/>
              <w:rPr>
                <w:rFonts w:ascii="Times New Roman" w:hAnsi="Times New Roman"/>
                <w:b/>
                <w:bCs/>
                <w:sz w:val="14"/>
                <w:szCs w:val="16"/>
              </w:rPr>
            </w:pPr>
            <w:r w:rsidRPr="005B54EE">
              <w:rPr>
                <w:rFonts w:ascii="Times New Roman" w:hAnsi="Times New Roman"/>
                <w:b/>
                <w:sz w:val="14"/>
              </w:rPr>
              <w:t xml:space="preserve">Total </w:t>
            </w:r>
            <w:r w:rsidRPr="005B54EE">
              <w:rPr>
                <w:sz w:val="14"/>
              </w:rPr>
              <w:t>CO</w:t>
            </w:r>
            <w:r w:rsidRPr="005B54EE">
              <w:rPr>
                <w:sz w:val="14"/>
                <w:vertAlign w:val="subscript"/>
              </w:rPr>
              <w:t>2</w:t>
            </w:r>
            <w:r w:rsidRPr="005B54EE">
              <w:rPr>
                <w:rFonts w:ascii="Times New Roman" w:hAnsi="Times New Roman"/>
                <w:b/>
                <w:sz w:val="14"/>
              </w:rPr>
              <w:t xml:space="preserve"> equivalent emissions, including indirect </w:t>
            </w:r>
            <w:r w:rsidRPr="005B54EE">
              <w:rPr>
                <w:sz w:val="14"/>
              </w:rPr>
              <w:t>CO</w:t>
            </w:r>
            <w:r w:rsidRPr="005B54EE">
              <w:rPr>
                <w:sz w:val="14"/>
                <w:vertAlign w:val="subscript"/>
              </w:rPr>
              <w:t>2</w:t>
            </w:r>
            <w:r w:rsidRPr="005B54EE">
              <w:rPr>
                <w:rFonts w:ascii="Times New Roman" w:hAnsi="Times New Roman"/>
                <w:b/>
                <w:sz w:val="14"/>
              </w:rPr>
              <w:t>,  with land use, land-use change and forestry</w:t>
            </w:r>
          </w:p>
        </w:tc>
        <w:tc>
          <w:tcPr>
            <w:tcW w:w="980" w:type="dxa"/>
            <w:gridSpan w:val="2"/>
            <w:tcBorders>
              <w:top w:val="nil"/>
              <w:left w:val="nil"/>
              <w:bottom w:val="single" w:sz="4" w:space="0" w:color="auto"/>
              <w:right w:val="single" w:sz="4" w:space="0" w:color="auto"/>
            </w:tcBorders>
            <w:shd w:val="clear" w:color="000000" w:fill="CCFFFF"/>
            <w:noWrap/>
            <w:vAlign w:val="bottom"/>
            <w:hideMark/>
          </w:tcPr>
          <w:p w14:paraId="14D70165" w14:textId="77777777" w:rsidR="00C430E9" w:rsidRPr="005B54EE" w:rsidRDefault="00C430E9" w:rsidP="00C430E9">
            <w:pPr>
              <w:jc w:val="right"/>
              <w:rPr>
                <w:rFonts w:ascii="Times New Roman" w:hAnsi="Times New Roman"/>
                <w:sz w:val="14"/>
                <w:szCs w:val="16"/>
              </w:rPr>
            </w:pPr>
            <w:r w:rsidRPr="005B54EE">
              <w:rPr>
                <w:rFonts w:ascii="Times New Roman" w:hAnsi="Times New Roman"/>
                <w:sz w:val="14"/>
              </w:rPr>
              <w:t>NA</w:t>
            </w:r>
          </w:p>
        </w:tc>
      </w:tr>
      <w:tr w:rsidR="00C430E9" w:rsidRPr="005B54EE" w14:paraId="4D6CD457" w14:textId="77777777" w:rsidTr="0046409B">
        <w:trPr>
          <w:trHeight w:val="68"/>
          <w:jc w:val="center"/>
        </w:trPr>
        <w:tc>
          <w:tcPr>
            <w:tcW w:w="11108" w:type="dxa"/>
            <w:gridSpan w:val="12"/>
            <w:tcBorders>
              <w:top w:val="nil"/>
              <w:left w:val="nil"/>
              <w:bottom w:val="nil"/>
              <w:right w:val="nil"/>
            </w:tcBorders>
            <w:shd w:val="clear" w:color="000000" w:fill="FFFFFF"/>
            <w:hideMark/>
          </w:tcPr>
          <w:p w14:paraId="7D51FD3C" w14:textId="253C25A0" w:rsidR="00C430E9" w:rsidRPr="005B54EE" w:rsidRDefault="00C430E9" w:rsidP="00C430E9">
            <w:pPr>
              <w:jc w:val="left"/>
              <w:rPr>
                <w:rFonts w:ascii="Times New Roman" w:hAnsi="Times New Roman"/>
                <w:sz w:val="14"/>
                <w:szCs w:val="16"/>
              </w:rPr>
            </w:pPr>
            <w:r w:rsidRPr="005B54EE">
              <w:rPr>
                <w:rFonts w:ascii="Times New Roman" w:hAnsi="Times New Roman"/>
                <w:sz w:val="14"/>
                <w:vertAlign w:val="superscript"/>
              </w:rPr>
              <w:t xml:space="preserve">(1)     </w:t>
            </w:r>
            <w:r w:rsidRPr="005B54EE">
              <w:rPr>
                <w:rFonts w:ascii="Times New Roman" w:hAnsi="Times New Roman"/>
                <w:sz w:val="14"/>
              </w:rPr>
              <w:t>For carbon dioxide (</w:t>
            </w:r>
            <w:r w:rsidRPr="005B54EE">
              <w:rPr>
                <w:sz w:val="14"/>
              </w:rPr>
              <w:t>CO</w:t>
            </w:r>
            <w:r w:rsidRPr="005B54EE">
              <w:rPr>
                <w:sz w:val="14"/>
                <w:vertAlign w:val="subscript"/>
              </w:rPr>
              <w:t>2</w:t>
            </w:r>
            <w:r w:rsidRPr="005B54EE">
              <w:rPr>
                <w:rFonts w:ascii="Times New Roman" w:hAnsi="Times New Roman"/>
                <w:sz w:val="14"/>
              </w:rPr>
              <w:t xml:space="preserve">) from land use, land-use change and forestry the net emissions/removals are to be reported.  For the purposes of reporting, the signs for removals are always negative (-) and for emissions positive (+). </w:t>
            </w:r>
          </w:p>
        </w:tc>
      </w:tr>
      <w:tr w:rsidR="00C430E9" w:rsidRPr="005B54EE" w14:paraId="0FD1905E" w14:textId="77777777" w:rsidTr="00D8302C">
        <w:trPr>
          <w:gridAfter w:val="1"/>
          <w:wAfter w:w="152" w:type="dxa"/>
          <w:trHeight w:val="68"/>
          <w:jc w:val="center"/>
        </w:trPr>
        <w:tc>
          <w:tcPr>
            <w:tcW w:w="3397" w:type="dxa"/>
            <w:tcBorders>
              <w:top w:val="nil"/>
              <w:left w:val="nil"/>
              <w:bottom w:val="nil"/>
              <w:right w:val="nil"/>
            </w:tcBorders>
            <w:shd w:val="clear" w:color="000000" w:fill="FFFFFF"/>
            <w:noWrap/>
            <w:hideMark/>
          </w:tcPr>
          <w:p w14:paraId="631AFD06"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vertAlign w:val="superscript"/>
              </w:rPr>
              <w:t xml:space="preserve">(2)     </w:t>
            </w:r>
            <w:r w:rsidRPr="005B54EE">
              <w:rPr>
                <w:rFonts w:ascii="Times New Roman" w:hAnsi="Times New Roman"/>
                <w:sz w:val="14"/>
              </w:rPr>
              <w:t>See footnote 7 to table Summary 1.A.</w:t>
            </w:r>
          </w:p>
        </w:tc>
        <w:tc>
          <w:tcPr>
            <w:tcW w:w="914" w:type="dxa"/>
            <w:tcBorders>
              <w:top w:val="nil"/>
              <w:left w:val="nil"/>
              <w:bottom w:val="nil"/>
              <w:right w:val="nil"/>
            </w:tcBorders>
            <w:shd w:val="clear" w:color="000000" w:fill="FFFFFF"/>
            <w:noWrap/>
            <w:hideMark/>
          </w:tcPr>
          <w:p w14:paraId="1D69ACD8"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nil"/>
              <w:right w:val="nil"/>
            </w:tcBorders>
            <w:shd w:val="clear" w:color="000000" w:fill="FFFFFF"/>
            <w:noWrap/>
            <w:hideMark/>
          </w:tcPr>
          <w:p w14:paraId="7A188FE4"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nil"/>
              <w:right w:val="nil"/>
            </w:tcBorders>
            <w:shd w:val="clear" w:color="000000" w:fill="FFFFFF"/>
            <w:noWrap/>
            <w:hideMark/>
          </w:tcPr>
          <w:p w14:paraId="1B550B3A"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820" w:type="dxa"/>
            <w:tcBorders>
              <w:top w:val="nil"/>
              <w:left w:val="nil"/>
              <w:bottom w:val="nil"/>
              <w:right w:val="nil"/>
            </w:tcBorders>
            <w:shd w:val="clear" w:color="000000" w:fill="FFFFFF"/>
            <w:noWrap/>
            <w:hideMark/>
          </w:tcPr>
          <w:p w14:paraId="289C6B0A"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nil"/>
              <w:right w:val="nil"/>
            </w:tcBorders>
            <w:shd w:val="clear" w:color="000000" w:fill="FFFFFF"/>
            <w:noWrap/>
            <w:hideMark/>
          </w:tcPr>
          <w:p w14:paraId="13C3369A"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723" w:type="dxa"/>
            <w:tcBorders>
              <w:top w:val="nil"/>
              <w:left w:val="nil"/>
              <w:bottom w:val="nil"/>
              <w:right w:val="nil"/>
            </w:tcBorders>
            <w:shd w:val="clear" w:color="000000" w:fill="FFFFFF"/>
            <w:noWrap/>
            <w:hideMark/>
          </w:tcPr>
          <w:p w14:paraId="43126EDD"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1276" w:type="dxa"/>
            <w:tcBorders>
              <w:top w:val="nil"/>
              <w:left w:val="nil"/>
              <w:bottom w:val="nil"/>
              <w:right w:val="nil"/>
            </w:tcBorders>
            <w:shd w:val="clear" w:color="000000" w:fill="FFFFFF"/>
            <w:noWrap/>
            <w:hideMark/>
          </w:tcPr>
          <w:p w14:paraId="3533E19D"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487" w:type="dxa"/>
            <w:tcBorders>
              <w:top w:val="nil"/>
              <w:left w:val="nil"/>
              <w:bottom w:val="nil"/>
              <w:right w:val="nil"/>
            </w:tcBorders>
            <w:shd w:val="clear" w:color="000000" w:fill="FFFFFF"/>
            <w:noWrap/>
            <w:hideMark/>
          </w:tcPr>
          <w:p w14:paraId="226308E5"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c>
          <w:tcPr>
            <w:tcW w:w="976" w:type="dxa"/>
            <w:gridSpan w:val="2"/>
            <w:tcBorders>
              <w:top w:val="nil"/>
              <w:left w:val="nil"/>
              <w:bottom w:val="nil"/>
              <w:right w:val="nil"/>
            </w:tcBorders>
            <w:shd w:val="clear" w:color="000000" w:fill="FFFFFF"/>
            <w:noWrap/>
            <w:hideMark/>
          </w:tcPr>
          <w:p w14:paraId="4C591042" w14:textId="77777777" w:rsidR="00C430E9" w:rsidRPr="005B54EE" w:rsidRDefault="00C430E9" w:rsidP="00C430E9">
            <w:pPr>
              <w:jc w:val="left"/>
              <w:rPr>
                <w:rFonts w:ascii="Times New Roman" w:hAnsi="Times New Roman"/>
                <w:sz w:val="14"/>
                <w:szCs w:val="16"/>
              </w:rPr>
            </w:pPr>
            <w:r w:rsidRPr="005B54EE">
              <w:rPr>
                <w:rFonts w:ascii="Times New Roman" w:hAnsi="Times New Roman"/>
                <w:sz w:val="14"/>
              </w:rPr>
              <w:t> </w:t>
            </w:r>
          </w:p>
        </w:tc>
      </w:tr>
      <w:tr w:rsidR="00C430E9" w:rsidRPr="005B54EE" w14:paraId="00594342" w14:textId="77777777" w:rsidTr="0046409B">
        <w:trPr>
          <w:trHeight w:val="68"/>
          <w:jc w:val="center"/>
        </w:trPr>
        <w:tc>
          <w:tcPr>
            <w:tcW w:w="11108" w:type="dxa"/>
            <w:gridSpan w:val="12"/>
            <w:tcBorders>
              <w:top w:val="nil"/>
              <w:left w:val="nil"/>
              <w:bottom w:val="nil"/>
              <w:right w:val="nil"/>
            </w:tcBorders>
            <w:shd w:val="clear" w:color="000000" w:fill="FFFFFF"/>
            <w:hideMark/>
          </w:tcPr>
          <w:p w14:paraId="759C1833" w14:textId="7E737339" w:rsidR="00C430E9" w:rsidRPr="005B54EE" w:rsidRDefault="00C430E9" w:rsidP="00C430E9">
            <w:pPr>
              <w:jc w:val="left"/>
              <w:rPr>
                <w:rFonts w:ascii="Times New Roman" w:hAnsi="Times New Roman"/>
                <w:sz w:val="14"/>
                <w:szCs w:val="16"/>
              </w:rPr>
            </w:pPr>
            <w:r w:rsidRPr="005B54EE">
              <w:rPr>
                <w:rFonts w:ascii="Times New Roman" w:hAnsi="Times New Roman"/>
                <w:sz w:val="14"/>
                <w:vertAlign w:val="superscript"/>
              </w:rPr>
              <w:t xml:space="preserve">(3)    </w:t>
            </w:r>
            <w:r w:rsidRPr="005B54EE">
              <w:rPr>
                <w:rFonts w:ascii="Times New Roman" w:hAnsi="Times New Roman"/>
                <w:sz w:val="14"/>
              </w:rPr>
              <w:t xml:space="preserve">In accordance with the UNFCCC Annex I inventory reporting guidelines, for Parties that decide to report indirect </w:t>
            </w:r>
            <w:r w:rsidRPr="005B54EE">
              <w:rPr>
                <w:sz w:val="14"/>
              </w:rPr>
              <w:t>CO</w:t>
            </w:r>
            <w:r w:rsidRPr="005B54EE">
              <w:rPr>
                <w:sz w:val="14"/>
                <w:vertAlign w:val="subscript"/>
              </w:rPr>
              <w:t>2</w:t>
            </w:r>
            <w:r w:rsidRPr="005B54EE">
              <w:rPr>
                <w:rFonts w:ascii="Times New Roman" w:hAnsi="Times New Roman"/>
                <w:sz w:val="14"/>
                <w:vertAlign w:val="subscript"/>
              </w:rPr>
              <w:t>,</w:t>
            </w:r>
            <w:r w:rsidRPr="005B54EE">
              <w:rPr>
                <w:rFonts w:ascii="Times New Roman" w:hAnsi="Times New Roman"/>
                <w:sz w:val="14"/>
              </w:rPr>
              <w:t xml:space="preserve"> the national totals shall be provided with and  without indirect </w:t>
            </w:r>
            <w:r w:rsidRPr="005B54EE">
              <w:rPr>
                <w:sz w:val="14"/>
              </w:rPr>
              <w:t>CO</w:t>
            </w:r>
            <w:r w:rsidRPr="005B54EE">
              <w:rPr>
                <w:sz w:val="14"/>
                <w:vertAlign w:val="subscript"/>
              </w:rPr>
              <w:t>2</w:t>
            </w:r>
            <w:r w:rsidRPr="005B54EE">
              <w:rPr>
                <w:rFonts w:ascii="Times New Roman" w:hAnsi="Times New Roman"/>
                <w:sz w:val="14"/>
              </w:rPr>
              <w:t>.</w:t>
            </w:r>
          </w:p>
        </w:tc>
      </w:tr>
    </w:tbl>
    <w:p w14:paraId="6C27DC1B" w14:textId="2939B173" w:rsidR="0046409B" w:rsidRPr="005B54EE" w:rsidRDefault="00C430E9" w:rsidP="00C430E9">
      <w:pPr>
        <w:pStyle w:val="Caption"/>
      </w:pPr>
      <w:bookmarkStart w:id="260" w:name="_Toc124153747"/>
      <w:r w:rsidRPr="005B54EE">
        <w:t xml:space="preserve">Table </w:t>
      </w:r>
      <w:r w:rsidR="00C73940">
        <w:fldChar w:fldCharType="begin"/>
      </w:r>
      <w:r w:rsidR="00C73940">
        <w:instrText xml:space="preserve"> SEQ Tableau \* ARABIC </w:instrText>
      </w:r>
      <w:r w:rsidR="00C73940">
        <w:fldChar w:fldCharType="separate"/>
      </w:r>
      <w:r w:rsidR="005B1C45">
        <w:rPr>
          <w:noProof/>
        </w:rPr>
        <w:t>33</w:t>
      </w:r>
      <w:r w:rsidR="00C73940">
        <w:rPr>
          <w:noProof/>
        </w:rPr>
        <w:fldChar w:fldCharType="end"/>
      </w:r>
      <w:r w:rsidRPr="005B54EE">
        <w:t>: Emissions by sector in 2020 for the Convention scope (Table Summary 2)</w:t>
      </w:r>
      <w:bookmarkEnd w:id="260"/>
    </w:p>
    <w:p w14:paraId="7AA36DA9" w14:textId="54897C1D" w:rsidR="007C589E" w:rsidRPr="005B54EE" w:rsidRDefault="00C430E9" w:rsidP="00C430E9">
      <w:pPr>
        <w:pStyle w:val="Caption"/>
      </w:pPr>
      <w:r w:rsidRPr="005B54EE">
        <w:t>Source: Citepa/MTE inventory, UNFCCC submission April 2022, Convention scope</w:t>
      </w:r>
    </w:p>
    <w:p w14:paraId="396B39BB" w14:textId="77777777" w:rsidR="007C589E" w:rsidRPr="005B54EE" w:rsidRDefault="007C589E">
      <w:pPr>
        <w:spacing w:line="240" w:lineRule="atLeast"/>
        <w:jc w:val="left"/>
        <w:rPr>
          <w:i/>
          <w:iCs/>
          <w:color w:val="1F497D" w:themeColor="text2"/>
          <w:sz w:val="18"/>
          <w:szCs w:val="18"/>
        </w:rPr>
      </w:pPr>
      <w:r w:rsidRPr="005B54EE">
        <w:br w:type="page"/>
      </w:r>
    </w:p>
    <w:p w14:paraId="6296F6DE" w14:textId="77777777" w:rsidR="00C430E9" w:rsidRPr="005B54EE" w:rsidRDefault="00C430E9" w:rsidP="00C430E9">
      <w:pPr>
        <w:pStyle w:val="Caption"/>
      </w:pPr>
    </w:p>
    <w:tbl>
      <w:tblPr>
        <w:tblW w:w="11049" w:type="dxa"/>
        <w:jc w:val="center"/>
        <w:tblCellMar>
          <w:left w:w="70" w:type="dxa"/>
          <w:right w:w="70" w:type="dxa"/>
        </w:tblCellMar>
        <w:tblLook w:val="04A0" w:firstRow="1" w:lastRow="0" w:firstColumn="1" w:lastColumn="0" w:noHBand="0" w:noVBand="1"/>
      </w:tblPr>
      <w:tblGrid>
        <w:gridCol w:w="3397"/>
        <w:gridCol w:w="914"/>
        <w:gridCol w:w="820"/>
        <w:gridCol w:w="820"/>
        <w:gridCol w:w="820"/>
        <w:gridCol w:w="723"/>
        <w:gridCol w:w="723"/>
        <w:gridCol w:w="1276"/>
        <w:gridCol w:w="580"/>
        <w:gridCol w:w="976"/>
      </w:tblGrid>
      <w:tr w:rsidR="00D8302C" w:rsidRPr="005B54EE" w14:paraId="4D984F5A" w14:textId="77777777" w:rsidTr="00D8302C">
        <w:trPr>
          <w:trHeight w:val="429"/>
          <w:jc w:val="center"/>
        </w:trPr>
        <w:tc>
          <w:tcPr>
            <w:tcW w:w="3397" w:type="dxa"/>
            <w:tcBorders>
              <w:top w:val="single" w:sz="4" w:space="0" w:color="auto"/>
              <w:left w:val="single" w:sz="4" w:space="0" w:color="auto"/>
              <w:bottom w:val="nil"/>
              <w:right w:val="single" w:sz="4" w:space="0" w:color="auto"/>
            </w:tcBorders>
            <w:shd w:val="clear" w:color="000000" w:fill="CCFFFF"/>
            <w:noWrap/>
            <w:vAlign w:val="center"/>
            <w:hideMark/>
          </w:tcPr>
          <w:p w14:paraId="12419F33" w14:textId="77777777" w:rsidR="00D8302C" w:rsidRPr="005B54EE" w:rsidRDefault="00D8302C" w:rsidP="00891B49">
            <w:pPr>
              <w:jc w:val="left"/>
              <w:rPr>
                <w:rFonts w:ascii="Times New Roman" w:hAnsi="Times New Roman"/>
                <w:b/>
                <w:bCs/>
                <w:sz w:val="14"/>
                <w:szCs w:val="18"/>
              </w:rPr>
            </w:pPr>
            <w:r w:rsidRPr="005B54EE">
              <w:rPr>
                <w:rFonts w:ascii="Times New Roman" w:hAnsi="Times New Roman"/>
                <w:b/>
                <w:sz w:val="14"/>
              </w:rPr>
              <w:t>GREENHOUSE GAS SOURCE AND SINK CATEGORIES</w:t>
            </w:r>
          </w:p>
        </w:tc>
        <w:tc>
          <w:tcPr>
            <w:tcW w:w="914"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7A8526D7" w14:textId="74BAEF86" w:rsidR="00D8302C" w:rsidRPr="005B54EE" w:rsidRDefault="00811B0F" w:rsidP="00891B49">
            <w:pPr>
              <w:jc w:val="center"/>
              <w:rPr>
                <w:rFonts w:ascii="Times New Roman" w:hAnsi="Times New Roman"/>
                <w:b/>
                <w:bCs/>
                <w:sz w:val="14"/>
                <w:szCs w:val="18"/>
              </w:rPr>
            </w:pPr>
            <w:r w:rsidRPr="005B54EE">
              <w:t>CO</w:t>
            </w:r>
            <w:r w:rsidRPr="005B54EE">
              <w:rPr>
                <w:vertAlign w:val="subscript"/>
              </w:rPr>
              <w:t>2</w:t>
            </w:r>
            <w:r w:rsidRPr="005B54EE">
              <w:rPr>
                <w:rFonts w:ascii="Times New Roman" w:hAnsi="Times New Roman"/>
                <w:b/>
                <w:sz w:val="14"/>
                <w:vertAlign w:val="superscript"/>
              </w:rPr>
              <w:t>(1)</w:t>
            </w:r>
          </w:p>
        </w:tc>
        <w:tc>
          <w:tcPr>
            <w:tcW w:w="820" w:type="dxa"/>
            <w:tcBorders>
              <w:top w:val="single" w:sz="4" w:space="0" w:color="auto"/>
              <w:left w:val="nil"/>
              <w:bottom w:val="single" w:sz="4" w:space="0" w:color="auto"/>
              <w:right w:val="single" w:sz="4" w:space="0" w:color="auto"/>
            </w:tcBorders>
            <w:shd w:val="clear" w:color="000000" w:fill="CCFFFF"/>
            <w:noWrap/>
            <w:vAlign w:val="center"/>
            <w:hideMark/>
          </w:tcPr>
          <w:p w14:paraId="612FF29A" w14:textId="2024C3DB" w:rsidR="00D8302C" w:rsidRPr="005B54EE" w:rsidRDefault="00891B49" w:rsidP="00891B49">
            <w:pPr>
              <w:jc w:val="center"/>
              <w:rPr>
                <w:rFonts w:ascii="Times New Roman" w:hAnsi="Times New Roman"/>
                <w:b/>
                <w:bCs/>
                <w:sz w:val="14"/>
                <w:szCs w:val="18"/>
              </w:rPr>
            </w:pPr>
            <w:r w:rsidRPr="005B54EE">
              <w:t>CH</w:t>
            </w:r>
            <w:r w:rsidRPr="005B54EE">
              <w:rPr>
                <w:vertAlign w:val="subscript"/>
              </w:rPr>
              <w:t>4</w:t>
            </w:r>
          </w:p>
        </w:tc>
        <w:tc>
          <w:tcPr>
            <w:tcW w:w="820" w:type="dxa"/>
            <w:tcBorders>
              <w:top w:val="single" w:sz="4" w:space="0" w:color="auto"/>
              <w:left w:val="nil"/>
              <w:bottom w:val="single" w:sz="4" w:space="0" w:color="auto"/>
              <w:right w:val="single" w:sz="4" w:space="0" w:color="auto"/>
            </w:tcBorders>
            <w:shd w:val="clear" w:color="000000" w:fill="CCFFFF"/>
            <w:noWrap/>
            <w:vAlign w:val="center"/>
            <w:hideMark/>
          </w:tcPr>
          <w:p w14:paraId="077AD863" w14:textId="3D2FAD13" w:rsidR="00D8302C" w:rsidRPr="005B54EE" w:rsidRDefault="00891B49" w:rsidP="00891B49">
            <w:pPr>
              <w:jc w:val="center"/>
              <w:rPr>
                <w:rFonts w:ascii="Times New Roman" w:hAnsi="Times New Roman"/>
                <w:b/>
                <w:bCs/>
                <w:sz w:val="14"/>
                <w:szCs w:val="18"/>
              </w:rPr>
            </w:pPr>
            <w:r w:rsidRPr="005B54EE">
              <w:t>N</w:t>
            </w:r>
            <w:r w:rsidRPr="005B54EE">
              <w:rPr>
                <w:vertAlign w:val="subscript"/>
              </w:rPr>
              <w:t>2</w:t>
            </w:r>
            <w:r w:rsidRPr="005B54EE">
              <w:t>O</w:t>
            </w:r>
          </w:p>
        </w:tc>
        <w:tc>
          <w:tcPr>
            <w:tcW w:w="820" w:type="dxa"/>
            <w:tcBorders>
              <w:top w:val="single" w:sz="4" w:space="0" w:color="auto"/>
              <w:left w:val="nil"/>
              <w:bottom w:val="single" w:sz="4" w:space="0" w:color="auto"/>
              <w:right w:val="single" w:sz="4" w:space="0" w:color="auto"/>
            </w:tcBorders>
            <w:shd w:val="clear" w:color="000000" w:fill="CCFFFF"/>
            <w:noWrap/>
            <w:vAlign w:val="center"/>
            <w:hideMark/>
          </w:tcPr>
          <w:p w14:paraId="0ECC0AA9" w14:textId="77777777" w:rsidR="00D8302C" w:rsidRPr="005B54EE" w:rsidRDefault="00D8302C" w:rsidP="00891B49">
            <w:pPr>
              <w:jc w:val="center"/>
              <w:rPr>
                <w:rFonts w:ascii="Times New Roman" w:hAnsi="Times New Roman"/>
                <w:b/>
                <w:bCs/>
                <w:sz w:val="14"/>
                <w:szCs w:val="18"/>
              </w:rPr>
            </w:pPr>
            <w:r w:rsidRPr="005B54EE">
              <w:rPr>
                <w:rFonts w:ascii="Times New Roman" w:hAnsi="Times New Roman"/>
                <w:b/>
                <w:sz w:val="14"/>
              </w:rPr>
              <w:t xml:space="preserve">HFCs </w:t>
            </w:r>
          </w:p>
        </w:tc>
        <w:tc>
          <w:tcPr>
            <w:tcW w:w="723" w:type="dxa"/>
            <w:tcBorders>
              <w:top w:val="single" w:sz="4" w:space="0" w:color="auto"/>
              <w:left w:val="nil"/>
              <w:bottom w:val="single" w:sz="4" w:space="0" w:color="auto"/>
              <w:right w:val="single" w:sz="4" w:space="0" w:color="auto"/>
            </w:tcBorders>
            <w:shd w:val="clear" w:color="000000" w:fill="CCFFFF"/>
            <w:noWrap/>
            <w:vAlign w:val="center"/>
            <w:hideMark/>
          </w:tcPr>
          <w:p w14:paraId="44C1ADD1" w14:textId="77777777" w:rsidR="00D8302C" w:rsidRPr="005B54EE" w:rsidRDefault="00D8302C" w:rsidP="00891B49">
            <w:pPr>
              <w:jc w:val="center"/>
              <w:rPr>
                <w:rFonts w:ascii="Times New Roman" w:hAnsi="Times New Roman"/>
                <w:b/>
                <w:bCs/>
                <w:sz w:val="14"/>
                <w:szCs w:val="18"/>
              </w:rPr>
            </w:pPr>
            <w:r w:rsidRPr="005B54EE">
              <w:rPr>
                <w:rFonts w:ascii="Times New Roman" w:hAnsi="Times New Roman"/>
                <w:b/>
                <w:sz w:val="14"/>
              </w:rPr>
              <w:t>PFCs</w:t>
            </w:r>
          </w:p>
        </w:tc>
        <w:tc>
          <w:tcPr>
            <w:tcW w:w="723" w:type="dxa"/>
            <w:tcBorders>
              <w:top w:val="single" w:sz="4" w:space="0" w:color="auto"/>
              <w:left w:val="nil"/>
              <w:bottom w:val="single" w:sz="4" w:space="0" w:color="auto"/>
              <w:right w:val="single" w:sz="4" w:space="0" w:color="auto"/>
            </w:tcBorders>
            <w:shd w:val="clear" w:color="000000" w:fill="CCFFFF"/>
            <w:noWrap/>
            <w:vAlign w:val="center"/>
            <w:hideMark/>
          </w:tcPr>
          <w:p w14:paraId="5535FC26" w14:textId="74A35181" w:rsidR="00D8302C" w:rsidRPr="005B54EE" w:rsidRDefault="002F2FFD" w:rsidP="00891B49">
            <w:pPr>
              <w:jc w:val="center"/>
              <w:rPr>
                <w:rFonts w:ascii="Times New Roman" w:hAnsi="Times New Roman"/>
                <w:b/>
                <w:bCs/>
                <w:sz w:val="14"/>
                <w:szCs w:val="18"/>
              </w:rPr>
            </w:pPr>
            <w:r w:rsidRPr="005B54EE">
              <w:t>SF</w:t>
            </w:r>
            <w:r w:rsidRPr="005B54EE">
              <w:rPr>
                <w:vertAlign w:val="subscript"/>
              </w:rPr>
              <w:t>6</w:t>
            </w:r>
          </w:p>
        </w:tc>
        <w:tc>
          <w:tcPr>
            <w:tcW w:w="1276" w:type="dxa"/>
            <w:tcBorders>
              <w:top w:val="single" w:sz="4" w:space="0" w:color="auto"/>
              <w:left w:val="nil"/>
              <w:bottom w:val="single" w:sz="4" w:space="0" w:color="auto"/>
              <w:right w:val="single" w:sz="4" w:space="0" w:color="auto"/>
            </w:tcBorders>
            <w:shd w:val="clear" w:color="000000" w:fill="CCFFFF"/>
            <w:vAlign w:val="center"/>
            <w:hideMark/>
          </w:tcPr>
          <w:p w14:paraId="131713C0" w14:textId="77777777" w:rsidR="00D8302C" w:rsidRPr="005B54EE" w:rsidRDefault="00D8302C" w:rsidP="00891B49">
            <w:pPr>
              <w:jc w:val="center"/>
              <w:rPr>
                <w:rFonts w:ascii="Times New Roman" w:hAnsi="Times New Roman"/>
                <w:b/>
                <w:bCs/>
                <w:sz w:val="14"/>
                <w:szCs w:val="18"/>
              </w:rPr>
            </w:pPr>
            <w:r w:rsidRPr="005B54EE">
              <w:rPr>
                <w:rFonts w:ascii="Times New Roman" w:hAnsi="Times New Roman"/>
                <w:b/>
                <w:sz w:val="14"/>
              </w:rPr>
              <w:t>Unspecified mix of HFCs and PFCs</w:t>
            </w:r>
          </w:p>
        </w:tc>
        <w:tc>
          <w:tcPr>
            <w:tcW w:w="580" w:type="dxa"/>
            <w:tcBorders>
              <w:top w:val="single" w:sz="4" w:space="0" w:color="auto"/>
              <w:left w:val="nil"/>
              <w:bottom w:val="single" w:sz="4" w:space="0" w:color="auto"/>
              <w:right w:val="single" w:sz="4" w:space="0" w:color="auto"/>
            </w:tcBorders>
            <w:shd w:val="clear" w:color="000000" w:fill="CCFFFF"/>
            <w:noWrap/>
            <w:vAlign w:val="center"/>
            <w:hideMark/>
          </w:tcPr>
          <w:p w14:paraId="775D6D56" w14:textId="0A1B2CC2" w:rsidR="00D8302C" w:rsidRPr="005B54EE" w:rsidRDefault="002F2FFD" w:rsidP="00891B49">
            <w:pPr>
              <w:jc w:val="center"/>
              <w:rPr>
                <w:rFonts w:ascii="Times New Roman" w:hAnsi="Times New Roman"/>
                <w:b/>
                <w:bCs/>
                <w:sz w:val="14"/>
                <w:szCs w:val="18"/>
              </w:rPr>
            </w:pPr>
            <w:r w:rsidRPr="005B54EE">
              <w:t>NF</w:t>
            </w:r>
            <w:r w:rsidRPr="005B54EE">
              <w:rPr>
                <w:vertAlign w:val="subscript"/>
              </w:rPr>
              <w:t>3</w:t>
            </w:r>
          </w:p>
        </w:tc>
        <w:tc>
          <w:tcPr>
            <w:tcW w:w="976" w:type="dxa"/>
            <w:tcBorders>
              <w:top w:val="single" w:sz="4" w:space="0" w:color="auto"/>
              <w:left w:val="nil"/>
              <w:bottom w:val="single" w:sz="4" w:space="0" w:color="auto"/>
              <w:right w:val="single" w:sz="4" w:space="0" w:color="auto"/>
            </w:tcBorders>
            <w:shd w:val="clear" w:color="000000" w:fill="CCFFFF"/>
            <w:noWrap/>
            <w:vAlign w:val="center"/>
            <w:hideMark/>
          </w:tcPr>
          <w:p w14:paraId="56386C1C" w14:textId="77777777" w:rsidR="00D8302C" w:rsidRPr="005B54EE" w:rsidRDefault="00D8302C" w:rsidP="00891B49">
            <w:pPr>
              <w:jc w:val="center"/>
              <w:rPr>
                <w:rFonts w:ascii="Times New Roman" w:hAnsi="Times New Roman"/>
                <w:b/>
                <w:bCs/>
                <w:sz w:val="14"/>
                <w:szCs w:val="18"/>
              </w:rPr>
            </w:pPr>
            <w:r w:rsidRPr="005B54EE">
              <w:rPr>
                <w:rFonts w:ascii="Times New Roman" w:hAnsi="Times New Roman"/>
                <w:b/>
                <w:sz w:val="14"/>
              </w:rPr>
              <w:t xml:space="preserve">Total </w:t>
            </w:r>
          </w:p>
        </w:tc>
      </w:tr>
      <w:tr w:rsidR="00D8302C" w:rsidRPr="005B54EE" w14:paraId="336D70E6" w14:textId="77777777" w:rsidTr="00D8302C">
        <w:trPr>
          <w:trHeight w:val="68"/>
          <w:jc w:val="center"/>
        </w:trPr>
        <w:tc>
          <w:tcPr>
            <w:tcW w:w="3397" w:type="dxa"/>
            <w:tcBorders>
              <w:top w:val="nil"/>
              <w:left w:val="single" w:sz="4" w:space="0" w:color="auto"/>
              <w:bottom w:val="nil"/>
              <w:right w:val="single" w:sz="4" w:space="0" w:color="auto"/>
            </w:tcBorders>
            <w:shd w:val="clear" w:color="000000" w:fill="CCFFFF"/>
            <w:noWrap/>
            <w:vAlign w:val="center"/>
            <w:hideMark/>
          </w:tcPr>
          <w:p w14:paraId="67292016" w14:textId="56869BC0" w:rsidR="00D8302C" w:rsidRPr="005B54EE" w:rsidRDefault="00D8302C" w:rsidP="00D8302C">
            <w:pPr>
              <w:jc w:val="left"/>
              <w:rPr>
                <w:rFonts w:ascii="Times New Roman" w:hAnsi="Times New Roman"/>
                <w:b/>
                <w:bCs/>
                <w:sz w:val="14"/>
                <w:szCs w:val="18"/>
              </w:rPr>
            </w:pPr>
            <w:r w:rsidRPr="005B54EE">
              <w:rPr>
                <w:rFonts w:ascii="Times New Roman" w:hAnsi="Times New Roman"/>
                <w:b/>
                <w:sz w:val="14"/>
              </w:rPr>
              <w:t>Total (net emissions)</w:t>
            </w:r>
            <w:r w:rsidRPr="005B54EE">
              <w:rPr>
                <w:rFonts w:ascii="Times New Roman" w:hAnsi="Times New Roman"/>
                <w:b/>
                <w:sz w:val="14"/>
                <w:vertAlign w:val="superscript"/>
              </w:rPr>
              <w:t>(1)</w:t>
            </w:r>
            <w:r w:rsidRPr="005B54EE">
              <w:rPr>
                <w:rFonts w:ascii="Times New Roman" w:hAnsi="Times New Roman"/>
                <w:b/>
                <w:sz w:val="14"/>
                <w:vertAlign w:val="subscript"/>
              </w:rPr>
              <w:t xml:space="preserve"> </w:t>
            </w:r>
            <w:r w:rsidRPr="005B54EE">
              <w:rPr>
                <w:rFonts w:ascii="Times New Roman" w:hAnsi="Times New Roman"/>
                <w:b/>
                <w:sz w:val="14"/>
              </w:rPr>
              <w:t>kt</w:t>
            </w:r>
            <w:r w:rsidRPr="005B54EE">
              <w:t>CO</w:t>
            </w:r>
            <w:r w:rsidRPr="005B54EE">
              <w:rPr>
                <w:vertAlign w:val="subscript"/>
              </w:rPr>
              <w:t>2e</w:t>
            </w:r>
          </w:p>
        </w:tc>
        <w:tc>
          <w:tcPr>
            <w:tcW w:w="914"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FC0D784" w14:textId="2752091E" w:rsidR="00D8302C" w:rsidRPr="005B54EE" w:rsidRDefault="00D8302C" w:rsidP="00D8302C">
            <w:pPr>
              <w:jc w:val="right"/>
              <w:rPr>
                <w:rFonts w:ascii="Times New Roman" w:hAnsi="Times New Roman"/>
                <w:sz w:val="14"/>
                <w:szCs w:val="18"/>
              </w:rPr>
            </w:pPr>
            <w:r w:rsidRPr="005B54EE">
              <w:rPr>
                <w:sz w:val="14"/>
              </w:rPr>
              <w:t>271428,23</w:t>
            </w:r>
          </w:p>
        </w:tc>
        <w:tc>
          <w:tcPr>
            <w:tcW w:w="820" w:type="dxa"/>
            <w:tcBorders>
              <w:top w:val="single" w:sz="4" w:space="0" w:color="auto"/>
              <w:left w:val="nil"/>
              <w:bottom w:val="single" w:sz="4" w:space="0" w:color="auto"/>
              <w:right w:val="single" w:sz="4" w:space="0" w:color="auto"/>
            </w:tcBorders>
            <w:shd w:val="clear" w:color="000000" w:fill="CCFFFF"/>
            <w:noWrap/>
            <w:vAlign w:val="bottom"/>
            <w:hideMark/>
          </w:tcPr>
          <w:p w14:paraId="1418AF88" w14:textId="25EB5A02" w:rsidR="00D8302C" w:rsidRPr="005B54EE" w:rsidRDefault="00D8302C" w:rsidP="00D8302C">
            <w:pPr>
              <w:jc w:val="right"/>
              <w:rPr>
                <w:rFonts w:ascii="Times New Roman" w:hAnsi="Times New Roman"/>
                <w:sz w:val="14"/>
                <w:szCs w:val="18"/>
              </w:rPr>
            </w:pPr>
            <w:r w:rsidRPr="005B54EE">
              <w:rPr>
                <w:sz w:val="14"/>
              </w:rPr>
              <w:t>55747,40</w:t>
            </w:r>
          </w:p>
        </w:tc>
        <w:tc>
          <w:tcPr>
            <w:tcW w:w="820" w:type="dxa"/>
            <w:tcBorders>
              <w:top w:val="single" w:sz="4" w:space="0" w:color="auto"/>
              <w:left w:val="nil"/>
              <w:bottom w:val="single" w:sz="4" w:space="0" w:color="auto"/>
              <w:right w:val="single" w:sz="4" w:space="0" w:color="auto"/>
            </w:tcBorders>
            <w:shd w:val="clear" w:color="000000" w:fill="CCFFFF"/>
            <w:noWrap/>
            <w:vAlign w:val="bottom"/>
            <w:hideMark/>
          </w:tcPr>
          <w:p w14:paraId="1212C050" w14:textId="0BF1F095" w:rsidR="00D8302C" w:rsidRPr="005B54EE" w:rsidRDefault="00D8302C" w:rsidP="00D8302C">
            <w:pPr>
              <w:jc w:val="right"/>
              <w:rPr>
                <w:rFonts w:ascii="Times New Roman" w:hAnsi="Times New Roman"/>
                <w:sz w:val="14"/>
                <w:szCs w:val="18"/>
              </w:rPr>
            </w:pPr>
            <w:r w:rsidRPr="005B54EE">
              <w:rPr>
                <w:sz w:val="14"/>
              </w:rPr>
              <w:t>39147,49</w:t>
            </w:r>
          </w:p>
        </w:tc>
        <w:tc>
          <w:tcPr>
            <w:tcW w:w="820" w:type="dxa"/>
            <w:tcBorders>
              <w:top w:val="single" w:sz="4" w:space="0" w:color="auto"/>
              <w:left w:val="nil"/>
              <w:bottom w:val="single" w:sz="4" w:space="0" w:color="auto"/>
              <w:right w:val="single" w:sz="4" w:space="0" w:color="auto"/>
            </w:tcBorders>
            <w:shd w:val="clear" w:color="000000" w:fill="CCFFFF"/>
            <w:noWrap/>
            <w:vAlign w:val="bottom"/>
            <w:hideMark/>
          </w:tcPr>
          <w:p w14:paraId="7468709C" w14:textId="377A9916" w:rsidR="00D8302C" w:rsidRPr="005B54EE" w:rsidRDefault="00D8302C" w:rsidP="00D8302C">
            <w:pPr>
              <w:jc w:val="right"/>
              <w:rPr>
                <w:rFonts w:ascii="Times New Roman" w:hAnsi="Times New Roman"/>
                <w:sz w:val="14"/>
                <w:szCs w:val="18"/>
              </w:rPr>
            </w:pPr>
            <w:r w:rsidRPr="005B54EE">
              <w:rPr>
                <w:sz w:val="14"/>
              </w:rPr>
              <w:t>11735,32</w:t>
            </w:r>
          </w:p>
        </w:tc>
        <w:tc>
          <w:tcPr>
            <w:tcW w:w="723" w:type="dxa"/>
            <w:tcBorders>
              <w:top w:val="single" w:sz="4" w:space="0" w:color="auto"/>
              <w:left w:val="nil"/>
              <w:bottom w:val="single" w:sz="4" w:space="0" w:color="auto"/>
              <w:right w:val="single" w:sz="4" w:space="0" w:color="auto"/>
            </w:tcBorders>
            <w:shd w:val="clear" w:color="000000" w:fill="CCFFFF"/>
            <w:noWrap/>
            <w:vAlign w:val="bottom"/>
            <w:hideMark/>
          </w:tcPr>
          <w:p w14:paraId="65B50FAC" w14:textId="0EE78D3E" w:rsidR="00D8302C" w:rsidRPr="005B54EE" w:rsidRDefault="00D8302C" w:rsidP="00D8302C">
            <w:pPr>
              <w:jc w:val="right"/>
              <w:rPr>
                <w:rFonts w:ascii="Times New Roman" w:hAnsi="Times New Roman"/>
                <w:sz w:val="14"/>
                <w:szCs w:val="18"/>
              </w:rPr>
            </w:pPr>
            <w:r w:rsidRPr="005B54EE">
              <w:rPr>
                <w:sz w:val="14"/>
              </w:rPr>
              <w:t>543,49</w:t>
            </w:r>
          </w:p>
        </w:tc>
        <w:tc>
          <w:tcPr>
            <w:tcW w:w="723" w:type="dxa"/>
            <w:tcBorders>
              <w:top w:val="single" w:sz="4" w:space="0" w:color="auto"/>
              <w:left w:val="nil"/>
              <w:bottom w:val="single" w:sz="4" w:space="0" w:color="auto"/>
              <w:right w:val="single" w:sz="4" w:space="0" w:color="auto"/>
            </w:tcBorders>
            <w:shd w:val="clear" w:color="000000" w:fill="CCFFFF"/>
            <w:noWrap/>
            <w:vAlign w:val="bottom"/>
            <w:hideMark/>
          </w:tcPr>
          <w:p w14:paraId="6E273530" w14:textId="126DAC9A" w:rsidR="00D8302C" w:rsidRPr="005B54EE" w:rsidRDefault="00D8302C" w:rsidP="00D8302C">
            <w:pPr>
              <w:jc w:val="right"/>
              <w:rPr>
                <w:rFonts w:ascii="Times New Roman" w:hAnsi="Times New Roman"/>
                <w:sz w:val="14"/>
                <w:szCs w:val="18"/>
              </w:rPr>
            </w:pPr>
            <w:r w:rsidRPr="005B54EE">
              <w:rPr>
                <w:sz w:val="14"/>
              </w:rPr>
              <w:t>346,60</w:t>
            </w:r>
          </w:p>
        </w:tc>
        <w:tc>
          <w:tcPr>
            <w:tcW w:w="1276" w:type="dxa"/>
            <w:tcBorders>
              <w:top w:val="single" w:sz="4" w:space="0" w:color="auto"/>
              <w:left w:val="nil"/>
              <w:bottom w:val="single" w:sz="4" w:space="0" w:color="auto"/>
              <w:right w:val="single" w:sz="4" w:space="0" w:color="auto"/>
            </w:tcBorders>
            <w:shd w:val="clear" w:color="000000" w:fill="CCFFFF"/>
            <w:noWrap/>
            <w:vAlign w:val="bottom"/>
            <w:hideMark/>
          </w:tcPr>
          <w:p w14:paraId="71306E5E" w14:textId="0CBE00E4" w:rsidR="00D8302C" w:rsidRPr="005B54EE" w:rsidRDefault="00D8302C" w:rsidP="00D8302C">
            <w:pPr>
              <w:jc w:val="right"/>
              <w:rPr>
                <w:rFonts w:ascii="Times New Roman" w:hAnsi="Times New Roman"/>
                <w:sz w:val="14"/>
                <w:szCs w:val="18"/>
              </w:rPr>
            </w:pPr>
            <w:r w:rsidRPr="005B54EE">
              <w:rPr>
                <w:sz w:val="14"/>
              </w:rPr>
              <w:t>NO,NA</w:t>
            </w:r>
          </w:p>
        </w:tc>
        <w:tc>
          <w:tcPr>
            <w:tcW w:w="580" w:type="dxa"/>
            <w:tcBorders>
              <w:top w:val="single" w:sz="4" w:space="0" w:color="auto"/>
              <w:left w:val="nil"/>
              <w:bottom w:val="single" w:sz="4" w:space="0" w:color="auto"/>
              <w:right w:val="single" w:sz="4" w:space="0" w:color="auto"/>
            </w:tcBorders>
            <w:shd w:val="clear" w:color="000000" w:fill="CCFFFF"/>
            <w:noWrap/>
            <w:vAlign w:val="bottom"/>
            <w:hideMark/>
          </w:tcPr>
          <w:p w14:paraId="6A06F6C5" w14:textId="367DB0CE" w:rsidR="00D8302C" w:rsidRPr="005B54EE" w:rsidRDefault="00D8302C" w:rsidP="00D8302C">
            <w:pPr>
              <w:jc w:val="right"/>
              <w:rPr>
                <w:rFonts w:ascii="Times New Roman" w:hAnsi="Times New Roman"/>
                <w:sz w:val="14"/>
                <w:szCs w:val="18"/>
              </w:rPr>
            </w:pPr>
            <w:r w:rsidRPr="005B54EE">
              <w:rPr>
                <w:sz w:val="14"/>
              </w:rPr>
              <w:t>8,54</w:t>
            </w:r>
          </w:p>
        </w:tc>
        <w:tc>
          <w:tcPr>
            <w:tcW w:w="976" w:type="dxa"/>
            <w:tcBorders>
              <w:top w:val="single" w:sz="4" w:space="0" w:color="auto"/>
              <w:left w:val="nil"/>
              <w:bottom w:val="single" w:sz="4" w:space="0" w:color="auto"/>
              <w:right w:val="single" w:sz="4" w:space="0" w:color="auto"/>
            </w:tcBorders>
            <w:shd w:val="clear" w:color="000000" w:fill="CCFFFF"/>
            <w:noWrap/>
            <w:vAlign w:val="bottom"/>
            <w:hideMark/>
          </w:tcPr>
          <w:p w14:paraId="2835CFB1" w14:textId="56ECF513" w:rsidR="00D8302C" w:rsidRPr="005B54EE" w:rsidRDefault="00D8302C" w:rsidP="00D8302C">
            <w:pPr>
              <w:jc w:val="right"/>
              <w:rPr>
                <w:rFonts w:ascii="Times New Roman" w:hAnsi="Times New Roman"/>
                <w:sz w:val="14"/>
                <w:szCs w:val="18"/>
              </w:rPr>
            </w:pPr>
            <w:r w:rsidRPr="005B54EE">
              <w:rPr>
                <w:sz w:val="14"/>
              </w:rPr>
              <w:t>378957,08</w:t>
            </w:r>
          </w:p>
        </w:tc>
      </w:tr>
      <w:tr w:rsidR="00D8302C" w:rsidRPr="005B54EE" w14:paraId="168A1991" w14:textId="77777777" w:rsidTr="00D8302C">
        <w:trPr>
          <w:trHeight w:val="68"/>
          <w:jc w:val="center"/>
        </w:trPr>
        <w:tc>
          <w:tcPr>
            <w:tcW w:w="339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0890F8DB" w14:textId="77777777" w:rsidR="00D8302C" w:rsidRPr="005B54EE" w:rsidRDefault="00D8302C" w:rsidP="00D8302C">
            <w:pPr>
              <w:jc w:val="left"/>
              <w:rPr>
                <w:rFonts w:ascii="Times New Roman" w:hAnsi="Times New Roman"/>
                <w:b/>
                <w:bCs/>
                <w:sz w:val="14"/>
                <w:szCs w:val="18"/>
              </w:rPr>
            </w:pPr>
            <w:r w:rsidRPr="005B54EE">
              <w:rPr>
                <w:rFonts w:ascii="Times New Roman" w:hAnsi="Times New Roman"/>
                <w:b/>
                <w:sz w:val="14"/>
              </w:rPr>
              <w:t>1. Energy</w:t>
            </w:r>
          </w:p>
        </w:tc>
        <w:tc>
          <w:tcPr>
            <w:tcW w:w="914" w:type="dxa"/>
            <w:tcBorders>
              <w:top w:val="nil"/>
              <w:left w:val="nil"/>
              <w:bottom w:val="single" w:sz="4" w:space="0" w:color="auto"/>
              <w:right w:val="single" w:sz="4" w:space="0" w:color="auto"/>
            </w:tcBorders>
            <w:shd w:val="clear" w:color="000000" w:fill="CCFFFF"/>
            <w:noWrap/>
            <w:vAlign w:val="bottom"/>
            <w:hideMark/>
          </w:tcPr>
          <w:p w14:paraId="3CA7A01B" w14:textId="4401E5FC" w:rsidR="00D8302C" w:rsidRPr="005B54EE" w:rsidRDefault="00D8302C" w:rsidP="00D8302C">
            <w:pPr>
              <w:jc w:val="right"/>
              <w:rPr>
                <w:rFonts w:ascii="Times New Roman" w:hAnsi="Times New Roman"/>
                <w:sz w:val="14"/>
                <w:szCs w:val="18"/>
              </w:rPr>
            </w:pPr>
            <w:r w:rsidRPr="005B54EE">
              <w:rPr>
                <w:sz w:val="14"/>
              </w:rPr>
              <w:t>259171,93</w:t>
            </w:r>
          </w:p>
        </w:tc>
        <w:tc>
          <w:tcPr>
            <w:tcW w:w="820" w:type="dxa"/>
            <w:tcBorders>
              <w:top w:val="nil"/>
              <w:left w:val="nil"/>
              <w:bottom w:val="single" w:sz="4" w:space="0" w:color="auto"/>
              <w:right w:val="single" w:sz="4" w:space="0" w:color="auto"/>
            </w:tcBorders>
            <w:shd w:val="clear" w:color="000000" w:fill="CCFFFF"/>
            <w:noWrap/>
            <w:vAlign w:val="bottom"/>
            <w:hideMark/>
          </w:tcPr>
          <w:p w14:paraId="05B60EA5" w14:textId="248312D9" w:rsidR="00D8302C" w:rsidRPr="005B54EE" w:rsidRDefault="00D8302C" w:rsidP="00D8302C">
            <w:pPr>
              <w:jc w:val="right"/>
              <w:rPr>
                <w:rFonts w:ascii="Times New Roman" w:hAnsi="Times New Roman"/>
                <w:sz w:val="14"/>
                <w:szCs w:val="18"/>
              </w:rPr>
            </w:pPr>
            <w:r w:rsidRPr="005B54EE">
              <w:rPr>
                <w:sz w:val="14"/>
              </w:rPr>
              <w:t>2127,58</w:t>
            </w:r>
          </w:p>
        </w:tc>
        <w:tc>
          <w:tcPr>
            <w:tcW w:w="820" w:type="dxa"/>
            <w:tcBorders>
              <w:top w:val="nil"/>
              <w:left w:val="nil"/>
              <w:bottom w:val="single" w:sz="4" w:space="0" w:color="auto"/>
              <w:right w:val="single" w:sz="4" w:space="0" w:color="auto"/>
            </w:tcBorders>
            <w:shd w:val="clear" w:color="000000" w:fill="CCFFFF"/>
            <w:noWrap/>
            <w:vAlign w:val="bottom"/>
            <w:hideMark/>
          </w:tcPr>
          <w:p w14:paraId="345C7375" w14:textId="11843A48" w:rsidR="00D8302C" w:rsidRPr="005B54EE" w:rsidRDefault="00D8302C" w:rsidP="00D8302C">
            <w:pPr>
              <w:jc w:val="right"/>
              <w:rPr>
                <w:rFonts w:ascii="Times New Roman" w:hAnsi="Times New Roman"/>
                <w:sz w:val="14"/>
                <w:szCs w:val="18"/>
              </w:rPr>
            </w:pPr>
            <w:r w:rsidRPr="005B54EE">
              <w:rPr>
                <w:sz w:val="14"/>
              </w:rPr>
              <w:t>3430,11</w:t>
            </w:r>
          </w:p>
        </w:tc>
        <w:tc>
          <w:tcPr>
            <w:tcW w:w="820" w:type="dxa"/>
            <w:tcBorders>
              <w:top w:val="nil"/>
              <w:left w:val="nil"/>
              <w:bottom w:val="single" w:sz="4" w:space="0" w:color="auto"/>
              <w:right w:val="single" w:sz="4" w:space="0" w:color="auto"/>
            </w:tcBorders>
            <w:shd w:val="clear" w:color="000000" w:fill="969696"/>
            <w:noWrap/>
            <w:vAlign w:val="bottom"/>
            <w:hideMark/>
          </w:tcPr>
          <w:p w14:paraId="59C62D17" w14:textId="18D2DE01"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2BCA02D" w14:textId="2586E124"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959A980" w14:textId="0C1FE50D"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FC87475" w14:textId="0A48B8A2"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82887FF" w14:textId="7D27CE1E"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15F5ECCC" w14:textId="63B64B84" w:rsidR="00D8302C" w:rsidRPr="005B54EE" w:rsidRDefault="00D8302C" w:rsidP="00D8302C">
            <w:pPr>
              <w:jc w:val="right"/>
              <w:rPr>
                <w:rFonts w:ascii="Times New Roman" w:hAnsi="Times New Roman"/>
                <w:sz w:val="14"/>
                <w:szCs w:val="18"/>
              </w:rPr>
            </w:pPr>
            <w:r w:rsidRPr="005B54EE">
              <w:rPr>
                <w:sz w:val="14"/>
              </w:rPr>
              <w:t>264729,61</w:t>
            </w:r>
          </w:p>
        </w:tc>
      </w:tr>
      <w:tr w:rsidR="00D8302C" w:rsidRPr="005B54EE" w14:paraId="40F9DF72"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B037FC8"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A. Fuel combustion (sectoral approach)</w:t>
            </w:r>
          </w:p>
        </w:tc>
        <w:tc>
          <w:tcPr>
            <w:tcW w:w="914" w:type="dxa"/>
            <w:tcBorders>
              <w:top w:val="nil"/>
              <w:left w:val="nil"/>
              <w:bottom w:val="single" w:sz="4" w:space="0" w:color="auto"/>
              <w:right w:val="single" w:sz="4" w:space="0" w:color="auto"/>
            </w:tcBorders>
            <w:shd w:val="clear" w:color="000000" w:fill="CCFFFF"/>
            <w:noWrap/>
            <w:vAlign w:val="bottom"/>
            <w:hideMark/>
          </w:tcPr>
          <w:p w14:paraId="6049E6A8" w14:textId="262032BE" w:rsidR="00D8302C" w:rsidRPr="005B54EE" w:rsidRDefault="00D8302C" w:rsidP="00D8302C">
            <w:pPr>
              <w:jc w:val="right"/>
              <w:rPr>
                <w:rFonts w:ascii="Times New Roman" w:hAnsi="Times New Roman"/>
                <w:sz w:val="14"/>
                <w:szCs w:val="18"/>
              </w:rPr>
            </w:pPr>
            <w:r w:rsidRPr="005B54EE">
              <w:rPr>
                <w:sz w:val="14"/>
              </w:rPr>
              <w:t>256968,82</w:t>
            </w:r>
          </w:p>
        </w:tc>
        <w:tc>
          <w:tcPr>
            <w:tcW w:w="820" w:type="dxa"/>
            <w:tcBorders>
              <w:top w:val="nil"/>
              <w:left w:val="nil"/>
              <w:bottom w:val="single" w:sz="4" w:space="0" w:color="auto"/>
              <w:right w:val="single" w:sz="4" w:space="0" w:color="auto"/>
            </w:tcBorders>
            <w:shd w:val="clear" w:color="000000" w:fill="CCFFFF"/>
            <w:noWrap/>
            <w:vAlign w:val="bottom"/>
            <w:hideMark/>
          </w:tcPr>
          <w:p w14:paraId="0E22B46B" w14:textId="1AE79A7B" w:rsidR="00D8302C" w:rsidRPr="005B54EE" w:rsidRDefault="00D8302C" w:rsidP="00D8302C">
            <w:pPr>
              <w:jc w:val="right"/>
              <w:rPr>
                <w:rFonts w:ascii="Times New Roman" w:hAnsi="Times New Roman"/>
                <w:sz w:val="14"/>
                <w:szCs w:val="18"/>
              </w:rPr>
            </w:pPr>
            <w:r w:rsidRPr="005B54EE">
              <w:rPr>
                <w:sz w:val="14"/>
              </w:rPr>
              <w:t>1276,37</w:t>
            </w:r>
          </w:p>
        </w:tc>
        <w:tc>
          <w:tcPr>
            <w:tcW w:w="820" w:type="dxa"/>
            <w:tcBorders>
              <w:top w:val="nil"/>
              <w:left w:val="nil"/>
              <w:bottom w:val="single" w:sz="4" w:space="0" w:color="auto"/>
              <w:right w:val="single" w:sz="4" w:space="0" w:color="auto"/>
            </w:tcBorders>
            <w:shd w:val="clear" w:color="000000" w:fill="CCFFFF"/>
            <w:noWrap/>
            <w:vAlign w:val="bottom"/>
            <w:hideMark/>
          </w:tcPr>
          <w:p w14:paraId="64702A3C" w14:textId="18EC6411" w:rsidR="00D8302C" w:rsidRPr="005B54EE" w:rsidRDefault="00D8302C" w:rsidP="00D8302C">
            <w:pPr>
              <w:jc w:val="right"/>
              <w:rPr>
                <w:rFonts w:ascii="Times New Roman" w:hAnsi="Times New Roman"/>
                <w:sz w:val="14"/>
                <w:szCs w:val="18"/>
              </w:rPr>
            </w:pPr>
            <w:r w:rsidRPr="005B54EE">
              <w:rPr>
                <w:sz w:val="14"/>
              </w:rPr>
              <w:t>3279,09</w:t>
            </w:r>
          </w:p>
        </w:tc>
        <w:tc>
          <w:tcPr>
            <w:tcW w:w="820" w:type="dxa"/>
            <w:tcBorders>
              <w:top w:val="nil"/>
              <w:left w:val="nil"/>
              <w:bottom w:val="single" w:sz="4" w:space="0" w:color="auto"/>
              <w:right w:val="single" w:sz="4" w:space="0" w:color="auto"/>
            </w:tcBorders>
            <w:shd w:val="clear" w:color="000000" w:fill="969696"/>
            <w:noWrap/>
            <w:vAlign w:val="bottom"/>
            <w:hideMark/>
          </w:tcPr>
          <w:p w14:paraId="3E1136EF" w14:textId="682D2BAE"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5754152" w14:textId="7C6234AE"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E57C01A" w14:textId="38C80477"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7719311" w14:textId="3DF4E94F"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B23C320" w14:textId="67CEB4B8"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6017532" w14:textId="641B7811" w:rsidR="00D8302C" w:rsidRPr="005B54EE" w:rsidRDefault="00D8302C" w:rsidP="00D8302C">
            <w:pPr>
              <w:jc w:val="right"/>
              <w:rPr>
                <w:rFonts w:ascii="Times New Roman" w:hAnsi="Times New Roman"/>
                <w:sz w:val="14"/>
                <w:szCs w:val="18"/>
              </w:rPr>
            </w:pPr>
            <w:r w:rsidRPr="005B54EE">
              <w:rPr>
                <w:sz w:val="14"/>
              </w:rPr>
              <w:t>261524,28</w:t>
            </w:r>
          </w:p>
        </w:tc>
      </w:tr>
      <w:tr w:rsidR="00D8302C" w:rsidRPr="005B54EE" w14:paraId="4C4304C8"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CFE01EA"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1.  Energy industries</w:t>
            </w:r>
          </w:p>
        </w:tc>
        <w:tc>
          <w:tcPr>
            <w:tcW w:w="914" w:type="dxa"/>
            <w:tcBorders>
              <w:top w:val="nil"/>
              <w:left w:val="nil"/>
              <w:bottom w:val="single" w:sz="4" w:space="0" w:color="auto"/>
              <w:right w:val="single" w:sz="4" w:space="0" w:color="auto"/>
            </w:tcBorders>
            <w:shd w:val="clear" w:color="000000" w:fill="CCFFFF"/>
            <w:noWrap/>
            <w:vAlign w:val="bottom"/>
            <w:hideMark/>
          </w:tcPr>
          <w:p w14:paraId="479C3E42" w14:textId="2664FDEA" w:rsidR="00D8302C" w:rsidRPr="005B54EE" w:rsidRDefault="00D8302C" w:rsidP="00D8302C">
            <w:pPr>
              <w:jc w:val="right"/>
              <w:rPr>
                <w:rFonts w:ascii="Times New Roman" w:hAnsi="Times New Roman"/>
                <w:sz w:val="14"/>
                <w:szCs w:val="18"/>
              </w:rPr>
            </w:pPr>
            <w:r w:rsidRPr="005B54EE">
              <w:rPr>
                <w:sz w:val="14"/>
              </w:rPr>
              <w:t>36821,76</w:t>
            </w:r>
          </w:p>
        </w:tc>
        <w:tc>
          <w:tcPr>
            <w:tcW w:w="820" w:type="dxa"/>
            <w:tcBorders>
              <w:top w:val="nil"/>
              <w:left w:val="nil"/>
              <w:bottom w:val="single" w:sz="4" w:space="0" w:color="auto"/>
              <w:right w:val="single" w:sz="4" w:space="0" w:color="auto"/>
            </w:tcBorders>
            <w:shd w:val="clear" w:color="000000" w:fill="CCFFFF"/>
            <w:noWrap/>
            <w:vAlign w:val="bottom"/>
            <w:hideMark/>
          </w:tcPr>
          <w:p w14:paraId="500D320F" w14:textId="0C3A61FA" w:rsidR="00D8302C" w:rsidRPr="005B54EE" w:rsidRDefault="00D8302C" w:rsidP="00D8302C">
            <w:pPr>
              <w:jc w:val="right"/>
              <w:rPr>
                <w:rFonts w:ascii="Times New Roman" w:hAnsi="Times New Roman"/>
                <w:sz w:val="14"/>
                <w:szCs w:val="18"/>
              </w:rPr>
            </w:pPr>
            <w:r w:rsidRPr="005B54EE">
              <w:rPr>
                <w:sz w:val="14"/>
              </w:rPr>
              <w:t>45,11</w:t>
            </w:r>
          </w:p>
        </w:tc>
        <w:tc>
          <w:tcPr>
            <w:tcW w:w="820" w:type="dxa"/>
            <w:tcBorders>
              <w:top w:val="nil"/>
              <w:left w:val="nil"/>
              <w:bottom w:val="single" w:sz="4" w:space="0" w:color="auto"/>
              <w:right w:val="single" w:sz="4" w:space="0" w:color="auto"/>
            </w:tcBorders>
            <w:shd w:val="clear" w:color="000000" w:fill="CCFFFF"/>
            <w:noWrap/>
            <w:vAlign w:val="bottom"/>
            <w:hideMark/>
          </w:tcPr>
          <w:p w14:paraId="25463940" w14:textId="029E8DAA" w:rsidR="00D8302C" w:rsidRPr="005B54EE" w:rsidRDefault="00D8302C" w:rsidP="00D8302C">
            <w:pPr>
              <w:jc w:val="right"/>
              <w:rPr>
                <w:rFonts w:ascii="Times New Roman" w:hAnsi="Times New Roman"/>
                <w:sz w:val="14"/>
                <w:szCs w:val="18"/>
              </w:rPr>
            </w:pPr>
            <w:r w:rsidRPr="005B54EE">
              <w:rPr>
                <w:sz w:val="14"/>
              </w:rPr>
              <w:t>248,42</w:t>
            </w:r>
          </w:p>
        </w:tc>
        <w:tc>
          <w:tcPr>
            <w:tcW w:w="820" w:type="dxa"/>
            <w:tcBorders>
              <w:top w:val="nil"/>
              <w:left w:val="nil"/>
              <w:bottom w:val="single" w:sz="4" w:space="0" w:color="auto"/>
              <w:right w:val="single" w:sz="4" w:space="0" w:color="auto"/>
            </w:tcBorders>
            <w:shd w:val="clear" w:color="000000" w:fill="969696"/>
            <w:noWrap/>
            <w:vAlign w:val="bottom"/>
            <w:hideMark/>
          </w:tcPr>
          <w:p w14:paraId="120F10E3" w14:textId="6F74BD4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70796A0" w14:textId="3000815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92A60E0" w14:textId="178F4179"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9D348AA" w14:textId="49D62476"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997930D" w14:textId="6D3685A1"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6F125C6" w14:textId="30EB5885" w:rsidR="00D8302C" w:rsidRPr="005B54EE" w:rsidRDefault="00D8302C" w:rsidP="00D8302C">
            <w:pPr>
              <w:jc w:val="right"/>
              <w:rPr>
                <w:rFonts w:ascii="Times New Roman" w:hAnsi="Times New Roman"/>
                <w:sz w:val="14"/>
                <w:szCs w:val="18"/>
              </w:rPr>
            </w:pPr>
            <w:r w:rsidRPr="005B54EE">
              <w:rPr>
                <w:sz w:val="14"/>
              </w:rPr>
              <w:t>37115,28</w:t>
            </w:r>
          </w:p>
        </w:tc>
      </w:tr>
      <w:tr w:rsidR="00D8302C" w:rsidRPr="005B54EE" w14:paraId="36DFF327"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21B3D0E"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2.  Manufacturing industries and construction</w:t>
            </w:r>
          </w:p>
        </w:tc>
        <w:tc>
          <w:tcPr>
            <w:tcW w:w="914" w:type="dxa"/>
            <w:tcBorders>
              <w:top w:val="nil"/>
              <w:left w:val="nil"/>
              <w:bottom w:val="single" w:sz="4" w:space="0" w:color="auto"/>
              <w:right w:val="single" w:sz="4" w:space="0" w:color="auto"/>
            </w:tcBorders>
            <w:shd w:val="clear" w:color="000000" w:fill="CCFFFF"/>
            <w:noWrap/>
            <w:vAlign w:val="bottom"/>
            <w:hideMark/>
          </w:tcPr>
          <w:p w14:paraId="2A02181B" w14:textId="23FB7540" w:rsidR="00D8302C" w:rsidRPr="005B54EE" w:rsidRDefault="00D8302C" w:rsidP="00D8302C">
            <w:pPr>
              <w:jc w:val="right"/>
              <w:rPr>
                <w:rFonts w:ascii="Times New Roman" w:hAnsi="Times New Roman"/>
                <w:sz w:val="14"/>
                <w:szCs w:val="18"/>
              </w:rPr>
            </w:pPr>
            <w:r w:rsidRPr="005B54EE">
              <w:rPr>
                <w:sz w:val="14"/>
              </w:rPr>
              <w:t>41588,56</w:t>
            </w:r>
          </w:p>
        </w:tc>
        <w:tc>
          <w:tcPr>
            <w:tcW w:w="820" w:type="dxa"/>
            <w:tcBorders>
              <w:top w:val="nil"/>
              <w:left w:val="nil"/>
              <w:bottom w:val="single" w:sz="4" w:space="0" w:color="auto"/>
              <w:right w:val="single" w:sz="4" w:space="0" w:color="auto"/>
            </w:tcBorders>
            <w:shd w:val="clear" w:color="000000" w:fill="CCFFFF"/>
            <w:noWrap/>
            <w:vAlign w:val="bottom"/>
            <w:hideMark/>
          </w:tcPr>
          <w:p w14:paraId="2D638B5E" w14:textId="73130479" w:rsidR="00D8302C" w:rsidRPr="005B54EE" w:rsidRDefault="00D8302C" w:rsidP="00D8302C">
            <w:pPr>
              <w:jc w:val="right"/>
              <w:rPr>
                <w:rFonts w:ascii="Times New Roman" w:hAnsi="Times New Roman"/>
                <w:sz w:val="14"/>
                <w:szCs w:val="18"/>
              </w:rPr>
            </w:pPr>
            <w:r w:rsidRPr="005B54EE">
              <w:rPr>
                <w:sz w:val="14"/>
              </w:rPr>
              <w:t>95,64</w:t>
            </w:r>
          </w:p>
        </w:tc>
        <w:tc>
          <w:tcPr>
            <w:tcW w:w="820" w:type="dxa"/>
            <w:tcBorders>
              <w:top w:val="nil"/>
              <w:left w:val="nil"/>
              <w:bottom w:val="single" w:sz="4" w:space="0" w:color="auto"/>
              <w:right w:val="single" w:sz="4" w:space="0" w:color="auto"/>
            </w:tcBorders>
            <w:shd w:val="clear" w:color="000000" w:fill="CCFFFF"/>
            <w:noWrap/>
            <w:vAlign w:val="bottom"/>
            <w:hideMark/>
          </w:tcPr>
          <w:p w14:paraId="5EE65A88" w14:textId="6FCA1439" w:rsidR="00D8302C" w:rsidRPr="005B54EE" w:rsidRDefault="00D8302C" w:rsidP="00D8302C">
            <w:pPr>
              <w:jc w:val="right"/>
              <w:rPr>
                <w:rFonts w:ascii="Times New Roman" w:hAnsi="Times New Roman"/>
                <w:sz w:val="14"/>
                <w:szCs w:val="18"/>
              </w:rPr>
            </w:pPr>
            <w:r w:rsidRPr="005B54EE">
              <w:rPr>
                <w:sz w:val="14"/>
              </w:rPr>
              <w:t>502,47</w:t>
            </w:r>
          </w:p>
        </w:tc>
        <w:tc>
          <w:tcPr>
            <w:tcW w:w="820" w:type="dxa"/>
            <w:tcBorders>
              <w:top w:val="nil"/>
              <w:left w:val="nil"/>
              <w:bottom w:val="single" w:sz="4" w:space="0" w:color="auto"/>
              <w:right w:val="single" w:sz="4" w:space="0" w:color="auto"/>
            </w:tcBorders>
            <w:shd w:val="clear" w:color="000000" w:fill="969696"/>
            <w:noWrap/>
            <w:vAlign w:val="bottom"/>
            <w:hideMark/>
          </w:tcPr>
          <w:p w14:paraId="462BF4E3" w14:textId="029FA3DA"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F5E8E5F" w14:textId="3F04507E"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9888731" w14:textId="071EFDD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5B70A83" w14:textId="69198638"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6A1B27C4" w14:textId="718A06A3"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2ED184CA" w14:textId="0B656CFC" w:rsidR="00D8302C" w:rsidRPr="005B54EE" w:rsidRDefault="00D8302C" w:rsidP="00D8302C">
            <w:pPr>
              <w:jc w:val="right"/>
              <w:rPr>
                <w:rFonts w:ascii="Times New Roman" w:hAnsi="Times New Roman"/>
                <w:sz w:val="14"/>
                <w:szCs w:val="18"/>
              </w:rPr>
            </w:pPr>
            <w:r w:rsidRPr="005B54EE">
              <w:rPr>
                <w:sz w:val="14"/>
              </w:rPr>
              <w:t>42186,67</w:t>
            </w:r>
          </w:p>
        </w:tc>
      </w:tr>
      <w:tr w:rsidR="00D8302C" w:rsidRPr="005B54EE" w14:paraId="5A5F11F4"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87FFABB"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3.  Transport</w:t>
            </w:r>
          </w:p>
        </w:tc>
        <w:tc>
          <w:tcPr>
            <w:tcW w:w="914" w:type="dxa"/>
            <w:tcBorders>
              <w:top w:val="nil"/>
              <w:left w:val="nil"/>
              <w:bottom w:val="single" w:sz="4" w:space="0" w:color="auto"/>
              <w:right w:val="single" w:sz="4" w:space="0" w:color="auto"/>
            </w:tcBorders>
            <w:shd w:val="clear" w:color="000000" w:fill="CCFFFF"/>
            <w:noWrap/>
            <w:vAlign w:val="bottom"/>
            <w:hideMark/>
          </w:tcPr>
          <w:p w14:paraId="70C2B06C" w14:textId="6134214F" w:rsidR="00D8302C" w:rsidRPr="005B54EE" w:rsidRDefault="00D8302C" w:rsidP="00D8302C">
            <w:pPr>
              <w:jc w:val="right"/>
              <w:rPr>
                <w:rFonts w:ascii="Times New Roman" w:hAnsi="Times New Roman"/>
                <w:sz w:val="14"/>
                <w:szCs w:val="18"/>
              </w:rPr>
            </w:pPr>
            <w:r w:rsidRPr="005B54EE">
              <w:rPr>
                <w:sz w:val="14"/>
              </w:rPr>
              <w:t>108179,03</w:t>
            </w:r>
          </w:p>
        </w:tc>
        <w:tc>
          <w:tcPr>
            <w:tcW w:w="820" w:type="dxa"/>
            <w:tcBorders>
              <w:top w:val="nil"/>
              <w:left w:val="nil"/>
              <w:bottom w:val="single" w:sz="4" w:space="0" w:color="auto"/>
              <w:right w:val="single" w:sz="4" w:space="0" w:color="auto"/>
            </w:tcBorders>
            <w:shd w:val="clear" w:color="000000" w:fill="CCFFFF"/>
            <w:noWrap/>
            <w:vAlign w:val="bottom"/>
            <w:hideMark/>
          </w:tcPr>
          <w:p w14:paraId="77F70CED" w14:textId="0AAF76DE" w:rsidR="00D8302C" w:rsidRPr="005B54EE" w:rsidRDefault="00D8302C" w:rsidP="00D8302C">
            <w:pPr>
              <w:jc w:val="right"/>
              <w:rPr>
                <w:rFonts w:ascii="Times New Roman" w:hAnsi="Times New Roman"/>
                <w:sz w:val="14"/>
                <w:szCs w:val="18"/>
              </w:rPr>
            </w:pPr>
            <w:r w:rsidRPr="005B54EE">
              <w:rPr>
                <w:sz w:val="14"/>
              </w:rPr>
              <w:t>143,25</w:t>
            </w:r>
          </w:p>
        </w:tc>
        <w:tc>
          <w:tcPr>
            <w:tcW w:w="820" w:type="dxa"/>
            <w:tcBorders>
              <w:top w:val="nil"/>
              <w:left w:val="nil"/>
              <w:bottom w:val="single" w:sz="4" w:space="0" w:color="auto"/>
              <w:right w:val="single" w:sz="4" w:space="0" w:color="auto"/>
            </w:tcBorders>
            <w:shd w:val="clear" w:color="000000" w:fill="CCFFFF"/>
            <w:noWrap/>
            <w:vAlign w:val="bottom"/>
            <w:hideMark/>
          </w:tcPr>
          <w:p w14:paraId="5BB7DD4D" w14:textId="47A12256" w:rsidR="00D8302C" w:rsidRPr="005B54EE" w:rsidRDefault="00D8302C" w:rsidP="00D8302C">
            <w:pPr>
              <w:jc w:val="right"/>
              <w:rPr>
                <w:rFonts w:ascii="Times New Roman" w:hAnsi="Times New Roman"/>
                <w:sz w:val="14"/>
                <w:szCs w:val="18"/>
              </w:rPr>
            </w:pPr>
            <w:r w:rsidRPr="005B54EE">
              <w:rPr>
                <w:sz w:val="14"/>
              </w:rPr>
              <w:t>1147,00</w:t>
            </w:r>
          </w:p>
        </w:tc>
        <w:tc>
          <w:tcPr>
            <w:tcW w:w="820" w:type="dxa"/>
            <w:tcBorders>
              <w:top w:val="nil"/>
              <w:left w:val="nil"/>
              <w:bottom w:val="single" w:sz="4" w:space="0" w:color="auto"/>
              <w:right w:val="single" w:sz="4" w:space="0" w:color="auto"/>
            </w:tcBorders>
            <w:shd w:val="clear" w:color="000000" w:fill="969696"/>
            <w:noWrap/>
            <w:vAlign w:val="bottom"/>
            <w:hideMark/>
          </w:tcPr>
          <w:p w14:paraId="37B1C0E5" w14:textId="588DE15C"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941D693" w14:textId="0CFD2193"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DD1A6E3" w14:textId="5501FC30"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EFC1201" w14:textId="27F20A0F"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74B8B68" w14:textId="2C71B436"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782FBC7D" w14:textId="2D09C4F3" w:rsidR="00D8302C" w:rsidRPr="005B54EE" w:rsidRDefault="00D8302C" w:rsidP="00D8302C">
            <w:pPr>
              <w:jc w:val="right"/>
              <w:rPr>
                <w:rFonts w:ascii="Times New Roman" w:hAnsi="Times New Roman"/>
                <w:sz w:val="14"/>
                <w:szCs w:val="18"/>
              </w:rPr>
            </w:pPr>
            <w:r w:rsidRPr="005B54EE">
              <w:rPr>
                <w:sz w:val="14"/>
              </w:rPr>
              <w:t>109469,28</w:t>
            </w:r>
          </w:p>
        </w:tc>
      </w:tr>
      <w:tr w:rsidR="00D8302C" w:rsidRPr="005B54EE" w14:paraId="18A8469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C4091F0"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4.  Other sectors</w:t>
            </w:r>
          </w:p>
        </w:tc>
        <w:tc>
          <w:tcPr>
            <w:tcW w:w="914" w:type="dxa"/>
            <w:tcBorders>
              <w:top w:val="nil"/>
              <w:left w:val="nil"/>
              <w:bottom w:val="single" w:sz="4" w:space="0" w:color="auto"/>
              <w:right w:val="single" w:sz="4" w:space="0" w:color="auto"/>
            </w:tcBorders>
            <w:shd w:val="clear" w:color="000000" w:fill="CCFFFF"/>
            <w:noWrap/>
            <w:vAlign w:val="bottom"/>
            <w:hideMark/>
          </w:tcPr>
          <w:p w14:paraId="242B64ED" w14:textId="189F1D65" w:rsidR="00D8302C" w:rsidRPr="005B54EE" w:rsidRDefault="00D8302C" w:rsidP="00D8302C">
            <w:pPr>
              <w:jc w:val="right"/>
              <w:rPr>
                <w:rFonts w:ascii="Times New Roman" w:hAnsi="Times New Roman"/>
                <w:sz w:val="14"/>
                <w:szCs w:val="18"/>
              </w:rPr>
            </w:pPr>
            <w:r w:rsidRPr="005B54EE">
              <w:rPr>
                <w:sz w:val="14"/>
              </w:rPr>
              <w:t>68903,09</w:t>
            </w:r>
          </w:p>
        </w:tc>
        <w:tc>
          <w:tcPr>
            <w:tcW w:w="820" w:type="dxa"/>
            <w:tcBorders>
              <w:top w:val="nil"/>
              <w:left w:val="nil"/>
              <w:bottom w:val="single" w:sz="4" w:space="0" w:color="auto"/>
              <w:right w:val="single" w:sz="4" w:space="0" w:color="auto"/>
            </w:tcBorders>
            <w:shd w:val="clear" w:color="000000" w:fill="CCFFFF"/>
            <w:noWrap/>
            <w:vAlign w:val="bottom"/>
            <w:hideMark/>
          </w:tcPr>
          <w:p w14:paraId="2FCBAF8A" w14:textId="07EE736A" w:rsidR="00D8302C" w:rsidRPr="005B54EE" w:rsidRDefault="00D8302C" w:rsidP="00D8302C">
            <w:pPr>
              <w:jc w:val="right"/>
              <w:rPr>
                <w:rFonts w:ascii="Times New Roman" w:hAnsi="Times New Roman"/>
                <w:sz w:val="14"/>
                <w:szCs w:val="18"/>
              </w:rPr>
            </w:pPr>
            <w:r w:rsidRPr="005B54EE">
              <w:rPr>
                <w:sz w:val="14"/>
              </w:rPr>
              <w:t>990,36</w:t>
            </w:r>
          </w:p>
        </w:tc>
        <w:tc>
          <w:tcPr>
            <w:tcW w:w="820" w:type="dxa"/>
            <w:tcBorders>
              <w:top w:val="nil"/>
              <w:left w:val="nil"/>
              <w:bottom w:val="single" w:sz="4" w:space="0" w:color="auto"/>
              <w:right w:val="single" w:sz="4" w:space="0" w:color="auto"/>
            </w:tcBorders>
            <w:shd w:val="clear" w:color="000000" w:fill="CCFFFF"/>
            <w:noWrap/>
            <w:vAlign w:val="bottom"/>
            <w:hideMark/>
          </w:tcPr>
          <w:p w14:paraId="341A1A00" w14:textId="46926D0B" w:rsidR="00D8302C" w:rsidRPr="005B54EE" w:rsidRDefault="00D8302C" w:rsidP="00D8302C">
            <w:pPr>
              <w:jc w:val="right"/>
              <w:rPr>
                <w:rFonts w:ascii="Times New Roman" w:hAnsi="Times New Roman"/>
                <w:sz w:val="14"/>
                <w:szCs w:val="18"/>
              </w:rPr>
            </w:pPr>
            <w:r w:rsidRPr="005B54EE">
              <w:rPr>
                <w:sz w:val="14"/>
              </w:rPr>
              <w:t>1373,08</w:t>
            </w:r>
          </w:p>
        </w:tc>
        <w:tc>
          <w:tcPr>
            <w:tcW w:w="820" w:type="dxa"/>
            <w:tcBorders>
              <w:top w:val="nil"/>
              <w:left w:val="nil"/>
              <w:bottom w:val="single" w:sz="4" w:space="0" w:color="auto"/>
              <w:right w:val="single" w:sz="4" w:space="0" w:color="auto"/>
            </w:tcBorders>
            <w:shd w:val="clear" w:color="000000" w:fill="969696"/>
            <w:noWrap/>
            <w:vAlign w:val="bottom"/>
            <w:hideMark/>
          </w:tcPr>
          <w:p w14:paraId="686435CF" w14:textId="6E0ECC2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7712ECC" w14:textId="4349DFC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C1D37D3" w14:textId="14635BFA"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7F39331" w14:textId="2F7CCD42"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266263E4" w14:textId="2EB6856C"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279EF84C" w14:textId="6AF8CD83" w:rsidR="00D8302C" w:rsidRPr="005B54EE" w:rsidRDefault="00D8302C" w:rsidP="00D8302C">
            <w:pPr>
              <w:jc w:val="right"/>
              <w:rPr>
                <w:rFonts w:ascii="Times New Roman" w:hAnsi="Times New Roman"/>
                <w:sz w:val="14"/>
                <w:szCs w:val="18"/>
              </w:rPr>
            </w:pPr>
            <w:r w:rsidRPr="005B54EE">
              <w:rPr>
                <w:sz w:val="14"/>
              </w:rPr>
              <w:t>71266,53</w:t>
            </w:r>
          </w:p>
        </w:tc>
      </w:tr>
      <w:tr w:rsidR="00D8302C" w:rsidRPr="005B54EE" w14:paraId="7167212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AA9C80F"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5.  Other</w:t>
            </w:r>
          </w:p>
        </w:tc>
        <w:tc>
          <w:tcPr>
            <w:tcW w:w="914" w:type="dxa"/>
            <w:tcBorders>
              <w:top w:val="nil"/>
              <w:left w:val="nil"/>
              <w:bottom w:val="single" w:sz="4" w:space="0" w:color="auto"/>
              <w:right w:val="single" w:sz="4" w:space="0" w:color="auto"/>
            </w:tcBorders>
            <w:shd w:val="clear" w:color="000000" w:fill="CCFFFF"/>
            <w:noWrap/>
            <w:vAlign w:val="bottom"/>
            <w:hideMark/>
          </w:tcPr>
          <w:p w14:paraId="2E6CA4D1" w14:textId="6DF6CB8E" w:rsidR="00D8302C" w:rsidRPr="005B54EE" w:rsidRDefault="00D8302C" w:rsidP="00D8302C">
            <w:pPr>
              <w:jc w:val="right"/>
              <w:rPr>
                <w:rFonts w:ascii="Times New Roman" w:hAnsi="Times New Roman"/>
                <w:sz w:val="14"/>
                <w:szCs w:val="18"/>
              </w:rPr>
            </w:pPr>
            <w:r w:rsidRPr="005B54EE">
              <w:rPr>
                <w:sz w:val="14"/>
              </w:rPr>
              <w:t>1476,39</w:t>
            </w:r>
          </w:p>
        </w:tc>
        <w:tc>
          <w:tcPr>
            <w:tcW w:w="820" w:type="dxa"/>
            <w:tcBorders>
              <w:top w:val="nil"/>
              <w:left w:val="nil"/>
              <w:bottom w:val="single" w:sz="4" w:space="0" w:color="auto"/>
              <w:right w:val="single" w:sz="4" w:space="0" w:color="auto"/>
            </w:tcBorders>
            <w:shd w:val="clear" w:color="000000" w:fill="CCFFFF"/>
            <w:noWrap/>
            <w:vAlign w:val="bottom"/>
            <w:hideMark/>
          </w:tcPr>
          <w:p w14:paraId="18FBB6B4" w14:textId="0CECE3C9" w:rsidR="00D8302C" w:rsidRPr="005B54EE" w:rsidRDefault="00D8302C" w:rsidP="00D8302C">
            <w:pPr>
              <w:jc w:val="right"/>
              <w:rPr>
                <w:rFonts w:ascii="Times New Roman" w:hAnsi="Times New Roman"/>
                <w:sz w:val="14"/>
                <w:szCs w:val="18"/>
              </w:rPr>
            </w:pPr>
            <w:r w:rsidRPr="005B54EE">
              <w:rPr>
                <w:sz w:val="14"/>
              </w:rPr>
              <w:t>2,02</w:t>
            </w:r>
          </w:p>
        </w:tc>
        <w:tc>
          <w:tcPr>
            <w:tcW w:w="820" w:type="dxa"/>
            <w:tcBorders>
              <w:top w:val="nil"/>
              <w:left w:val="nil"/>
              <w:bottom w:val="single" w:sz="4" w:space="0" w:color="auto"/>
              <w:right w:val="single" w:sz="4" w:space="0" w:color="auto"/>
            </w:tcBorders>
            <w:shd w:val="clear" w:color="000000" w:fill="CCFFFF"/>
            <w:noWrap/>
            <w:vAlign w:val="bottom"/>
            <w:hideMark/>
          </w:tcPr>
          <w:p w14:paraId="0B9CC387" w14:textId="3C69738F" w:rsidR="00D8302C" w:rsidRPr="005B54EE" w:rsidRDefault="00D8302C" w:rsidP="00D8302C">
            <w:pPr>
              <w:jc w:val="right"/>
              <w:rPr>
                <w:rFonts w:ascii="Times New Roman" w:hAnsi="Times New Roman"/>
                <w:sz w:val="14"/>
                <w:szCs w:val="18"/>
              </w:rPr>
            </w:pPr>
            <w:r w:rsidRPr="005B54EE">
              <w:rPr>
                <w:sz w:val="14"/>
              </w:rPr>
              <w:t>8,13</w:t>
            </w:r>
          </w:p>
        </w:tc>
        <w:tc>
          <w:tcPr>
            <w:tcW w:w="820" w:type="dxa"/>
            <w:tcBorders>
              <w:top w:val="nil"/>
              <w:left w:val="nil"/>
              <w:bottom w:val="single" w:sz="4" w:space="0" w:color="auto"/>
              <w:right w:val="single" w:sz="4" w:space="0" w:color="auto"/>
            </w:tcBorders>
            <w:shd w:val="clear" w:color="000000" w:fill="969696"/>
            <w:noWrap/>
            <w:vAlign w:val="bottom"/>
            <w:hideMark/>
          </w:tcPr>
          <w:p w14:paraId="1805C4FF" w14:textId="20D0049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06331E5" w14:textId="108750A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87DEE10" w14:textId="18256D0B"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222CDC7" w14:textId="7C1BC9F8"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4C3D2FB2" w14:textId="58D4DE99"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25BA8C9" w14:textId="53660F19" w:rsidR="00D8302C" w:rsidRPr="005B54EE" w:rsidRDefault="00D8302C" w:rsidP="00D8302C">
            <w:pPr>
              <w:jc w:val="right"/>
              <w:rPr>
                <w:rFonts w:ascii="Times New Roman" w:hAnsi="Times New Roman"/>
                <w:sz w:val="14"/>
                <w:szCs w:val="18"/>
              </w:rPr>
            </w:pPr>
            <w:r w:rsidRPr="005B54EE">
              <w:rPr>
                <w:sz w:val="14"/>
              </w:rPr>
              <w:t>1486,53</w:t>
            </w:r>
          </w:p>
        </w:tc>
      </w:tr>
      <w:tr w:rsidR="00D8302C" w:rsidRPr="005B54EE" w14:paraId="563BFB5D"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C6FB1DB"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B. Fugitive emissions from fuels</w:t>
            </w:r>
          </w:p>
        </w:tc>
        <w:tc>
          <w:tcPr>
            <w:tcW w:w="914" w:type="dxa"/>
            <w:tcBorders>
              <w:top w:val="nil"/>
              <w:left w:val="nil"/>
              <w:bottom w:val="single" w:sz="4" w:space="0" w:color="auto"/>
              <w:right w:val="single" w:sz="4" w:space="0" w:color="auto"/>
            </w:tcBorders>
            <w:shd w:val="clear" w:color="000000" w:fill="CCFFFF"/>
            <w:noWrap/>
            <w:vAlign w:val="bottom"/>
            <w:hideMark/>
          </w:tcPr>
          <w:p w14:paraId="0406EC90" w14:textId="6E7A51B2" w:rsidR="00D8302C" w:rsidRPr="005B54EE" w:rsidRDefault="00D8302C" w:rsidP="00D8302C">
            <w:pPr>
              <w:jc w:val="right"/>
              <w:rPr>
                <w:rFonts w:ascii="Times New Roman" w:hAnsi="Times New Roman"/>
                <w:sz w:val="14"/>
                <w:szCs w:val="18"/>
              </w:rPr>
            </w:pPr>
            <w:r w:rsidRPr="005B54EE">
              <w:rPr>
                <w:sz w:val="14"/>
              </w:rPr>
              <w:t>2203,10</w:t>
            </w:r>
          </w:p>
        </w:tc>
        <w:tc>
          <w:tcPr>
            <w:tcW w:w="820" w:type="dxa"/>
            <w:tcBorders>
              <w:top w:val="nil"/>
              <w:left w:val="nil"/>
              <w:bottom w:val="single" w:sz="4" w:space="0" w:color="auto"/>
              <w:right w:val="single" w:sz="4" w:space="0" w:color="auto"/>
            </w:tcBorders>
            <w:shd w:val="clear" w:color="000000" w:fill="CCFFFF"/>
            <w:noWrap/>
            <w:vAlign w:val="bottom"/>
            <w:hideMark/>
          </w:tcPr>
          <w:p w14:paraId="18AE072A" w14:textId="5205644C" w:rsidR="00D8302C" w:rsidRPr="005B54EE" w:rsidRDefault="00D8302C" w:rsidP="00D8302C">
            <w:pPr>
              <w:jc w:val="right"/>
              <w:rPr>
                <w:rFonts w:ascii="Times New Roman" w:hAnsi="Times New Roman"/>
                <w:sz w:val="14"/>
                <w:szCs w:val="18"/>
              </w:rPr>
            </w:pPr>
            <w:r w:rsidRPr="005B54EE">
              <w:rPr>
                <w:sz w:val="14"/>
              </w:rPr>
              <w:t>851,21</w:t>
            </w:r>
          </w:p>
        </w:tc>
        <w:tc>
          <w:tcPr>
            <w:tcW w:w="820" w:type="dxa"/>
            <w:tcBorders>
              <w:top w:val="nil"/>
              <w:left w:val="nil"/>
              <w:bottom w:val="single" w:sz="4" w:space="0" w:color="auto"/>
              <w:right w:val="single" w:sz="4" w:space="0" w:color="auto"/>
            </w:tcBorders>
            <w:shd w:val="clear" w:color="000000" w:fill="CCFFFF"/>
            <w:noWrap/>
            <w:vAlign w:val="bottom"/>
            <w:hideMark/>
          </w:tcPr>
          <w:p w14:paraId="6755883C" w14:textId="0B8ABD9D" w:rsidR="00D8302C" w:rsidRPr="005B54EE" w:rsidRDefault="00D8302C" w:rsidP="00D8302C">
            <w:pPr>
              <w:jc w:val="right"/>
              <w:rPr>
                <w:rFonts w:ascii="Times New Roman" w:hAnsi="Times New Roman"/>
                <w:sz w:val="14"/>
                <w:szCs w:val="18"/>
              </w:rPr>
            </w:pPr>
            <w:r w:rsidRPr="005B54EE">
              <w:rPr>
                <w:sz w:val="14"/>
              </w:rPr>
              <w:t>151,02</w:t>
            </w:r>
          </w:p>
        </w:tc>
        <w:tc>
          <w:tcPr>
            <w:tcW w:w="820" w:type="dxa"/>
            <w:tcBorders>
              <w:top w:val="nil"/>
              <w:left w:val="nil"/>
              <w:bottom w:val="single" w:sz="4" w:space="0" w:color="auto"/>
              <w:right w:val="single" w:sz="4" w:space="0" w:color="auto"/>
            </w:tcBorders>
            <w:shd w:val="clear" w:color="000000" w:fill="969696"/>
            <w:noWrap/>
            <w:vAlign w:val="bottom"/>
            <w:hideMark/>
          </w:tcPr>
          <w:p w14:paraId="5758458E" w14:textId="588DC810"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07137AB" w14:textId="1FF2589C"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2718838" w14:textId="7ACF3AB0"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88391CE" w14:textId="013AC000"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A7D4DED" w14:textId="65E47B60"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04233885" w14:textId="7450AFD4" w:rsidR="00D8302C" w:rsidRPr="005B54EE" w:rsidRDefault="00D8302C" w:rsidP="00D8302C">
            <w:pPr>
              <w:jc w:val="right"/>
              <w:rPr>
                <w:rFonts w:ascii="Times New Roman" w:hAnsi="Times New Roman"/>
                <w:sz w:val="14"/>
                <w:szCs w:val="18"/>
              </w:rPr>
            </w:pPr>
            <w:r w:rsidRPr="005B54EE">
              <w:rPr>
                <w:sz w:val="14"/>
              </w:rPr>
              <w:t>3205,33</w:t>
            </w:r>
          </w:p>
        </w:tc>
      </w:tr>
      <w:tr w:rsidR="00D8302C" w:rsidRPr="005B54EE" w14:paraId="3C30D27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6270FB3"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1.  Solid fuels</w:t>
            </w:r>
          </w:p>
        </w:tc>
        <w:tc>
          <w:tcPr>
            <w:tcW w:w="914" w:type="dxa"/>
            <w:tcBorders>
              <w:top w:val="nil"/>
              <w:left w:val="nil"/>
              <w:bottom w:val="single" w:sz="4" w:space="0" w:color="auto"/>
              <w:right w:val="single" w:sz="4" w:space="0" w:color="auto"/>
            </w:tcBorders>
            <w:shd w:val="clear" w:color="000000" w:fill="CCFFFF"/>
            <w:noWrap/>
            <w:vAlign w:val="bottom"/>
            <w:hideMark/>
          </w:tcPr>
          <w:p w14:paraId="33923BF7" w14:textId="14B31310" w:rsidR="00D8302C" w:rsidRPr="005B54EE" w:rsidRDefault="00D8302C" w:rsidP="00D8302C">
            <w:pPr>
              <w:jc w:val="right"/>
              <w:rPr>
                <w:rFonts w:ascii="Times New Roman" w:hAnsi="Times New Roman"/>
                <w:sz w:val="14"/>
                <w:szCs w:val="18"/>
              </w:rPr>
            </w:pPr>
            <w:r w:rsidRPr="005B54EE">
              <w:rPr>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0C1348D4" w14:textId="50F07CC9" w:rsidR="00D8302C" w:rsidRPr="005B54EE" w:rsidRDefault="00D8302C" w:rsidP="00D8302C">
            <w:pPr>
              <w:jc w:val="right"/>
              <w:rPr>
                <w:rFonts w:ascii="Times New Roman" w:hAnsi="Times New Roman"/>
                <w:sz w:val="14"/>
                <w:szCs w:val="18"/>
              </w:rPr>
            </w:pPr>
            <w:r w:rsidRPr="005B54EE">
              <w:rPr>
                <w:sz w:val="14"/>
              </w:rPr>
              <w:t>25,56</w:t>
            </w:r>
          </w:p>
        </w:tc>
        <w:tc>
          <w:tcPr>
            <w:tcW w:w="820" w:type="dxa"/>
            <w:tcBorders>
              <w:top w:val="nil"/>
              <w:left w:val="nil"/>
              <w:bottom w:val="single" w:sz="4" w:space="0" w:color="auto"/>
              <w:right w:val="single" w:sz="4" w:space="0" w:color="auto"/>
            </w:tcBorders>
            <w:shd w:val="clear" w:color="000000" w:fill="CCFFFF"/>
            <w:noWrap/>
            <w:vAlign w:val="bottom"/>
            <w:hideMark/>
          </w:tcPr>
          <w:p w14:paraId="5ADD952D" w14:textId="78308F7E" w:rsidR="00D8302C" w:rsidRPr="005B54EE" w:rsidRDefault="00D8302C" w:rsidP="00D8302C">
            <w:pPr>
              <w:jc w:val="right"/>
              <w:rPr>
                <w:rFonts w:ascii="Times New Roman" w:hAnsi="Times New Roman"/>
                <w:sz w:val="14"/>
                <w:szCs w:val="18"/>
              </w:rPr>
            </w:pPr>
            <w:r w:rsidRPr="005B54EE">
              <w:rPr>
                <w:sz w:val="14"/>
              </w:rPr>
              <w:t>NO,NE</w:t>
            </w:r>
          </w:p>
        </w:tc>
        <w:tc>
          <w:tcPr>
            <w:tcW w:w="820" w:type="dxa"/>
            <w:tcBorders>
              <w:top w:val="nil"/>
              <w:left w:val="nil"/>
              <w:bottom w:val="single" w:sz="4" w:space="0" w:color="auto"/>
              <w:right w:val="single" w:sz="4" w:space="0" w:color="auto"/>
            </w:tcBorders>
            <w:shd w:val="clear" w:color="000000" w:fill="969696"/>
            <w:noWrap/>
            <w:vAlign w:val="bottom"/>
            <w:hideMark/>
          </w:tcPr>
          <w:p w14:paraId="01B0C6FA" w14:textId="1B7B5A2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5CE204F" w14:textId="7CC43521"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FBA7F71" w14:textId="735B1715"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0B815DA" w14:textId="52139106"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212B1328" w14:textId="0BF34A9F"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0C8A9989" w14:textId="1998F47F" w:rsidR="00D8302C" w:rsidRPr="005B54EE" w:rsidRDefault="00D8302C" w:rsidP="00D8302C">
            <w:pPr>
              <w:jc w:val="right"/>
              <w:rPr>
                <w:rFonts w:ascii="Times New Roman" w:hAnsi="Times New Roman"/>
                <w:sz w:val="14"/>
                <w:szCs w:val="18"/>
              </w:rPr>
            </w:pPr>
            <w:r w:rsidRPr="005B54EE">
              <w:rPr>
                <w:sz w:val="14"/>
              </w:rPr>
              <w:t>25,56</w:t>
            </w:r>
          </w:p>
        </w:tc>
      </w:tr>
      <w:tr w:rsidR="00D8302C" w:rsidRPr="005B54EE" w14:paraId="135F8859"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8080EAE"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2.  Oil and natural gas</w:t>
            </w:r>
          </w:p>
        </w:tc>
        <w:tc>
          <w:tcPr>
            <w:tcW w:w="914" w:type="dxa"/>
            <w:tcBorders>
              <w:top w:val="nil"/>
              <w:left w:val="nil"/>
              <w:bottom w:val="single" w:sz="4" w:space="0" w:color="auto"/>
              <w:right w:val="single" w:sz="4" w:space="0" w:color="auto"/>
            </w:tcBorders>
            <w:shd w:val="clear" w:color="000000" w:fill="CCFFFF"/>
            <w:noWrap/>
            <w:vAlign w:val="bottom"/>
            <w:hideMark/>
          </w:tcPr>
          <w:p w14:paraId="2827FA0F" w14:textId="40D34BBA" w:rsidR="00D8302C" w:rsidRPr="005B54EE" w:rsidRDefault="00D8302C" w:rsidP="00D8302C">
            <w:pPr>
              <w:jc w:val="right"/>
              <w:rPr>
                <w:rFonts w:ascii="Times New Roman" w:hAnsi="Times New Roman"/>
                <w:sz w:val="14"/>
                <w:szCs w:val="18"/>
              </w:rPr>
            </w:pPr>
            <w:r w:rsidRPr="005B54EE">
              <w:rPr>
                <w:sz w:val="14"/>
              </w:rPr>
              <w:t>2203,10</w:t>
            </w:r>
          </w:p>
        </w:tc>
        <w:tc>
          <w:tcPr>
            <w:tcW w:w="820" w:type="dxa"/>
            <w:tcBorders>
              <w:top w:val="nil"/>
              <w:left w:val="nil"/>
              <w:bottom w:val="single" w:sz="4" w:space="0" w:color="auto"/>
              <w:right w:val="single" w:sz="4" w:space="0" w:color="auto"/>
            </w:tcBorders>
            <w:shd w:val="clear" w:color="000000" w:fill="CCFFFF"/>
            <w:noWrap/>
            <w:vAlign w:val="bottom"/>
            <w:hideMark/>
          </w:tcPr>
          <w:p w14:paraId="20B0EAEA" w14:textId="5E68FCE4" w:rsidR="00D8302C" w:rsidRPr="005B54EE" w:rsidRDefault="00D8302C" w:rsidP="00D8302C">
            <w:pPr>
              <w:jc w:val="right"/>
              <w:rPr>
                <w:rFonts w:ascii="Times New Roman" w:hAnsi="Times New Roman"/>
                <w:sz w:val="14"/>
                <w:szCs w:val="18"/>
              </w:rPr>
            </w:pPr>
            <w:r w:rsidRPr="005B54EE">
              <w:rPr>
                <w:sz w:val="14"/>
              </w:rPr>
              <w:t>825,65</w:t>
            </w:r>
          </w:p>
        </w:tc>
        <w:tc>
          <w:tcPr>
            <w:tcW w:w="820" w:type="dxa"/>
            <w:tcBorders>
              <w:top w:val="nil"/>
              <w:left w:val="nil"/>
              <w:bottom w:val="single" w:sz="4" w:space="0" w:color="auto"/>
              <w:right w:val="single" w:sz="4" w:space="0" w:color="auto"/>
            </w:tcBorders>
            <w:shd w:val="clear" w:color="000000" w:fill="CCFFFF"/>
            <w:noWrap/>
            <w:vAlign w:val="bottom"/>
            <w:hideMark/>
          </w:tcPr>
          <w:p w14:paraId="3E30E834" w14:textId="1F9CBBA5" w:rsidR="00D8302C" w:rsidRPr="005B54EE" w:rsidRDefault="00D8302C" w:rsidP="00D8302C">
            <w:pPr>
              <w:jc w:val="right"/>
              <w:rPr>
                <w:rFonts w:ascii="Times New Roman" w:hAnsi="Times New Roman"/>
                <w:sz w:val="14"/>
                <w:szCs w:val="18"/>
              </w:rPr>
            </w:pPr>
            <w:r w:rsidRPr="005B54EE">
              <w:rPr>
                <w:sz w:val="14"/>
              </w:rPr>
              <w:t>151,02</w:t>
            </w:r>
          </w:p>
        </w:tc>
        <w:tc>
          <w:tcPr>
            <w:tcW w:w="820" w:type="dxa"/>
            <w:tcBorders>
              <w:top w:val="nil"/>
              <w:left w:val="nil"/>
              <w:bottom w:val="single" w:sz="4" w:space="0" w:color="auto"/>
              <w:right w:val="single" w:sz="4" w:space="0" w:color="auto"/>
            </w:tcBorders>
            <w:shd w:val="clear" w:color="000000" w:fill="969696"/>
            <w:noWrap/>
            <w:vAlign w:val="bottom"/>
            <w:hideMark/>
          </w:tcPr>
          <w:p w14:paraId="7548DA85" w14:textId="14BBF2A1"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6F41309" w14:textId="08AEE0EB"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C8AF757" w14:textId="27D957A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A3FB1DA" w14:textId="430DCD57"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5896CB97" w14:textId="1637FE23"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2C0D4011" w14:textId="685FDAAC" w:rsidR="00D8302C" w:rsidRPr="005B54EE" w:rsidRDefault="00D8302C" w:rsidP="00D8302C">
            <w:pPr>
              <w:jc w:val="right"/>
              <w:rPr>
                <w:rFonts w:ascii="Times New Roman" w:hAnsi="Times New Roman"/>
                <w:sz w:val="14"/>
                <w:szCs w:val="18"/>
              </w:rPr>
            </w:pPr>
            <w:r w:rsidRPr="005B54EE">
              <w:rPr>
                <w:sz w:val="14"/>
              </w:rPr>
              <w:t>3179,77</w:t>
            </w:r>
          </w:p>
        </w:tc>
      </w:tr>
      <w:tr w:rsidR="00D8302C" w:rsidRPr="005B54EE" w14:paraId="39917E55"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2FE6C56" w14:textId="1E2B6F50" w:rsidR="00D8302C" w:rsidRPr="005B54EE" w:rsidRDefault="00D8302C" w:rsidP="00D8302C">
            <w:pPr>
              <w:jc w:val="left"/>
              <w:rPr>
                <w:rFonts w:ascii="Times New Roman" w:hAnsi="Times New Roman"/>
                <w:sz w:val="14"/>
                <w:szCs w:val="18"/>
              </w:rPr>
            </w:pPr>
            <w:r w:rsidRPr="005B54EE">
              <w:rPr>
                <w:rFonts w:ascii="Times New Roman" w:hAnsi="Times New Roman"/>
                <w:sz w:val="14"/>
              </w:rPr>
              <w:t xml:space="preserve">C. </w:t>
            </w:r>
            <w:r w:rsidRPr="005B54EE">
              <w:t>CO</w:t>
            </w:r>
            <w:r w:rsidRPr="005B54EE">
              <w:rPr>
                <w:vertAlign w:val="subscript"/>
              </w:rPr>
              <w:t>2</w:t>
            </w:r>
            <w:r w:rsidRPr="005B54EE">
              <w:rPr>
                <w:rFonts w:ascii="Times New Roman" w:hAnsi="Times New Roman"/>
                <w:sz w:val="14"/>
              </w:rPr>
              <w:t xml:space="preserve"> transport and storage</w:t>
            </w:r>
          </w:p>
        </w:tc>
        <w:tc>
          <w:tcPr>
            <w:tcW w:w="914" w:type="dxa"/>
            <w:tcBorders>
              <w:top w:val="nil"/>
              <w:left w:val="nil"/>
              <w:bottom w:val="single" w:sz="4" w:space="0" w:color="auto"/>
              <w:right w:val="single" w:sz="4" w:space="0" w:color="auto"/>
            </w:tcBorders>
            <w:shd w:val="clear" w:color="000000" w:fill="CCFFFF"/>
            <w:noWrap/>
            <w:vAlign w:val="bottom"/>
            <w:hideMark/>
          </w:tcPr>
          <w:p w14:paraId="058F0D51" w14:textId="157C5922" w:rsidR="00D8302C" w:rsidRPr="005B54EE" w:rsidRDefault="00D8302C" w:rsidP="00D8302C">
            <w:pPr>
              <w:jc w:val="right"/>
              <w:rPr>
                <w:rFonts w:ascii="Times New Roman" w:hAnsi="Times New Roman"/>
                <w:sz w:val="14"/>
                <w:szCs w:val="18"/>
              </w:rPr>
            </w:pPr>
            <w:r w:rsidRPr="005B54EE">
              <w:rPr>
                <w:sz w:val="14"/>
              </w:rPr>
              <w:t>NO,NA</w:t>
            </w:r>
          </w:p>
        </w:tc>
        <w:tc>
          <w:tcPr>
            <w:tcW w:w="820" w:type="dxa"/>
            <w:tcBorders>
              <w:top w:val="nil"/>
              <w:left w:val="nil"/>
              <w:bottom w:val="single" w:sz="4" w:space="0" w:color="auto"/>
              <w:right w:val="single" w:sz="4" w:space="0" w:color="auto"/>
            </w:tcBorders>
            <w:shd w:val="clear" w:color="000000" w:fill="969696"/>
            <w:noWrap/>
            <w:vAlign w:val="bottom"/>
            <w:hideMark/>
          </w:tcPr>
          <w:p w14:paraId="5BFE8962" w14:textId="2769FEB5"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4EE94DD7" w14:textId="1A58132C"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75C17C1" w14:textId="324DD512"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3084178" w14:textId="1FCC6991"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EC48A2E" w14:textId="4D367675"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4F61500" w14:textId="57033C77"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7F907870" w14:textId="7FFEC56D"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4695FEA" w14:textId="60B19ACE" w:rsidR="00D8302C" w:rsidRPr="005B54EE" w:rsidRDefault="00D8302C" w:rsidP="00D8302C">
            <w:pPr>
              <w:jc w:val="right"/>
              <w:rPr>
                <w:rFonts w:ascii="Times New Roman" w:hAnsi="Times New Roman"/>
                <w:sz w:val="14"/>
                <w:szCs w:val="18"/>
              </w:rPr>
            </w:pPr>
            <w:r w:rsidRPr="005B54EE">
              <w:rPr>
                <w:sz w:val="14"/>
              </w:rPr>
              <w:t>NO,NA</w:t>
            </w:r>
          </w:p>
        </w:tc>
      </w:tr>
      <w:tr w:rsidR="00D8302C" w:rsidRPr="005B54EE" w14:paraId="31B4F7E2"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DA8530E" w14:textId="77777777" w:rsidR="00D8302C" w:rsidRPr="005B54EE" w:rsidRDefault="00D8302C" w:rsidP="00D8302C">
            <w:pPr>
              <w:jc w:val="left"/>
              <w:rPr>
                <w:rFonts w:ascii="Times New Roman" w:hAnsi="Times New Roman"/>
                <w:b/>
                <w:bCs/>
                <w:sz w:val="14"/>
                <w:szCs w:val="18"/>
              </w:rPr>
            </w:pPr>
            <w:r w:rsidRPr="005B54EE">
              <w:rPr>
                <w:rFonts w:ascii="Times New Roman" w:hAnsi="Times New Roman"/>
                <w:b/>
                <w:sz w:val="14"/>
              </w:rPr>
              <w:t>2.  Industrial processes and product use</w:t>
            </w:r>
          </w:p>
        </w:tc>
        <w:tc>
          <w:tcPr>
            <w:tcW w:w="914" w:type="dxa"/>
            <w:tcBorders>
              <w:top w:val="nil"/>
              <w:left w:val="nil"/>
              <w:bottom w:val="single" w:sz="4" w:space="0" w:color="auto"/>
              <w:right w:val="single" w:sz="4" w:space="0" w:color="auto"/>
            </w:tcBorders>
            <w:shd w:val="clear" w:color="000000" w:fill="CCFFFF"/>
            <w:noWrap/>
            <w:vAlign w:val="bottom"/>
            <w:hideMark/>
          </w:tcPr>
          <w:p w14:paraId="5D870132" w14:textId="6953EB4F" w:rsidR="00D8302C" w:rsidRPr="005B54EE" w:rsidRDefault="00D8302C" w:rsidP="00D8302C">
            <w:pPr>
              <w:jc w:val="right"/>
              <w:rPr>
                <w:rFonts w:ascii="Times New Roman" w:hAnsi="Times New Roman"/>
                <w:sz w:val="14"/>
                <w:szCs w:val="18"/>
              </w:rPr>
            </w:pPr>
            <w:r w:rsidRPr="005B54EE">
              <w:rPr>
                <w:sz w:val="14"/>
              </w:rPr>
              <w:t>26755,88</w:t>
            </w:r>
          </w:p>
        </w:tc>
        <w:tc>
          <w:tcPr>
            <w:tcW w:w="820" w:type="dxa"/>
            <w:tcBorders>
              <w:top w:val="nil"/>
              <w:left w:val="nil"/>
              <w:bottom w:val="single" w:sz="4" w:space="0" w:color="auto"/>
              <w:right w:val="single" w:sz="4" w:space="0" w:color="auto"/>
            </w:tcBorders>
            <w:shd w:val="clear" w:color="000000" w:fill="CCFFFF"/>
            <w:noWrap/>
            <w:vAlign w:val="bottom"/>
            <w:hideMark/>
          </w:tcPr>
          <w:p w14:paraId="1F45D573" w14:textId="1BBE1A3C" w:rsidR="00D8302C" w:rsidRPr="005B54EE" w:rsidRDefault="00D8302C" w:rsidP="00D8302C">
            <w:pPr>
              <w:jc w:val="right"/>
              <w:rPr>
                <w:rFonts w:ascii="Times New Roman" w:hAnsi="Times New Roman"/>
                <w:sz w:val="14"/>
                <w:szCs w:val="18"/>
              </w:rPr>
            </w:pPr>
            <w:r w:rsidRPr="005B54EE">
              <w:rPr>
                <w:sz w:val="14"/>
              </w:rPr>
              <w:t>57,12</w:t>
            </w:r>
          </w:p>
        </w:tc>
        <w:tc>
          <w:tcPr>
            <w:tcW w:w="820" w:type="dxa"/>
            <w:tcBorders>
              <w:top w:val="nil"/>
              <w:left w:val="nil"/>
              <w:bottom w:val="single" w:sz="4" w:space="0" w:color="auto"/>
              <w:right w:val="single" w:sz="4" w:space="0" w:color="auto"/>
            </w:tcBorders>
            <w:shd w:val="clear" w:color="000000" w:fill="CCFFFF"/>
            <w:noWrap/>
            <w:vAlign w:val="bottom"/>
            <w:hideMark/>
          </w:tcPr>
          <w:p w14:paraId="551A6109" w14:textId="3505DFD2" w:rsidR="00D8302C" w:rsidRPr="005B54EE" w:rsidRDefault="00D8302C" w:rsidP="00D8302C">
            <w:pPr>
              <w:jc w:val="right"/>
              <w:rPr>
                <w:rFonts w:ascii="Times New Roman" w:hAnsi="Times New Roman"/>
                <w:sz w:val="14"/>
                <w:szCs w:val="18"/>
              </w:rPr>
            </w:pPr>
            <w:r w:rsidRPr="005B54EE">
              <w:rPr>
                <w:sz w:val="14"/>
              </w:rPr>
              <w:t>741,71</w:t>
            </w:r>
          </w:p>
        </w:tc>
        <w:tc>
          <w:tcPr>
            <w:tcW w:w="820" w:type="dxa"/>
            <w:tcBorders>
              <w:top w:val="nil"/>
              <w:left w:val="nil"/>
              <w:bottom w:val="single" w:sz="4" w:space="0" w:color="auto"/>
              <w:right w:val="single" w:sz="4" w:space="0" w:color="auto"/>
            </w:tcBorders>
            <w:shd w:val="clear" w:color="000000" w:fill="CCFFFF"/>
            <w:noWrap/>
            <w:vAlign w:val="bottom"/>
            <w:hideMark/>
          </w:tcPr>
          <w:p w14:paraId="70098250" w14:textId="67B057FC" w:rsidR="00D8302C" w:rsidRPr="005B54EE" w:rsidRDefault="00D8302C" w:rsidP="00D8302C">
            <w:pPr>
              <w:jc w:val="right"/>
              <w:rPr>
                <w:rFonts w:ascii="Times New Roman" w:hAnsi="Times New Roman"/>
                <w:sz w:val="14"/>
                <w:szCs w:val="18"/>
              </w:rPr>
            </w:pPr>
            <w:r w:rsidRPr="005B54EE">
              <w:rPr>
                <w:sz w:val="14"/>
              </w:rPr>
              <w:t>11735,32</w:t>
            </w:r>
          </w:p>
        </w:tc>
        <w:tc>
          <w:tcPr>
            <w:tcW w:w="723" w:type="dxa"/>
            <w:tcBorders>
              <w:top w:val="nil"/>
              <w:left w:val="nil"/>
              <w:bottom w:val="single" w:sz="4" w:space="0" w:color="auto"/>
              <w:right w:val="single" w:sz="4" w:space="0" w:color="auto"/>
            </w:tcBorders>
            <w:shd w:val="clear" w:color="000000" w:fill="CCFFFF"/>
            <w:noWrap/>
            <w:vAlign w:val="bottom"/>
            <w:hideMark/>
          </w:tcPr>
          <w:p w14:paraId="37D9346B" w14:textId="0522611F" w:rsidR="00D8302C" w:rsidRPr="005B54EE" w:rsidRDefault="00D8302C" w:rsidP="00D8302C">
            <w:pPr>
              <w:jc w:val="right"/>
              <w:rPr>
                <w:rFonts w:ascii="Times New Roman" w:hAnsi="Times New Roman"/>
                <w:sz w:val="14"/>
                <w:szCs w:val="18"/>
              </w:rPr>
            </w:pPr>
            <w:r w:rsidRPr="005B54EE">
              <w:rPr>
                <w:sz w:val="14"/>
              </w:rPr>
              <w:t>543,49</w:t>
            </w:r>
          </w:p>
        </w:tc>
        <w:tc>
          <w:tcPr>
            <w:tcW w:w="723" w:type="dxa"/>
            <w:tcBorders>
              <w:top w:val="nil"/>
              <w:left w:val="nil"/>
              <w:bottom w:val="single" w:sz="4" w:space="0" w:color="auto"/>
              <w:right w:val="single" w:sz="4" w:space="0" w:color="auto"/>
            </w:tcBorders>
            <w:shd w:val="clear" w:color="000000" w:fill="CCFFFF"/>
            <w:noWrap/>
            <w:vAlign w:val="bottom"/>
            <w:hideMark/>
          </w:tcPr>
          <w:p w14:paraId="22BCC25E" w14:textId="4A105D21" w:rsidR="00D8302C" w:rsidRPr="005B54EE" w:rsidRDefault="00D8302C" w:rsidP="00D8302C">
            <w:pPr>
              <w:jc w:val="right"/>
              <w:rPr>
                <w:rFonts w:ascii="Times New Roman" w:hAnsi="Times New Roman"/>
                <w:sz w:val="14"/>
                <w:szCs w:val="18"/>
              </w:rPr>
            </w:pPr>
            <w:r w:rsidRPr="005B54EE">
              <w:rPr>
                <w:sz w:val="14"/>
              </w:rPr>
              <w:t>346,60</w:t>
            </w:r>
          </w:p>
        </w:tc>
        <w:tc>
          <w:tcPr>
            <w:tcW w:w="1276" w:type="dxa"/>
            <w:tcBorders>
              <w:top w:val="nil"/>
              <w:left w:val="nil"/>
              <w:bottom w:val="single" w:sz="4" w:space="0" w:color="auto"/>
              <w:right w:val="single" w:sz="4" w:space="0" w:color="auto"/>
            </w:tcBorders>
            <w:shd w:val="clear" w:color="000000" w:fill="CCFFFF"/>
            <w:noWrap/>
            <w:vAlign w:val="bottom"/>
            <w:hideMark/>
          </w:tcPr>
          <w:p w14:paraId="3E794D4A" w14:textId="31DD2AFC" w:rsidR="00D8302C" w:rsidRPr="005B54EE" w:rsidRDefault="00D8302C" w:rsidP="00D8302C">
            <w:pPr>
              <w:jc w:val="right"/>
              <w:rPr>
                <w:rFonts w:ascii="Times New Roman" w:hAnsi="Times New Roman"/>
                <w:sz w:val="14"/>
                <w:szCs w:val="18"/>
              </w:rPr>
            </w:pPr>
            <w:r w:rsidRPr="005B54EE">
              <w:rPr>
                <w:sz w:val="14"/>
              </w:rPr>
              <w:t>NO,NA</w:t>
            </w:r>
          </w:p>
        </w:tc>
        <w:tc>
          <w:tcPr>
            <w:tcW w:w="580" w:type="dxa"/>
            <w:tcBorders>
              <w:top w:val="nil"/>
              <w:left w:val="nil"/>
              <w:bottom w:val="single" w:sz="4" w:space="0" w:color="auto"/>
              <w:right w:val="single" w:sz="4" w:space="0" w:color="auto"/>
            </w:tcBorders>
            <w:shd w:val="clear" w:color="000000" w:fill="CCFFFF"/>
            <w:noWrap/>
            <w:vAlign w:val="bottom"/>
            <w:hideMark/>
          </w:tcPr>
          <w:p w14:paraId="4E96F21D" w14:textId="41B74A31" w:rsidR="00D8302C" w:rsidRPr="005B54EE" w:rsidRDefault="00D8302C" w:rsidP="00D8302C">
            <w:pPr>
              <w:jc w:val="right"/>
              <w:rPr>
                <w:rFonts w:ascii="Times New Roman" w:hAnsi="Times New Roman"/>
                <w:sz w:val="14"/>
                <w:szCs w:val="18"/>
              </w:rPr>
            </w:pPr>
            <w:r w:rsidRPr="005B54EE">
              <w:rPr>
                <w:sz w:val="14"/>
              </w:rPr>
              <w:t>8,54</w:t>
            </w:r>
          </w:p>
        </w:tc>
        <w:tc>
          <w:tcPr>
            <w:tcW w:w="976" w:type="dxa"/>
            <w:tcBorders>
              <w:top w:val="nil"/>
              <w:left w:val="nil"/>
              <w:bottom w:val="single" w:sz="4" w:space="0" w:color="auto"/>
              <w:right w:val="single" w:sz="4" w:space="0" w:color="auto"/>
            </w:tcBorders>
            <w:shd w:val="clear" w:color="000000" w:fill="CCFFFF"/>
            <w:noWrap/>
            <w:vAlign w:val="bottom"/>
            <w:hideMark/>
          </w:tcPr>
          <w:p w14:paraId="0FD32166" w14:textId="12717F10" w:rsidR="00D8302C" w:rsidRPr="005B54EE" w:rsidRDefault="00D8302C" w:rsidP="00D8302C">
            <w:pPr>
              <w:jc w:val="right"/>
              <w:rPr>
                <w:rFonts w:ascii="Times New Roman" w:hAnsi="Times New Roman"/>
                <w:sz w:val="14"/>
                <w:szCs w:val="18"/>
              </w:rPr>
            </w:pPr>
            <w:r w:rsidRPr="005B54EE">
              <w:rPr>
                <w:sz w:val="14"/>
              </w:rPr>
              <w:t>40188,67</w:t>
            </w:r>
          </w:p>
        </w:tc>
      </w:tr>
      <w:tr w:rsidR="00D8302C" w:rsidRPr="005B54EE" w14:paraId="663F0874"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6966AED"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A.  Mineral industry</w:t>
            </w:r>
          </w:p>
        </w:tc>
        <w:tc>
          <w:tcPr>
            <w:tcW w:w="914" w:type="dxa"/>
            <w:tcBorders>
              <w:top w:val="nil"/>
              <w:left w:val="nil"/>
              <w:bottom w:val="single" w:sz="4" w:space="0" w:color="auto"/>
              <w:right w:val="single" w:sz="4" w:space="0" w:color="auto"/>
            </w:tcBorders>
            <w:shd w:val="clear" w:color="000000" w:fill="CCFFFF"/>
            <w:noWrap/>
            <w:vAlign w:val="bottom"/>
            <w:hideMark/>
          </w:tcPr>
          <w:p w14:paraId="5390C70F" w14:textId="3457B27D" w:rsidR="00D8302C" w:rsidRPr="005B54EE" w:rsidRDefault="00D8302C" w:rsidP="00D8302C">
            <w:pPr>
              <w:jc w:val="right"/>
              <w:rPr>
                <w:rFonts w:ascii="Times New Roman" w:hAnsi="Times New Roman"/>
                <w:sz w:val="14"/>
                <w:szCs w:val="18"/>
              </w:rPr>
            </w:pPr>
            <w:r w:rsidRPr="005B54EE">
              <w:rPr>
                <w:sz w:val="14"/>
              </w:rPr>
              <w:t>9082,96</w:t>
            </w:r>
          </w:p>
        </w:tc>
        <w:tc>
          <w:tcPr>
            <w:tcW w:w="820" w:type="dxa"/>
            <w:tcBorders>
              <w:top w:val="nil"/>
              <w:left w:val="nil"/>
              <w:bottom w:val="single" w:sz="4" w:space="0" w:color="auto"/>
              <w:right w:val="single" w:sz="4" w:space="0" w:color="auto"/>
            </w:tcBorders>
            <w:shd w:val="clear" w:color="000000" w:fill="969696"/>
            <w:noWrap/>
            <w:vAlign w:val="bottom"/>
            <w:hideMark/>
          </w:tcPr>
          <w:p w14:paraId="743176CB" w14:textId="46BF3C4A"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8A73C9D" w14:textId="00DE4C05"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32CD180C" w14:textId="6E7EC43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1204301" w14:textId="56C12893"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DB72B25" w14:textId="33E8263D"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6FF039C" w14:textId="361781E7"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03A3C76" w14:textId="19FF99ED"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552E249A" w14:textId="6971E9B1" w:rsidR="00D8302C" w:rsidRPr="005B54EE" w:rsidRDefault="00D8302C" w:rsidP="00D8302C">
            <w:pPr>
              <w:jc w:val="right"/>
              <w:rPr>
                <w:rFonts w:ascii="Times New Roman" w:hAnsi="Times New Roman"/>
                <w:sz w:val="14"/>
                <w:szCs w:val="18"/>
              </w:rPr>
            </w:pPr>
            <w:r w:rsidRPr="005B54EE">
              <w:rPr>
                <w:sz w:val="14"/>
              </w:rPr>
              <w:t>9082,96</w:t>
            </w:r>
          </w:p>
        </w:tc>
      </w:tr>
      <w:tr w:rsidR="00D8302C" w:rsidRPr="005B54EE" w14:paraId="06E7B6F9"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B343092"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B.  Chemical industry</w:t>
            </w:r>
          </w:p>
        </w:tc>
        <w:tc>
          <w:tcPr>
            <w:tcW w:w="914" w:type="dxa"/>
            <w:tcBorders>
              <w:top w:val="nil"/>
              <w:left w:val="nil"/>
              <w:bottom w:val="single" w:sz="4" w:space="0" w:color="auto"/>
              <w:right w:val="single" w:sz="4" w:space="0" w:color="auto"/>
            </w:tcBorders>
            <w:shd w:val="clear" w:color="000000" w:fill="CCFFFF"/>
            <w:noWrap/>
            <w:vAlign w:val="bottom"/>
            <w:hideMark/>
          </w:tcPr>
          <w:p w14:paraId="3C381021" w14:textId="0E2E640F" w:rsidR="00D8302C" w:rsidRPr="005B54EE" w:rsidRDefault="00D8302C" w:rsidP="00D8302C">
            <w:pPr>
              <w:jc w:val="right"/>
              <w:rPr>
                <w:rFonts w:ascii="Times New Roman" w:hAnsi="Times New Roman"/>
                <w:sz w:val="14"/>
                <w:szCs w:val="18"/>
              </w:rPr>
            </w:pPr>
            <w:r w:rsidRPr="005B54EE">
              <w:rPr>
                <w:sz w:val="14"/>
              </w:rPr>
              <w:t>6282,91</w:t>
            </w:r>
          </w:p>
        </w:tc>
        <w:tc>
          <w:tcPr>
            <w:tcW w:w="820" w:type="dxa"/>
            <w:tcBorders>
              <w:top w:val="nil"/>
              <w:left w:val="nil"/>
              <w:bottom w:val="single" w:sz="4" w:space="0" w:color="auto"/>
              <w:right w:val="single" w:sz="4" w:space="0" w:color="auto"/>
            </w:tcBorders>
            <w:shd w:val="clear" w:color="000000" w:fill="CCFFFF"/>
            <w:noWrap/>
            <w:vAlign w:val="bottom"/>
            <w:hideMark/>
          </w:tcPr>
          <w:p w14:paraId="4DCF9994" w14:textId="27BEED45" w:rsidR="00D8302C" w:rsidRPr="005B54EE" w:rsidRDefault="00D8302C" w:rsidP="00D8302C">
            <w:pPr>
              <w:jc w:val="right"/>
              <w:rPr>
                <w:rFonts w:ascii="Times New Roman" w:hAnsi="Times New Roman"/>
                <w:sz w:val="14"/>
                <w:szCs w:val="18"/>
              </w:rPr>
            </w:pPr>
            <w:r w:rsidRPr="005B54EE">
              <w:rPr>
                <w:sz w:val="14"/>
              </w:rPr>
              <w:t>31,24</w:t>
            </w:r>
          </w:p>
        </w:tc>
        <w:tc>
          <w:tcPr>
            <w:tcW w:w="820" w:type="dxa"/>
            <w:tcBorders>
              <w:top w:val="nil"/>
              <w:left w:val="nil"/>
              <w:bottom w:val="single" w:sz="4" w:space="0" w:color="auto"/>
              <w:right w:val="single" w:sz="4" w:space="0" w:color="auto"/>
            </w:tcBorders>
            <w:shd w:val="clear" w:color="000000" w:fill="CCFFFF"/>
            <w:noWrap/>
            <w:vAlign w:val="bottom"/>
            <w:hideMark/>
          </w:tcPr>
          <w:p w14:paraId="3043A992" w14:textId="5C924982" w:rsidR="00D8302C" w:rsidRPr="005B54EE" w:rsidRDefault="00D8302C" w:rsidP="00D8302C">
            <w:pPr>
              <w:jc w:val="right"/>
              <w:rPr>
                <w:rFonts w:ascii="Times New Roman" w:hAnsi="Times New Roman"/>
                <w:sz w:val="14"/>
                <w:szCs w:val="18"/>
              </w:rPr>
            </w:pPr>
            <w:r w:rsidRPr="005B54EE">
              <w:rPr>
                <w:sz w:val="14"/>
              </w:rPr>
              <w:t>606,27</w:t>
            </w:r>
          </w:p>
        </w:tc>
        <w:tc>
          <w:tcPr>
            <w:tcW w:w="820" w:type="dxa"/>
            <w:tcBorders>
              <w:top w:val="nil"/>
              <w:left w:val="nil"/>
              <w:bottom w:val="single" w:sz="4" w:space="0" w:color="auto"/>
              <w:right w:val="single" w:sz="4" w:space="0" w:color="auto"/>
            </w:tcBorders>
            <w:shd w:val="clear" w:color="000000" w:fill="CCFFFF"/>
            <w:noWrap/>
            <w:vAlign w:val="bottom"/>
            <w:hideMark/>
          </w:tcPr>
          <w:p w14:paraId="2ECD019C" w14:textId="6BF82422" w:rsidR="00D8302C" w:rsidRPr="005B54EE" w:rsidRDefault="00D8302C" w:rsidP="00D8302C">
            <w:pPr>
              <w:jc w:val="right"/>
              <w:rPr>
                <w:rFonts w:ascii="Times New Roman" w:hAnsi="Times New Roman"/>
                <w:sz w:val="14"/>
                <w:szCs w:val="18"/>
              </w:rPr>
            </w:pPr>
            <w:r w:rsidRPr="005B54EE">
              <w:rPr>
                <w:sz w:val="14"/>
              </w:rPr>
              <w:t>94,45</w:t>
            </w:r>
          </w:p>
        </w:tc>
        <w:tc>
          <w:tcPr>
            <w:tcW w:w="723" w:type="dxa"/>
            <w:tcBorders>
              <w:top w:val="nil"/>
              <w:left w:val="nil"/>
              <w:bottom w:val="single" w:sz="4" w:space="0" w:color="auto"/>
              <w:right w:val="single" w:sz="4" w:space="0" w:color="auto"/>
            </w:tcBorders>
            <w:shd w:val="clear" w:color="000000" w:fill="CCFFFF"/>
            <w:noWrap/>
            <w:vAlign w:val="bottom"/>
            <w:hideMark/>
          </w:tcPr>
          <w:p w14:paraId="09C380A9" w14:textId="72D5AA8A" w:rsidR="00D8302C" w:rsidRPr="005B54EE" w:rsidRDefault="00D8302C" w:rsidP="00D8302C">
            <w:pPr>
              <w:jc w:val="right"/>
              <w:rPr>
                <w:rFonts w:ascii="Times New Roman" w:hAnsi="Times New Roman"/>
                <w:sz w:val="14"/>
                <w:szCs w:val="18"/>
              </w:rPr>
            </w:pPr>
            <w:r w:rsidRPr="005B54EE">
              <w:rPr>
                <w:sz w:val="14"/>
              </w:rPr>
              <w:t>NO,NA</w:t>
            </w:r>
          </w:p>
        </w:tc>
        <w:tc>
          <w:tcPr>
            <w:tcW w:w="723" w:type="dxa"/>
            <w:tcBorders>
              <w:top w:val="nil"/>
              <w:left w:val="nil"/>
              <w:bottom w:val="single" w:sz="4" w:space="0" w:color="auto"/>
              <w:right w:val="single" w:sz="4" w:space="0" w:color="auto"/>
            </w:tcBorders>
            <w:shd w:val="clear" w:color="000000" w:fill="CCFFFF"/>
            <w:noWrap/>
            <w:vAlign w:val="bottom"/>
            <w:hideMark/>
          </w:tcPr>
          <w:p w14:paraId="2C2B95B5" w14:textId="33351329" w:rsidR="00D8302C" w:rsidRPr="005B54EE" w:rsidRDefault="00D8302C" w:rsidP="00D8302C">
            <w:pPr>
              <w:jc w:val="right"/>
              <w:rPr>
                <w:rFonts w:ascii="Times New Roman" w:hAnsi="Times New Roman"/>
                <w:sz w:val="14"/>
                <w:szCs w:val="18"/>
              </w:rPr>
            </w:pPr>
            <w:r w:rsidRPr="005B54EE">
              <w:rPr>
                <w:sz w:val="14"/>
              </w:rPr>
              <w:t>NO,NA</w:t>
            </w:r>
          </w:p>
        </w:tc>
        <w:tc>
          <w:tcPr>
            <w:tcW w:w="1276" w:type="dxa"/>
            <w:tcBorders>
              <w:top w:val="nil"/>
              <w:left w:val="nil"/>
              <w:bottom w:val="single" w:sz="4" w:space="0" w:color="auto"/>
              <w:right w:val="single" w:sz="4" w:space="0" w:color="auto"/>
            </w:tcBorders>
            <w:shd w:val="clear" w:color="000000" w:fill="CCFFFF"/>
            <w:noWrap/>
            <w:vAlign w:val="bottom"/>
            <w:hideMark/>
          </w:tcPr>
          <w:p w14:paraId="1F1B1114" w14:textId="53CF4AF5" w:rsidR="00D8302C" w:rsidRPr="005B54EE" w:rsidRDefault="00D8302C" w:rsidP="00D8302C">
            <w:pPr>
              <w:jc w:val="right"/>
              <w:rPr>
                <w:rFonts w:ascii="Times New Roman" w:hAnsi="Times New Roman"/>
                <w:sz w:val="14"/>
                <w:szCs w:val="18"/>
              </w:rPr>
            </w:pPr>
            <w:r w:rsidRPr="005B54EE">
              <w:rPr>
                <w:sz w:val="14"/>
              </w:rPr>
              <w:t>NO,NA</w:t>
            </w:r>
          </w:p>
        </w:tc>
        <w:tc>
          <w:tcPr>
            <w:tcW w:w="580" w:type="dxa"/>
            <w:tcBorders>
              <w:top w:val="nil"/>
              <w:left w:val="nil"/>
              <w:bottom w:val="single" w:sz="4" w:space="0" w:color="auto"/>
              <w:right w:val="single" w:sz="4" w:space="0" w:color="auto"/>
            </w:tcBorders>
            <w:shd w:val="clear" w:color="000000" w:fill="CCFFFF"/>
            <w:noWrap/>
            <w:vAlign w:val="bottom"/>
            <w:hideMark/>
          </w:tcPr>
          <w:p w14:paraId="6C6AFB50" w14:textId="68BA4E8E" w:rsidR="00D8302C" w:rsidRPr="005B54EE" w:rsidRDefault="00D8302C" w:rsidP="00D8302C">
            <w:pPr>
              <w:jc w:val="right"/>
              <w:rPr>
                <w:rFonts w:ascii="Times New Roman" w:hAnsi="Times New Roman"/>
                <w:sz w:val="14"/>
                <w:szCs w:val="18"/>
              </w:rPr>
            </w:pPr>
            <w:r w:rsidRPr="005B54EE">
              <w:rPr>
                <w:sz w:val="14"/>
              </w:rPr>
              <w:t>NO,NA</w:t>
            </w:r>
          </w:p>
        </w:tc>
        <w:tc>
          <w:tcPr>
            <w:tcW w:w="976" w:type="dxa"/>
            <w:tcBorders>
              <w:top w:val="nil"/>
              <w:left w:val="nil"/>
              <w:bottom w:val="single" w:sz="4" w:space="0" w:color="auto"/>
              <w:right w:val="single" w:sz="4" w:space="0" w:color="auto"/>
            </w:tcBorders>
            <w:shd w:val="clear" w:color="000000" w:fill="CCFFFF"/>
            <w:noWrap/>
            <w:vAlign w:val="bottom"/>
            <w:hideMark/>
          </w:tcPr>
          <w:p w14:paraId="5F381E1A" w14:textId="03CCCE28" w:rsidR="00D8302C" w:rsidRPr="005B54EE" w:rsidRDefault="00D8302C" w:rsidP="00D8302C">
            <w:pPr>
              <w:jc w:val="right"/>
              <w:rPr>
                <w:rFonts w:ascii="Times New Roman" w:hAnsi="Times New Roman"/>
                <w:sz w:val="14"/>
                <w:szCs w:val="18"/>
              </w:rPr>
            </w:pPr>
            <w:r w:rsidRPr="005B54EE">
              <w:rPr>
                <w:sz w:val="14"/>
              </w:rPr>
              <w:t>7014,86</w:t>
            </w:r>
          </w:p>
        </w:tc>
      </w:tr>
      <w:tr w:rsidR="00D8302C" w:rsidRPr="005B54EE" w14:paraId="515796EF"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26314AD"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C.  Metal industry</w:t>
            </w:r>
          </w:p>
        </w:tc>
        <w:tc>
          <w:tcPr>
            <w:tcW w:w="914" w:type="dxa"/>
            <w:tcBorders>
              <w:top w:val="nil"/>
              <w:left w:val="nil"/>
              <w:bottom w:val="single" w:sz="4" w:space="0" w:color="auto"/>
              <w:right w:val="single" w:sz="4" w:space="0" w:color="auto"/>
            </w:tcBorders>
            <w:shd w:val="clear" w:color="000000" w:fill="CCFFFF"/>
            <w:noWrap/>
            <w:vAlign w:val="bottom"/>
            <w:hideMark/>
          </w:tcPr>
          <w:p w14:paraId="2E1CD663" w14:textId="1769FA72" w:rsidR="00D8302C" w:rsidRPr="005B54EE" w:rsidRDefault="00D8302C" w:rsidP="00D8302C">
            <w:pPr>
              <w:jc w:val="right"/>
              <w:rPr>
                <w:rFonts w:ascii="Times New Roman" w:hAnsi="Times New Roman"/>
                <w:sz w:val="14"/>
                <w:szCs w:val="18"/>
              </w:rPr>
            </w:pPr>
            <w:r w:rsidRPr="005B54EE">
              <w:rPr>
                <w:sz w:val="14"/>
              </w:rPr>
              <w:t>9862,56</w:t>
            </w:r>
          </w:p>
        </w:tc>
        <w:tc>
          <w:tcPr>
            <w:tcW w:w="820" w:type="dxa"/>
            <w:tcBorders>
              <w:top w:val="nil"/>
              <w:left w:val="nil"/>
              <w:bottom w:val="single" w:sz="4" w:space="0" w:color="auto"/>
              <w:right w:val="single" w:sz="4" w:space="0" w:color="auto"/>
            </w:tcBorders>
            <w:shd w:val="clear" w:color="000000" w:fill="CCFFFF"/>
            <w:noWrap/>
            <w:vAlign w:val="bottom"/>
            <w:hideMark/>
          </w:tcPr>
          <w:p w14:paraId="23596DE2" w14:textId="0A23E437" w:rsidR="00D8302C" w:rsidRPr="005B54EE" w:rsidRDefault="00D8302C" w:rsidP="00D8302C">
            <w:pPr>
              <w:jc w:val="right"/>
              <w:rPr>
                <w:rFonts w:ascii="Times New Roman" w:hAnsi="Times New Roman"/>
                <w:sz w:val="14"/>
                <w:szCs w:val="18"/>
              </w:rPr>
            </w:pPr>
            <w:r w:rsidRPr="005B54EE">
              <w:rPr>
                <w:sz w:val="14"/>
              </w:rPr>
              <w:t>25,64</w:t>
            </w:r>
          </w:p>
        </w:tc>
        <w:tc>
          <w:tcPr>
            <w:tcW w:w="820" w:type="dxa"/>
            <w:tcBorders>
              <w:top w:val="nil"/>
              <w:left w:val="nil"/>
              <w:bottom w:val="single" w:sz="4" w:space="0" w:color="auto"/>
              <w:right w:val="single" w:sz="4" w:space="0" w:color="auto"/>
            </w:tcBorders>
            <w:shd w:val="clear" w:color="000000" w:fill="CCFFFF"/>
            <w:noWrap/>
            <w:vAlign w:val="bottom"/>
            <w:hideMark/>
          </w:tcPr>
          <w:p w14:paraId="38D94062" w14:textId="1E35D45C"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0187BBCF" w14:textId="0787407E" w:rsidR="00D8302C" w:rsidRPr="005B54EE" w:rsidRDefault="00D8302C" w:rsidP="00D8302C">
            <w:pPr>
              <w:jc w:val="right"/>
              <w:rPr>
                <w:rFonts w:ascii="Times New Roman" w:hAnsi="Times New Roman"/>
                <w:sz w:val="14"/>
                <w:szCs w:val="18"/>
              </w:rPr>
            </w:pPr>
            <w:r w:rsidRPr="005B54EE">
              <w:rPr>
                <w:sz w:val="14"/>
              </w:rPr>
              <w:t>NO,IE</w:t>
            </w:r>
          </w:p>
        </w:tc>
        <w:tc>
          <w:tcPr>
            <w:tcW w:w="723" w:type="dxa"/>
            <w:tcBorders>
              <w:top w:val="nil"/>
              <w:left w:val="nil"/>
              <w:bottom w:val="single" w:sz="4" w:space="0" w:color="auto"/>
              <w:right w:val="single" w:sz="4" w:space="0" w:color="auto"/>
            </w:tcBorders>
            <w:shd w:val="clear" w:color="000000" w:fill="CCFFFF"/>
            <w:noWrap/>
            <w:vAlign w:val="bottom"/>
            <w:hideMark/>
          </w:tcPr>
          <w:p w14:paraId="4F3C9D42" w14:textId="29FC1FF7" w:rsidR="00D8302C" w:rsidRPr="005B54EE" w:rsidRDefault="00D8302C" w:rsidP="00D8302C">
            <w:pPr>
              <w:jc w:val="right"/>
              <w:rPr>
                <w:rFonts w:ascii="Times New Roman" w:hAnsi="Times New Roman"/>
                <w:sz w:val="14"/>
                <w:szCs w:val="18"/>
              </w:rPr>
            </w:pPr>
            <w:r w:rsidRPr="005B54EE">
              <w:rPr>
                <w:sz w:val="14"/>
              </w:rPr>
              <w:t>61,33</w:t>
            </w:r>
          </w:p>
        </w:tc>
        <w:tc>
          <w:tcPr>
            <w:tcW w:w="723" w:type="dxa"/>
            <w:tcBorders>
              <w:top w:val="nil"/>
              <w:left w:val="nil"/>
              <w:bottom w:val="single" w:sz="4" w:space="0" w:color="auto"/>
              <w:right w:val="single" w:sz="4" w:space="0" w:color="auto"/>
            </w:tcBorders>
            <w:shd w:val="clear" w:color="000000" w:fill="CCFFFF"/>
            <w:noWrap/>
            <w:vAlign w:val="bottom"/>
            <w:hideMark/>
          </w:tcPr>
          <w:p w14:paraId="6369DB7F" w14:textId="1C448577" w:rsidR="00D8302C" w:rsidRPr="005B54EE" w:rsidRDefault="00D8302C" w:rsidP="00D8302C">
            <w:pPr>
              <w:jc w:val="right"/>
              <w:rPr>
                <w:rFonts w:ascii="Times New Roman" w:hAnsi="Times New Roman"/>
                <w:sz w:val="14"/>
                <w:szCs w:val="18"/>
              </w:rPr>
            </w:pPr>
            <w:r w:rsidRPr="005B54EE">
              <w:rPr>
                <w:sz w:val="14"/>
              </w:rPr>
              <w:t>7,66</w:t>
            </w:r>
          </w:p>
        </w:tc>
        <w:tc>
          <w:tcPr>
            <w:tcW w:w="1276" w:type="dxa"/>
            <w:tcBorders>
              <w:top w:val="nil"/>
              <w:left w:val="nil"/>
              <w:bottom w:val="single" w:sz="4" w:space="0" w:color="auto"/>
              <w:right w:val="single" w:sz="4" w:space="0" w:color="auto"/>
            </w:tcBorders>
            <w:shd w:val="clear" w:color="000000" w:fill="CCFFFF"/>
            <w:noWrap/>
            <w:vAlign w:val="bottom"/>
            <w:hideMark/>
          </w:tcPr>
          <w:p w14:paraId="6F16795D" w14:textId="03AB810E" w:rsidR="00D8302C" w:rsidRPr="005B54EE" w:rsidRDefault="00D8302C" w:rsidP="00D8302C">
            <w:pPr>
              <w:jc w:val="right"/>
              <w:rPr>
                <w:rFonts w:ascii="Times New Roman" w:hAnsi="Times New Roman"/>
                <w:sz w:val="14"/>
                <w:szCs w:val="18"/>
              </w:rPr>
            </w:pPr>
            <w:r w:rsidRPr="005B54EE">
              <w:rPr>
                <w:sz w:val="14"/>
              </w:rPr>
              <w:t>NO</w:t>
            </w:r>
          </w:p>
        </w:tc>
        <w:tc>
          <w:tcPr>
            <w:tcW w:w="580" w:type="dxa"/>
            <w:tcBorders>
              <w:top w:val="nil"/>
              <w:left w:val="nil"/>
              <w:bottom w:val="single" w:sz="4" w:space="0" w:color="auto"/>
              <w:right w:val="single" w:sz="4" w:space="0" w:color="auto"/>
            </w:tcBorders>
            <w:shd w:val="clear" w:color="000000" w:fill="CCFFFF"/>
            <w:noWrap/>
            <w:vAlign w:val="bottom"/>
            <w:hideMark/>
          </w:tcPr>
          <w:p w14:paraId="4C3AEA02" w14:textId="605C6EBC"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0B302712" w14:textId="083DF589" w:rsidR="00D8302C" w:rsidRPr="005B54EE" w:rsidRDefault="00D8302C" w:rsidP="00D8302C">
            <w:pPr>
              <w:jc w:val="right"/>
              <w:rPr>
                <w:rFonts w:ascii="Times New Roman" w:hAnsi="Times New Roman"/>
                <w:sz w:val="14"/>
                <w:szCs w:val="18"/>
              </w:rPr>
            </w:pPr>
            <w:r w:rsidRPr="005B54EE">
              <w:rPr>
                <w:sz w:val="14"/>
              </w:rPr>
              <w:t>9957,18</w:t>
            </w:r>
          </w:p>
        </w:tc>
      </w:tr>
      <w:tr w:rsidR="00D8302C" w:rsidRPr="005B54EE" w14:paraId="5CFDACF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28462DE9"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D.  Non-energy products from fuels and solvent use</w:t>
            </w:r>
          </w:p>
        </w:tc>
        <w:tc>
          <w:tcPr>
            <w:tcW w:w="914" w:type="dxa"/>
            <w:tcBorders>
              <w:top w:val="nil"/>
              <w:left w:val="nil"/>
              <w:bottom w:val="single" w:sz="4" w:space="0" w:color="auto"/>
              <w:right w:val="single" w:sz="4" w:space="0" w:color="auto"/>
            </w:tcBorders>
            <w:shd w:val="clear" w:color="000000" w:fill="CCFFFF"/>
            <w:noWrap/>
            <w:vAlign w:val="bottom"/>
            <w:hideMark/>
          </w:tcPr>
          <w:p w14:paraId="275C0A61" w14:textId="68231B07" w:rsidR="00D8302C" w:rsidRPr="005B54EE" w:rsidRDefault="00D8302C" w:rsidP="00D8302C">
            <w:pPr>
              <w:jc w:val="right"/>
              <w:rPr>
                <w:rFonts w:ascii="Times New Roman" w:hAnsi="Times New Roman"/>
                <w:sz w:val="14"/>
                <w:szCs w:val="18"/>
              </w:rPr>
            </w:pPr>
            <w:r w:rsidRPr="005B54EE">
              <w:rPr>
                <w:sz w:val="14"/>
              </w:rPr>
              <w:t>1067,63</w:t>
            </w:r>
          </w:p>
        </w:tc>
        <w:tc>
          <w:tcPr>
            <w:tcW w:w="820" w:type="dxa"/>
            <w:tcBorders>
              <w:top w:val="nil"/>
              <w:left w:val="nil"/>
              <w:bottom w:val="single" w:sz="4" w:space="0" w:color="auto"/>
              <w:right w:val="single" w:sz="4" w:space="0" w:color="auto"/>
            </w:tcBorders>
            <w:shd w:val="clear" w:color="000000" w:fill="CCFFFF"/>
            <w:noWrap/>
            <w:vAlign w:val="bottom"/>
            <w:hideMark/>
          </w:tcPr>
          <w:p w14:paraId="1106F0B3" w14:textId="5734EF72" w:rsidR="00D8302C" w:rsidRPr="005B54EE" w:rsidRDefault="00D8302C" w:rsidP="00D8302C">
            <w:pPr>
              <w:jc w:val="right"/>
              <w:rPr>
                <w:rFonts w:ascii="Times New Roman" w:hAnsi="Times New Roman"/>
                <w:sz w:val="14"/>
                <w:szCs w:val="18"/>
              </w:rPr>
            </w:pPr>
            <w:r w:rsidRPr="005B54EE">
              <w:rPr>
                <w:sz w:val="14"/>
              </w:rPr>
              <w:t>0,24</w:t>
            </w:r>
          </w:p>
        </w:tc>
        <w:tc>
          <w:tcPr>
            <w:tcW w:w="820" w:type="dxa"/>
            <w:tcBorders>
              <w:top w:val="nil"/>
              <w:left w:val="nil"/>
              <w:bottom w:val="single" w:sz="4" w:space="0" w:color="auto"/>
              <w:right w:val="single" w:sz="4" w:space="0" w:color="auto"/>
            </w:tcBorders>
            <w:shd w:val="clear" w:color="000000" w:fill="CCFFFF"/>
            <w:noWrap/>
            <w:vAlign w:val="bottom"/>
            <w:hideMark/>
          </w:tcPr>
          <w:p w14:paraId="524CC51D" w14:textId="48E27634" w:rsidR="00D8302C" w:rsidRPr="005B54EE" w:rsidRDefault="00D8302C" w:rsidP="00D8302C">
            <w:pPr>
              <w:jc w:val="right"/>
              <w:rPr>
                <w:rFonts w:ascii="Times New Roman" w:hAnsi="Times New Roman"/>
                <w:sz w:val="14"/>
                <w:szCs w:val="18"/>
              </w:rPr>
            </w:pPr>
            <w:r w:rsidRPr="005B54EE">
              <w:rPr>
                <w:sz w:val="14"/>
              </w:rPr>
              <w:t>2,01</w:t>
            </w:r>
          </w:p>
        </w:tc>
        <w:tc>
          <w:tcPr>
            <w:tcW w:w="820" w:type="dxa"/>
            <w:tcBorders>
              <w:top w:val="nil"/>
              <w:left w:val="nil"/>
              <w:bottom w:val="single" w:sz="4" w:space="0" w:color="auto"/>
              <w:right w:val="single" w:sz="4" w:space="0" w:color="auto"/>
            </w:tcBorders>
            <w:shd w:val="clear" w:color="000000" w:fill="969696"/>
            <w:noWrap/>
            <w:vAlign w:val="bottom"/>
            <w:hideMark/>
          </w:tcPr>
          <w:p w14:paraId="6632CB51" w14:textId="74608EF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5AEBDD7" w14:textId="7A18C35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BB5ABA8" w14:textId="2068D04C"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38741F7" w14:textId="0CDBC8B9"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56FA9D2F" w14:textId="0EB6F0FD"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76D08F6" w14:textId="2BC4AA78" w:rsidR="00D8302C" w:rsidRPr="005B54EE" w:rsidRDefault="00D8302C" w:rsidP="00D8302C">
            <w:pPr>
              <w:jc w:val="right"/>
              <w:rPr>
                <w:rFonts w:ascii="Times New Roman" w:hAnsi="Times New Roman"/>
                <w:sz w:val="14"/>
                <w:szCs w:val="18"/>
              </w:rPr>
            </w:pPr>
            <w:r w:rsidRPr="005B54EE">
              <w:rPr>
                <w:sz w:val="14"/>
              </w:rPr>
              <w:t>1069,88</w:t>
            </w:r>
          </w:p>
        </w:tc>
      </w:tr>
      <w:tr w:rsidR="00D8302C" w:rsidRPr="005B54EE" w14:paraId="791AE77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0AE26E22"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 xml:space="preserve">E.  Electronic Industry </w:t>
            </w:r>
          </w:p>
        </w:tc>
        <w:tc>
          <w:tcPr>
            <w:tcW w:w="914" w:type="dxa"/>
            <w:tcBorders>
              <w:top w:val="nil"/>
              <w:left w:val="nil"/>
              <w:bottom w:val="single" w:sz="4" w:space="0" w:color="auto"/>
              <w:right w:val="single" w:sz="4" w:space="0" w:color="auto"/>
            </w:tcBorders>
            <w:shd w:val="clear" w:color="000000" w:fill="969696"/>
            <w:noWrap/>
            <w:vAlign w:val="bottom"/>
            <w:hideMark/>
          </w:tcPr>
          <w:p w14:paraId="2BA7CA5F" w14:textId="68FAC71F"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5F0B64F1" w14:textId="1797F0C5"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532C67DD" w14:textId="0313FD1E"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69995BDB" w14:textId="6BF9524A" w:rsidR="00D8302C" w:rsidRPr="005B54EE" w:rsidRDefault="00D8302C" w:rsidP="00D8302C">
            <w:pPr>
              <w:jc w:val="right"/>
              <w:rPr>
                <w:rFonts w:ascii="Times New Roman" w:hAnsi="Times New Roman"/>
                <w:sz w:val="14"/>
                <w:szCs w:val="18"/>
              </w:rPr>
            </w:pPr>
            <w:r w:rsidRPr="005B54EE">
              <w:rPr>
                <w:sz w:val="14"/>
              </w:rPr>
              <w:t>6,62</w:t>
            </w:r>
          </w:p>
        </w:tc>
        <w:tc>
          <w:tcPr>
            <w:tcW w:w="723" w:type="dxa"/>
            <w:tcBorders>
              <w:top w:val="nil"/>
              <w:left w:val="nil"/>
              <w:bottom w:val="single" w:sz="4" w:space="0" w:color="auto"/>
              <w:right w:val="single" w:sz="4" w:space="0" w:color="auto"/>
            </w:tcBorders>
            <w:shd w:val="clear" w:color="000000" w:fill="CCFFFF"/>
            <w:noWrap/>
            <w:vAlign w:val="bottom"/>
            <w:hideMark/>
          </w:tcPr>
          <w:p w14:paraId="3B65C0D8" w14:textId="0B9185CF" w:rsidR="00D8302C" w:rsidRPr="005B54EE" w:rsidRDefault="00D8302C" w:rsidP="00D8302C">
            <w:pPr>
              <w:jc w:val="right"/>
              <w:rPr>
                <w:rFonts w:ascii="Times New Roman" w:hAnsi="Times New Roman"/>
                <w:sz w:val="14"/>
                <w:szCs w:val="18"/>
              </w:rPr>
            </w:pPr>
            <w:r w:rsidRPr="005B54EE">
              <w:rPr>
                <w:sz w:val="14"/>
              </w:rPr>
              <w:t>77,41</w:t>
            </w:r>
          </w:p>
        </w:tc>
        <w:tc>
          <w:tcPr>
            <w:tcW w:w="723" w:type="dxa"/>
            <w:tcBorders>
              <w:top w:val="nil"/>
              <w:left w:val="nil"/>
              <w:bottom w:val="single" w:sz="4" w:space="0" w:color="auto"/>
              <w:right w:val="single" w:sz="4" w:space="0" w:color="auto"/>
            </w:tcBorders>
            <w:shd w:val="clear" w:color="000000" w:fill="CCFFFF"/>
            <w:noWrap/>
            <w:vAlign w:val="bottom"/>
            <w:hideMark/>
          </w:tcPr>
          <w:p w14:paraId="49A3E19B" w14:textId="39910394" w:rsidR="00D8302C" w:rsidRPr="005B54EE" w:rsidRDefault="00D8302C" w:rsidP="00D8302C">
            <w:pPr>
              <w:jc w:val="right"/>
              <w:rPr>
                <w:rFonts w:ascii="Times New Roman" w:hAnsi="Times New Roman"/>
                <w:sz w:val="14"/>
                <w:szCs w:val="18"/>
              </w:rPr>
            </w:pPr>
            <w:r w:rsidRPr="005B54EE">
              <w:rPr>
                <w:sz w:val="14"/>
              </w:rPr>
              <w:t>4,08</w:t>
            </w:r>
          </w:p>
        </w:tc>
        <w:tc>
          <w:tcPr>
            <w:tcW w:w="1276" w:type="dxa"/>
            <w:tcBorders>
              <w:top w:val="nil"/>
              <w:left w:val="nil"/>
              <w:bottom w:val="single" w:sz="4" w:space="0" w:color="auto"/>
              <w:right w:val="single" w:sz="4" w:space="0" w:color="auto"/>
            </w:tcBorders>
            <w:shd w:val="clear" w:color="000000" w:fill="CCFFFF"/>
            <w:noWrap/>
            <w:vAlign w:val="bottom"/>
            <w:hideMark/>
          </w:tcPr>
          <w:p w14:paraId="2F12C78F" w14:textId="25D7F610" w:rsidR="00D8302C" w:rsidRPr="005B54EE" w:rsidRDefault="00D8302C" w:rsidP="00D8302C">
            <w:pPr>
              <w:jc w:val="right"/>
              <w:rPr>
                <w:rFonts w:ascii="Times New Roman" w:hAnsi="Times New Roman"/>
                <w:sz w:val="14"/>
                <w:szCs w:val="18"/>
              </w:rPr>
            </w:pPr>
            <w:r w:rsidRPr="005B54EE">
              <w:rPr>
                <w:sz w:val="14"/>
              </w:rPr>
              <w:t>NO,NA</w:t>
            </w:r>
          </w:p>
        </w:tc>
        <w:tc>
          <w:tcPr>
            <w:tcW w:w="580" w:type="dxa"/>
            <w:tcBorders>
              <w:top w:val="nil"/>
              <w:left w:val="nil"/>
              <w:bottom w:val="single" w:sz="4" w:space="0" w:color="auto"/>
              <w:right w:val="single" w:sz="4" w:space="0" w:color="auto"/>
            </w:tcBorders>
            <w:shd w:val="clear" w:color="000000" w:fill="CCFFFF"/>
            <w:noWrap/>
            <w:vAlign w:val="bottom"/>
            <w:hideMark/>
          </w:tcPr>
          <w:p w14:paraId="7E7E8107" w14:textId="63FB840E" w:rsidR="00D8302C" w:rsidRPr="005B54EE" w:rsidRDefault="00D8302C" w:rsidP="00D8302C">
            <w:pPr>
              <w:jc w:val="right"/>
              <w:rPr>
                <w:rFonts w:ascii="Times New Roman" w:hAnsi="Times New Roman"/>
                <w:sz w:val="14"/>
                <w:szCs w:val="18"/>
              </w:rPr>
            </w:pPr>
            <w:r w:rsidRPr="005B54EE">
              <w:rPr>
                <w:sz w:val="14"/>
              </w:rPr>
              <w:t>8,54</w:t>
            </w:r>
          </w:p>
        </w:tc>
        <w:tc>
          <w:tcPr>
            <w:tcW w:w="976" w:type="dxa"/>
            <w:tcBorders>
              <w:top w:val="nil"/>
              <w:left w:val="nil"/>
              <w:bottom w:val="single" w:sz="4" w:space="0" w:color="auto"/>
              <w:right w:val="single" w:sz="4" w:space="0" w:color="auto"/>
            </w:tcBorders>
            <w:shd w:val="clear" w:color="000000" w:fill="CCFFFF"/>
            <w:noWrap/>
            <w:vAlign w:val="bottom"/>
            <w:hideMark/>
          </w:tcPr>
          <w:p w14:paraId="5628DFB4" w14:textId="55E0339A" w:rsidR="00D8302C" w:rsidRPr="005B54EE" w:rsidRDefault="00D8302C" w:rsidP="00D8302C">
            <w:pPr>
              <w:jc w:val="right"/>
              <w:rPr>
                <w:rFonts w:ascii="Times New Roman" w:hAnsi="Times New Roman"/>
                <w:sz w:val="14"/>
                <w:szCs w:val="18"/>
              </w:rPr>
            </w:pPr>
            <w:r w:rsidRPr="005B54EE">
              <w:rPr>
                <w:sz w:val="14"/>
              </w:rPr>
              <w:t>96,65</w:t>
            </w:r>
          </w:p>
        </w:tc>
      </w:tr>
      <w:tr w:rsidR="00D8302C" w:rsidRPr="005B54EE" w14:paraId="3431B12D"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182E895D"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 xml:space="preserve">F.  Product uses as ODS substitutes </w:t>
            </w:r>
          </w:p>
        </w:tc>
        <w:tc>
          <w:tcPr>
            <w:tcW w:w="914" w:type="dxa"/>
            <w:tcBorders>
              <w:top w:val="nil"/>
              <w:left w:val="nil"/>
              <w:bottom w:val="single" w:sz="4" w:space="0" w:color="auto"/>
              <w:right w:val="single" w:sz="4" w:space="0" w:color="auto"/>
            </w:tcBorders>
            <w:shd w:val="clear" w:color="000000" w:fill="969696"/>
            <w:noWrap/>
            <w:vAlign w:val="bottom"/>
            <w:hideMark/>
          </w:tcPr>
          <w:p w14:paraId="4C58730D" w14:textId="4F4E0F93"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8429163" w14:textId="3B6D75B8"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CD070BC" w14:textId="3DD6BCB3"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5381BA2E" w14:textId="3679AED7" w:rsidR="00D8302C" w:rsidRPr="005B54EE" w:rsidRDefault="00D8302C" w:rsidP="00D8302C">
            <w:pPr>
              <w:jc w:val="right"/>
              <w:rPr>
                <w:rFonts w:ascii="Times New Roman" w:hAnsi="Times New Roman"/>
                <w:sz w:val="14"/>
                <w:szCs w:val="18"/>
              </w:rPr>
            </w:pPr>
            <w:r w:rsidRPr="005B54EE">
              <w:rPr>
                <w:sz w:val="14"/>
              </w:rPr>
              <w:t>11633,67</w:t>
            </w:r>
          </w:p>
        </w:tc>
        <w:tc>
          <w:tcPr>
            <w:tcW w:w="723" w:type="dxa"/>
            <w:tcBorders>
              <w:top w:val="nil"/>
              <w:left w:val="nil"/>
              <w:bottom w:val="single" w:sz="4" w:space="0" w:color="auto"/>
              <w:right w:val="single" w:sz="4" w:space="0" w:color="auto"/>
            </w:tcBorders>
            <w:shd w:val="clear" w:color="000000" w:fill="CCFFFF"/>
            <w:noWrap/>
            <w:vAlign w:val="bottom"/>
            <w:hideMark/>
          </w:tcPr>
          <w:p w14:paraId="32D06767" w14:textId="14C306D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CCFFFF"/>
            <w:noWrap/>
            <w:vAlign w:val="bottom"/>
            <w:hideMark/>
          </w:tcPr>
          <w:p w14:paraId="001BBB74" w14:textId="14ABB70D"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CCFFFF"/>
            <w:noWrap/>
            <w:vAlign w:val="bottom"/>
            <w:hideMark/>
          </w:tcPr>
          <w:p w14:paraId="42F30D3C" w14:textId="295C8C25"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CCFFFF"/>
            <w:noWrap/>
            <w:vAlign w:val="bottom"/>
            <w:hideMark/>
          </w:tcPr>
          <w:p w14:paraId="014F8434" w14:textId="6A2F56D4"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28F72BD" w14:textId="1ABB12F8" w:rsidR="00D8302C" w:rsidRPr="005B54EE" w:rsidRDefault="00D8302C" w:rsidP="00D8302C">
            <w:pPr>
              <w:jc w:val="right"/>
              <w:rPr>
                <w:rFonts w:ascii="Times New Roman" w:hAnsi="Times New Roman"/>
                <w:sz w:val="14"/>
                <w:szCs w:val="18"/>
              </w:rPr>
            </w:pPr>
            <w:r w:rsidRPr="005B54EE">
              <w:rPr>
                <w:sz w:val="14"/>
              </w:rPr>
              <w:t>11633,67</w:t>
            </w:r>
          </w:p>
        </w:tc>
      </w:tr>
      <w:tr w:rsidR="00D8302C" w:rsidRPr="005B54EE" w14:paraId="4F57693D"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7166DB98"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 xml:space="preserve">G.  Other product manufacture and use </w:t>
            </w:r>
          </w:p>
        </w:tc>
        <w:tc>
          <w:tcPr>
            <w:tcW w:w="914" w:type="dxa"/>
            <w:tcBorders>
              <w:top w:val="nil"/>
              <w:left w:val="nil"/>
              <w:bottom w:val="single" w:sz="4" w:space="0" w:color="auto"/>
              <w:right w:val="single" w:sz="4" w:space="0" w:color="auto"/>
            </w:tcBorders>
            <w:shd w:val="clear" w:color="000000" w:fill="CCFFFF"/>
            <w:noWrap/>
            <w:vAlign w:val="bottom"/>
            <w:hideMark/>
          </w:tcPr>
          <w:p w14:paraId="120344AB" w14:textId="69D1A25D" w:rsidR="00D8302C" w:rsidRPr="005B54EE" w:rsidRDefault="00D8302C" w:rsidP="00D8302C">
            <w:pPr>
              <w:jc w:val="right"/>
              <w:rPr>
                <w:rFonts w:ascii="Times New Roman" w:hAnsi="Times New Roman"/>
                <w:sz w:val="14"/>
                <w:szCs w:val="18"/>
              </w:rPr>
            </w:pPr>
            <w:r w:rsidRPr="005B54EE">
              <w:rPr>
                <w:sz w:val="14"/>
              </w:rPr>
              <w:t>459,72</w:t>
            </w:r>
          </w:p>
        </w:tc>
        <w:tc>
          <w:tcPr>
            <w:tcW w:w="820" w:type="dxa"/>
            <w:tcBorders>
              <w:top w:val="nil"/>
              <w:left w:val="nil"/>
              <w:bottom w:val="single" w:sz="4" w:space="0" w:color="auto"/>
              <w:right w:val="single" w:sz="4" w:space="0" w:color="auto"/>
            </w:tcBorders>
            <w:shd w:val="clear" w:color="000000" w:fill="CCFFFF"/>
            <w:noWrap/>
            <w:vAlign w:val="bottom"/>
            <w:hideMark/>
          </w:tcPr>
          <w:p w14:paraId="226DFDB5" w14:textId="2AD30A27"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70AADB52" w14:textId="1AFCA68A" w:rsidR="00D8302C" w:rsidRPr="005B54EE" w:rsidRDefault="00D8302C" w:rsidP="00D8302C">
            <w:pPr>
              <w:jc w:val="right"/>
              <w:rPr>
                <w:rFonts w:ascii="Times New Roman" w:hAnsi="Times New Roman"/>
                <w:sz w:val="14"/>
                <w:szCs w:val="18"/>
              </w:rPr>
            </w:pPr>
            <w:r w:rsidRPr="005B54EE">
              <w:rPr>
                <w:sz w:val="14"/>
              </w:rPr>
              <w:t>133,43</w:t>
            </w:r>
          </w:p>
        </w:tc>
        <w:tc>
          <w:tcPr>
            <w:tcW w:w="820" w:type="dxa"/>
            <w:tcBorders>
              <w:top w:val="nil"/>
              <w:left w:val="nil"/>
              <w:bottom w:val="single" w:sz="4" w:space="0" w:color="auto"/>
              <w:right w:val="single" w:sz="4" w:space="0" w:color="auto"/>
            </w:tcBorders>
            <w:shd w:val="clear" w:color="000000" w:fill="CCFFFF"/>
            <w:noWrap/>
            <w:vAlign w:val="bottom"/>
            <w:hideMark/>
          </w:tcPr>
          <w:p w14:paraId="65ACDF6F" w14:textId="7E0F28E3" w:rsidR="00D8302C" w:rsidRPr="005B54EE" w:rsidRDefault="00D8302C" w:rsidP="00D8302C">
            <w:pPr>
              <w:jc w:val="right"/>
              <w:rPr>
                <w:rFonts w:ascii="Times New Roman" w:hAnsi="Times New Roman"/>
                <w:sz w:val="14"/>
                <w:szCs w:val="18"/>
              </w:rPr>
            </w:pPr>
            <w:r w:rsidRPr="005B54EE">
              <w:rPr>
                <w:sz w:val="14"/>
              </w:rPr>
              <w:t>0,59</w:t>
            </w:r>
          </w:p>
        </w:tc>
        <w:tc>
          <w:tcPr>
            <w:tcW w:w="723" w:type="dxa"/>
            <w:tcBorders>
              <w:top w:val="nil"/>
              <w:left w:val="nil"/>
              <w:bottom w:val="single" w:sz="4" w:space="0" w:color="auto"/>
              <w:right w:val="single" w:sz="4" w:space="0" w:color="auto"/>
            </w:tcBorders>
            <w:shd w:val="clear" w:color="000000" w:fill="CCFFFF"/>
            <w:noWrap/>
            <w:vAlign w:val="bottom"/>
            <w:hideMark/>
          </w:tcPr>
          <w:p w14:paraId="34048EE6" w14:textId="7A4C7654" w:rsidR="00D8302C" w:rsidRPr="005B54EE" w:rsidRDefault="00D8302C" w:rsidP="00D8302C">
            <w:pPr>
              <w:jc w:val="right"/>
              <w:rPr>
                <w:rFonts w:ascii="Times New Roman" w:hAnsi="Times New Roman"/>
                <w:sz w:val="14"/>
                <w:szCs w:val="18"/>
              </w:rPr>
            </w:pPr>
            <w:r w:rsidRPr="005B54EE">
              <w:rPr>
                <w:sz w:val="14"/>
              </w:rPr>
              <w:t>404,76</w:t>
            </w:r>
          </w:p>
        </w:tc>
        <w:tc>
          <w:tcPr>
            <w:tcW w:w="723" w:type="dxa"/>
            <w:tcBorders>
              <w:top w:val="nil"/>
              <w:left w:val="nil"/>
              <w:bottom w:val="single" w:sz="4" w:space="0" w:color="auto"/>
              <w:right w:val="single" w:sz="4" w:space="0" w:color="auto"/>
            </w:tcBorders>
            <w:shd w:val="clear" w:color="000000" w:fill="CCFFFF"/>
            <w:noWrap/>
            <w:vAlign w:val="bottom"/>
            <w:hideMark/>
          </w:tcPr>
          <w:p w14:paraId="2DEAE4C6" w14:textId="40AE01BC" w:rsidR="00D8302C" w:rsidRPr="005B54EE" w:rsidRDefault="00D8302C" w:rsidP="00D8302C">
            <w:pPr>
              <w:jc w:val="right"/>
              <w:rPr>
                <w:rFonts w:ascii="Times New Roman" w:hAnsi="Times New Roman"/>
                <w:sz w:val="14"/>
                <w:szCs w:val="18"/>
              </w:rPr>
            </w:pPr>
            <w:r w:rsidRPr="005B54EE">
              <w:rPr>
                <w:sz w:val="14"/>
              </w:rPr>
              <w:t>334,86</w:t>
            </w:r>
          </w:p>
        </w:tc>
        <w:tc>
          <w:tcPr>
            <w:tcW w:w="1276" w:type="dxa"/>
            <w:tcBorders>
              <w:top w:val="nil"/>
              <w:left w:val="nil"/>
              <w:bottom w:val="single" w:sz="4" w:space="0" w:color="auto"/>
              <w:right w:val="single" w:sz="4" w:space="0" w:color="auto"/>
            </w:tcBorders>
            <w:shd w:val="clear" w:color="000000" w:fill="CCFFFF"/>
            <w:noWrap/>
            <w:vAlign w:val="bottom"/>
            <w:hideMark/>
          </w:tcPr>
          <w:p w14:paraId="275743E4" w14:textId="0DDA2BA8"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CCFFFF"/>
            <w:noWrap/>
            <w:vAlign w:val="bottom"/>
            <w:hideMark/>
          </w:tcPr>
          <w:p w14:paraId="59D45200" w14:textId="21410C77"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15AB17A" w14:textId="168E20B3" w:rsidR="00D8302C" w:rsidRPr="005B54EE" w:rsidRDefault="00D8302C" w:rsidP="00D8302C">
            <w:pPr>
              <w:jc w:val="right"/>
              <w:rPr>
                <w:rFonts w:ascii="Times New Roman" w:hAnsi="Times New Roman"/>
                <w:sz w:val="14"/>
                <w:szCs w:val="18"/>
              </w:rPr>
            </w:pPr>
            <w:r w:rsidRPr="005B54EE">
              <w:rPr>
                <w:sz w:val="14"/>
              </w:rPr>
              <w:t>1333,36</w:t>
            </w:r>
          </w:p>
        </w:tc>
      </w:tr>
      <w:tr w:rsidR="00D8302C" w:rsidRPr="005B54EE" w14:paraId="758D873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76D33C8"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 xml:space="preserve">H.  Other </w:t>
            </w:r>
          </w:p>
        </w:tc>
        <w:tc>
          <w:tcPr>
            <w:tcW w:w="914" w:type="dxa"/>
            <w:tcBorders>
              <w:top w:val="nil"/>
              <w:left w:val="nil"/>
              <w:bottom w:val="single" w:sz="4" w:space="0" w:color="auto"/>
              <w:right w:val="single" w:sz="4" w:space="0" w:color="auto"/>
            </w:tcBorders>
            <w:shd w:val="clear" w:color="000000" w:fill="CCFFFF"/>
            <w:noWrap/>
            <w:vAlign w:val="bottom"/>
            <w:hideMark/>
          </w:tcPr>
          <w:p w14:paraId="63686BB3" w14:textId="5C5A14B8" w:rsidR="00D8302C" w:rsidRPr="005B54EE" w:rsidRDefault="00D8302C" w:rsidP="00D8302C">
            <w:pPr>
              <w:jc w:val="right"/>
              <w:rPr>
                <w:rFonts w:ascii="Times New Roman" w:hAnsi="Times New Roman"/>
                <w:sz w:val="14"/>
                <w:szCs w:val="18"/>
              </w:rPr>
            </w:pPr>
            <w:r w:rsidRPr="005B54EE">
              <w:rPr>
                <w:sz w:val="14"/>
              </w:rPr>
              <w:t>0,10</w:t>
            </w:r>
          </w:p>
        </w:tc>
        <w:tc>
          <w:tcPr>
            <w:tcW w:w="820" w:type="dxa"/>
            <w:tcBorders>
              <w:top w:val="nil"/>
              <w:left w:val="nil"/>
              <w:bottom w:val="single" w:sz="4" w:space="0" w:color="auto"/>
              <w:right w:val="single" w:sz="4" w:space="0" w:color="auto"/>
            </w:tcBorders>
            <w:shd w:val="clear" w:color="000000" w:fill="CCFFFF"/>
            <w:noWrap/>
            <w:vAlign w:val="bottom"/>
            <w:hideMark/>
          </w:tcPr>
          <w:p w14:paraId="37F8AF62" w14:textId="6B97D5FF" w:rsidR="00D8302C" w:rsidRPr="005B54EE" w:rsidRDefault="00D8302C" w:rsidP="00D8302C">
            <w:pPr>
              <w:jc w:val="right"/>
              <w:rPr>
                <w:rFonts w:ascii="Times New Roman" w:hAnsi="Times New Roman"/>
                <w:sz w:val="14"/>
                <w:szCs w:val="18"/>
              </w:rPr>
            </w:pPr>
            <w:r w:rsidRPr="005B54EE">
              <w:rPr>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5A6D1805" w14:textId="148DA17E" w:rsidR="00D8302C" w:rsidRPr="005B54EE" w:rsidRDefault="00D8302C" w:rsidP="00D8302C">
            <w:pPr>
              <w:jc w:val="right"/>
              <w:rPr>
                <w:rFonts w:ascii="Times New Roman" w:hAnsi="Times New Roman"/>
                <w:sz w:val="14"/>
                <w:szCs w:val="18"/>
              </w:rPr>
            </w:pPr>
            <w:r w:rsidRPr="005B54EE">
              <w:rPr>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263F545B" w14:textId="79E8B9F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CCFFFF"/>
            <w:noWrap/>
            <w:vAlign w:val="bottom"/>
            <w:hideMark/>
          </w:tcPr>
          <w:p w14:paraId="6693E70C" w14:textId="6E150E22"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CCFFFF"/>
            <w:noWrap/>
            <w:vAlign w:val="bottom"/>
            <w:hideMark/>
          </w:tcPr>
          <w:p w14:paraId="531395D8" w14:textId="0800FEEE"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CCFFFF"/>
            <w:noWrap/>
            <w:vAlign w:val="bottom"/>
            <w:hideMark/>
          </w:tcPr>
          <w:p w14:paraId="31685B2F" w14:textId="2E2633A6"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CCFFFF"/>
            <w:noWrap/>
            <w:vAlign w:val="bottom"/>
            <w:hideMark/>
          </w:tcPr>
          <w:p w14:paraId="0B7EDA24" w14:textId="0AB80045"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1C83562C" w14:textId="1E99FD82" w:rsidR="00D8302C" w:rsidRPr="005B54EE" w:rsidRDefault="00D8302C" w:rsidP="00D8302C">
            <w:pPr>
              <w:jc w:val="right"/>
              <w:rPr>
                <w:rFonts w:ascii="Times New Roman" w:hAnsi="Times New Roman"/>
                <w:sz w:val="14"/>
                <w:szCs w:val="18"/>
              </w:rPr>
            </w:pPr>
            <w:r w:rsidRPr="005B54EE">
              <w:rPr>
                <w:sz w:val="14"/>
              </w:rPr>
              <w:t>0,10</w:t>
            </w:r>
          </w:p>
        </w:tc>
      </w:tr>
      <w:tr w:rsidR="00D8302C" w:rsidRPr="005B54EE" w14:paraId="5D5A3108"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189096B" w14:textId="77777777" w:rsidR="00D8302C" w:rsidRPr="005B54EE" w:rsidRDefault="00D8302C" w:rsidP="00D8302C">
            <w:pPr>
              <w:jc w:val="left"/>
              <w:rPr>
                <w:rFonts w:ascii="Times New Roman" w:hAnsi="Times New Roman"/>
                <w:b/>
                <w:bCs/>
                <w:sz w:val="14"/>
                <w:szCs w:val="18"/>
              </w:rPr>
            </w:pPr>
            <w:r w:rsidRPr="005B54EE">
              <w:rPr>
                <w:rFonts w:ascii="Times New Roman" w:hAnsi="Times New Roman"/>
                <w:b/>
                <w:sz w:val="14"/>
              </w:rPr>
              <w:t>3.  Agriculture</w:t>
            </w:r>
          </w:p>
        </w:tc>
        <w:tc>
          <w:tcPr>
            <w:tcW w:w="914" w:type="dxa"/>
            <w:tcBorders>
              <w:top w:val="nil"/>
              <w:left w:val="nil"/>
              <w:bottom w:val="single" w:sz="4" w:space="0" w:color="auto"/>
              <w:right w:val="single" w:sz="4" w:space="0" w:color="auto"/>
            </w:tcBorders>
            <w:shd w:val="clear" w:color="000000" w:fill="CCFFFF"/>
            <w:noWrap/>
            <w:vAlign w:val="bottom"/>
            <w:hideMark/>
          </w:tcPr>
          <w:p w14:paraId="113B2FCE" w14:textId="3A7656DC" w:rsidR="00D8302C" w:rsidRPr="005B54EE" w:rsidRDefault="00D8302C" w:rsidP="00D8302C">
            <w:pPr>
              <w:jc w:val="right"/>
              <w:rPr>
                <w:rFonts w:ascii="Times New Roman" w:hAnsi="Times New Roman"/>
                <w:sz w:val="14"/>
                <w:szCs w:val="18"/>
              </w:rPr>
            </w:pPr>
            <w:r w:rsidRPr="005B54EE">
              <w:rPr>
                <w:sz w:val="14"/>
              </w:rPr>
              <w:t>1858,83</w:t>
            </w:r>
          </w:p>
        </w:tc>
        <w:tc>
          <w:tcPr>
            <w:tcW w:w="820" w:type="dxa"/>
            <w:tcBorders>
              <w:top w:val="nil"/>
              <w:left w:val="nil"/>
              <w:bottom w:val="single" w:sz="4" w:space="0" w:color="auto"/>
              <w:right w:val="single" w:sz="4" w:space="0" w:color="auto"/>
            </w:tcBorders>
            <w:shd w:val="clear" w:color="000000" w:fill="CCFFFF"/>
            <w:noWrap/>
            <w:vAlign w:val="bottom"/>
            <w:hideMark/>
          </w:tcPr>
          <w:p w14:paraId="26A5B4D3" w14:textId="34F7AC20" w:rsidR="00D8302C" w:rsidRPr="005B54EE" w:rsidRDefault="00D8302C" w:rsidP="00D8302C">
            <w:pPr>
              <w:jc w:val="right"/>
              <w:rPr>
                <w:rFonts w:ascii="Times New Roman" w:hAnsi="Times New Roman"/>
                <w:sz w:val="14"/>
                <w:szCs w:val="18"/>
              </w:rPr>
            </w:pPr>
            <w:r w:rsidRPr="005B54EE">
              <w:rPr>
                <w:sz w:val="14"/>
              </w:rPr>
              <w:t>36998,76</w:t>
            </w:r>
          </w:p>
        </w:tc>
        <w:tc>
          <w:tcPr>
            <w:tcW w:w="820" w:type="dxa"/>
            <w:tcBorders>
              <w:top w:val="nil"/>
              <w:left w:val="nil"/>
              <w:bottom w:val="single" w:sz="4" w:space="0" w:color="auto"/>
              <w:right w:val="single" w:sz="4" w:space="0" w:color="auto"/>
            </w:tcBorders>
            <w:shd w:val="clear" w:color="000000" w:fill="CCFFFF"/>
            <w:noWrap/>
            <w:vAlign w:val="bottom"/>
            <w:hideMark/>
          </w:tcPr>
          <w:p w14:paraId="3E16C4F7" w14:textId="54327B7F" w:rsidR="00D8302C" w:rsidRPr="005B54EE" w:rsidRDefault="00D8302C" w:rsidP="00D8302C">
            <w:pPr>
              <w:jc w:val="right"/>
              <w:rPr>
                <w:rFonts w:ascii="Times New Roman" w:hAnsi="Times New Roman"/>
                <w:sz w:val="14"/>
                <w:szCs w:val="18"/>
              </w:rPr>
            </w:pPr>
            <w:r w:rsidRPr="005B54EE">
              <w:rPr>
                <w:sz w:val="14"/>
              </w:rPr>
              <w:t>31528,56</w:t>
            </w:r>
          </w:p>
        </w:tc>
        <w:tc>
          <w:tcPr>
            <w:tcW w:w="820" w:type="dxa"/>
            <w:tcBorders>
              <w:top w:val="nil"/>
              <w:left w:val="nil"/>
              <w:bottom w:val="single" w:sz="4" w:space="0" w:color="auto"/>
              <w:right w:val="single" w:sz="4" w:space="0" w:color="auto"/>
            </w:tcBorders>
            <w:shd w:val="clear" w:color="000000" w:fill="969696"/>
            <w:noWrap/>
            <w:vAlign w:val="bottom"/>
            <w:hideMark/>
          </w:tcPr>
          <w:p w14:paraId="0A8F080F" w14:textId="56A7381A"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C34D023" w14:textId="35FE511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1219A66" w14:textId="72D08D2B"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12CD9B4" w14:textId="21031EA1"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30A88D08" w14:textId="0EB5AE45"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D374B8D" w14:textId="5E4E83B6" w:rsidR="00D8302C" w:rsidRPr="005B54EE" w:rsidRDefault="00D8302C" w:rsidP="00D8302C">
            <w:pPr>
              <w:jc w:val="right"/>
              <w:rPr>
                <w:rFonts w:ascii="Times New Roman" w:hAnsi="Times New Roman"/>
                <w:sz w:val="14"/>
                <w:szCs w:val="18"/>
              </w:rPr>
            </w:pPr>
            <w:r w:rsidRPr="005B54EE">
              <w:rPr>
                <w:sz w:val="14"/>
              </w:rPr>
              <w:t>70386,15</w:t>
            </w:r>
          </w:p>
        </w:tc>
      </w:tr>
      <w:tr w:rsidR="00D8302C" w:rsidRPr="005B54EE" w14:paraId="7345B587"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817E91A"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A.  Enteric fermentation</w:t>
            </w:r>
          </w:p>
        </w:tc>
        <w:tc>
          <w:tcPr>
            <w:tcW w:w="914" w:type="dxa"/>
            <w:tcBorders>
              <w:top w:val="nil"/>
              <w:left w:val="nil"/>
              <w:bottom w:val="single" w:sz="4" w:space="0" w:color="auto"/>
              <w:right w:val="single" w:sz="4" w:space="0" w:color="auto"/>
            </w:tcBorders>
            <w:shd w:val="clear" w:color="000000" w:fill="969696"/>
            <w:noWrap/>
            <w:vAlign w:val="bottom"/>
            <w:hideMark/>
          </w:tcPr>
          <w:p w14:paraId="78568B8B" w14:textId="2C6FEA0A"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2B34526D" w14:textId="28EA111D" w:rsidR="00D8302C" w:rsidRPr="005B54EE" w:rsidRDefault="00D8302C" w:rsidP="00D8302C">
            <w:pPr>
              <w:jc w:val="right"/>
              <w:rPr>
                <w:rFonts w:ascii="Times New Roman" w:hAnsi="Times New Roman"/>
                <w:sz w:val="14"/>
                <w:szCs w:val="18"/>
              </w:rPr>
            </w:pPr>
            <w:r w:rsidRPr="005B54EE">
              <w:rPr>
                <w:sz w:val="14"/>
              </w:rPr>
              <w:t>33136,51</w:t>
            </w:r>
          </w:p>
        </w:tc>
        <w:tc>
          <w:tcPr>
            <w:tcW w:w="820" w:type="dxa"/>
            <w:tcBorders>
              <w:top w:val="nil"/>
              <w:left w:val="nil"/>
              <w:bottom w:val="single" w:sz="4" w:space="0" w:color="auto"/>
              <w:right w:val="single" w:sz="4" w:space="0" w:color="auto"/>
            </w:tcBorders>
            <w:shd w:val="clear" w:color="000000" w:fill="969696"/>
            <w:noWrap/>
            <w:vAlign w:val="bottom"/>
            <w:hideMark/>
          </w:tcPr>
          <w:p w14:paraId="114AEE0D" w14:textId="1B377642"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29B2305" w14:textId="26E83A81"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49B366F" w14:textId="00305DF3"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183FBF9" w14:textId="020E6184"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F663A0D" w14:textId="646ECA7A"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6FCDE035" w14:textId="70BAE87F"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81F4924" w14:textId="4AC1DBB8" w:rsidR="00D8302C" w:rsidRPr="005B54EE" w:rsidRDefault="00D8302C" w:rsidP="00D8302C">
            <w:pPr>
              <w:jc w:val="right"/>
              <w:rPr>
                <w:rFonts w:ascii="Times New Roman" w:hAnsi="Times New Roman"/>
                <w:sz w:val="14"/>
                <w:szCs w:val="18"/>
              </w:rPr>
            </w:pPr>
            <w:r w:rsidRPr="005B54EE">
              <w:rPr>
                <w:sz w:val="14"/>
              </w:rPr>
              <w:t>33136,51</w:t>
            </w:r>
          </w:p>
        </w:tc>
      </w:tr>
      <w:tr w:rsidR="00D8302C" w:rsidRPr="005B54EE" w14:paraId="76CC8159"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451F8DF"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B.  Manure management</w:t>
            </w:r>
          </w:p>
        </w:tc>
        <w:tc>
          <w:tcPr>
            <w:tcW w:w="914" w:type="dxa"/>
            <w:tcBorders>
              <w:top w:val="nil"/>
              <w:left w:val="nil"/>
              <w:bottom w:val="single" w:sz="4" w:space="0" w:color="auto"/>
              <w:right w:val="single" w:sz="4" w:space="0" w:color="auto"/>
            </w:tcBorders>
            <w:shd w:val="clear" w:color="000000" w:fill="969696"/>
            <w:noWrap/>
            <w:vAlign w:val="bottom"/>
            <w:hideMark/>
          </w:tcPr>
          <w:p w14:paraId="67C57487" w14:textId="30BF035B"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1D144001" w14:textId="6A4151E8" w:rsidR="00D8302C" w:rsidRPr="005B54EE" w:rsidRDefault="00D8302C" w:rsidP="00D8302C">
            <w:pPr>
              <w:jc w:val="right"/>
              <w:rPr>
                <w:rFonts w:ascii="Times New Roman" w:hAnsi="Times New Roman"/>
                <w:sz w:val="14"/>
                <w:szCs w:val="18"/>
              </w:rPr>
            </w:pPr>
            <w:r w:rsidRPr="005B54EE">
              <w:rPr>
                <w:sz w:val="14"/>
              </w:rPr>
              <w:t>3795,76</w:t>
            </w:r>
          </w:p>
        </w:tc>
        <w:tc>
          <w:tcPr>
            <w:tcW w:w="820" w:type="dxa"/>
            <w:tcBorders>
              <w:top w:val="nil"/>
              <w:left w:val="nil"/>
              <w:bottom w:val="single" w:sz="4" w:space="0" w:color="auto"/>
              <w:right w:val="single" w:sz="4" w:space="0" w:color="auto"/>
            </w:tcBorders>
            <w:shd w:val="clear" w:color="000000" w:fill="CCFFFF"/>
            <w:noWrap/>
            <w:vAlign w:val="bottom"/>
            <w:hideMark/>
          </w:tcPr>
          <w:p w14:paraId="2CE81B7D" w14:textId="241DBC75" w:rsidR="00D8302C" w:rsidRPr="005B54EE" w:rsidRDefault="00D8302C" w:rsidP="00D8302C">
            <w:pPr>
              <w:jc w:val="right"/>
              <w:rPr>
                <w:rFonts w:ascii="Times New Roman" w:hAnsi="Times New Roman"/>
                <w:sz w:val="14"/>
                <w:szCs w:val="18"/>
              </w:rPr>
            </w:pPr>
            <w:r w:rsidRPr="005B54EE">
              <w:rPr>
                <w:sz w:val="14"/>
              </w:rPr>
              <w:t>2350,47</w:t>
            </w:r>
          </w:p>
        </w:tc>
        <w:tc>
          <w:tcPr>
            <w:tcW w:w="820" w:type="dxa"/>
            <w:tcBorders>
              <w:top w:val="nil"/>
              <w:left w:val="nil"/>
              <w:bottom w:val="single" w:sz="4" w:space="0" w:color="auto"/>
              <w:right w:val="single" w:sz="4" w:space="0" w:color="auto"/>
            </w:tcBorders>
            <w:shd w:val="clear" w:color="000000" w:fill="969696"/>
            <w:noWrap/>
            <w:vAlign w:val="bottom"/>
            <w:hideMark/>
          </w:tcPr>
          <w:p w14:paraId="5F735BEE" w14:textId="09D4632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79AAB46" w14:textId="1684814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3A99943" w14:textId="289FB9CD"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C696A59" w14:textId="48AA6457"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432184FD" w14:textId="3FA8EF89"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77F7C1A3" w14:textId="70ACCBBD" w:rsidR="00D8302C" w:rsidRPr="005B54EE" w:rsidRDefault="00D8302C" w:rsidP="00D8302C">
            <w:pPr>
              <w:jc w:val="right"/>
              <w:rPr>
                <w:rFonts w:ascii="Times New Roman" w:hAnsi="Times New Roman"/>
                <w:sz w:val="14"/>
                <w:szCs w:val="18"/>
              </w:rPr>
            </w:pPr>
            <w:r w:rsidRPr="005B54EE">
              <w:rPr>
                <w:sz w:val="14"/>
              </w:rPr>
              <w:t>6146,24</w:t>
            </w:r>
          </w:p>
        </w:tc>
      </w:tr>
      <w:tr w:rsidR="00D8302C" w:rsidRPr="005B54EE" w14:paraId="7E98E4E9"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E8B2C58"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C.  Rice cultivation</w:t>
            </w:r>
          </w:p>
        </w:tc>
        <w:tc>
          <w:tcPr>
            <w:tcW w:w="914" w:type="dxa"/>
            <w:tcBorders>
              <w:top w:val="nil"/>
              <w:left w:val="nil"/>
              <w:bottom w:val="single" w:sz="4" w:space="0" w:color="auto"/>
              <w:right w:val="single" w:sz="4" w:space="0" w:color="auto"/>
            </w:tcBorders>
            <w:shd w:val="clear" w:color="000000" w:fill="969696"/>
            <w:noWrap/>
            <w:vAlign w:val="bottom"/>
            <w:hideMark/>
          </w:tcPr>
          <w:p w14:paraId="5C30ECEE" w14:textId="152FD35A"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5BFE52CE" w14:textId="36B111A5" w:rsidR="00D8302C" w:rsidRPr="005B54EE" w:rsidRDefault="00D8302C" w:rsidP="00D8302C">
            <w:pPr>
              <w:jc w:val="right"/>
              <w:rPr>
                <w:rFonts w:ascii="Times New Roman" w:hAnsi="Times New Roman"/>
                <w:sz w:val="14"/>
                <w:szCs w:val="18"/>
              </w:rPr>
            </w:pPr>
            <w:r w:rsidRPr="005B54EE">
              <w:rPr>
                <w:sz w:val="14"/>
              </w:rPr>
              <w:t>38,23</w:t>
            </w:r>
          </w:p>
        </w:tc>
        <w:tc>
          <w:tcPr>
            <w:tcW w:w="820" w:type="dxa"/>
            <w:tcBorders>
              <w:top w:val="nil"/>
              <w:left w:val="nil"/>
              <w:bottom w:val="single" w:sz="4" w:space="0" w:color="auto"/>
              <w:right w:val="single" w:sz="4" w:space="0" w:color="auto"/>
            </w:tcBorders>
            <w:shd w:val="clear" w:color="000000" w:fill="969696"/>
            <w:noWrap/>
            <w:vAlign w:val="bottom"/>
            <w:hideMark/>
          </w:tcPr>
          <w:p w14:paraId="46BB9BB3" w14:textId="6658DD44"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6510D54" w14:textId="38B6E3FD"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E790731" w14:textId="6C129394"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41594B4" w14:textId="6DCF3F52"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AF6962E" w14:textId="6CF58F4B"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40EC45EB" w14:textId="1246B587"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3430EBB" w14:textId="72DAE41D" w:rsidR="00D8302C" w:rsidRPr="005B54EE" w:rsidRDefault="00D8302C" w:rsidP="00D8302C">
            <w:pPr>
              <w:jc w:val="right"/>
              <w:rPr>
                <w:rFonts w:ascii="Times New Roman" w:hAnsi="Times New Roman"/>
                <w:sz w:val="14"/>
                <w:szCs w:val="18"/>
              </w:rPr>
            </w:pPr>
            <w:r w:rsidRPr="005B54EE">
              <w:rPr>
                <w:sz w:val="14"/>
              </w:rPr>
              <w:t>38,23</w:t>
            </w:r>
          </w:p>
        </w:tc>
      </w:tr>
      <w:tr w:rsidR="00D8302C" w:rsidRPr="005B54EE" w14:paraId="6342BF0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A92BBB3"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D.  Agricultural soils</w:t>
            </w:r>
          </w:p>
        </w:tc>
        <w:tc>
          <w:tcPr>
            <w:tcW w:w="914" w:type="dxa"/>
            <w:tcBorders>
              <w:top w:val="nil"/>
              <w:left w:val="nil"/>
              <w:bottom w:val="single" w:sz="4" w:space="0" w:color="auto"/>
              <w:right w:val="single" w:sz="4" w:space="0" w:color="auto"/>
            </w:tcBorders>
            <w:shd w:val="clear" w:color="000000" w:fill="969696"/>
            <w:noWrap/>
            <w:vAlign w:val="bottom"/>
            <w:hideMark/>
          </w:tcPr>
          <w:p w14:paraId="7A37A202" w14:textId="659D9884"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434F1AB7" w14:textId="58502D60"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4CC0BF36" w14:textId="18F94C7A" w:rsidR="00D8302C" w:rsidRPr="005B54EE" w:rsidRDefault="00D8302C" w:rsidP="00D8302C">
            <w:pPr>
              <w:jc w:val="right"/>
              <w:rPr>
                <w:rFonts w:ascii="Times New Roman" w:hAnsi="Times New Roman"/>
                <w:sz w:val="14"/>
                <w:szCs w:val="18"/>
              </w:rPr>
            </w:pPr>
            <w:r w:rsidRPr="005B54EE">
              <w:rPr>
                <w:sz w:val="14"/>
              </w:rPr>
              <w:t>29169,35</w:t>
            </w:r>
          </w:p>
        </w:tc>
        <w:tc>
          <w:tcPr>
            <w:tcW w:w="820" w:type="dxa"/>
            <w:tcBorders>
              <w:top w:val="nil"/>
              <w:left w:val="nil"/>
              <w:bottom w:val="single" w:sz="4" w:space="0" w:color="auto"/>
              <w:right w:val="single" w:sz="4" w:space="0" w:color="auto"/>
            </w:tcBorders>
            <w:shd w:val="clear" w:color="000000" w:fill="969696"/>
            <w:noWrap/>
            <w:vAlign w:val="bottom"/>
            <w:hideMark/>
          </w:tcPr>
          <w:p w14:paraId="19746791" w14:textId="6BD4DB49"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1B5DD33" w14:textId="35CB080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8F3B7DB" w14:textId="477E5B56"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8E12D98" w14:textId="18BED211"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19EDC50" w14:textId="3217241F"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1676B677" w14:textId="4F445B45" w:rsidR="00D8302C" w:rsidRPr="005B54EE" w:rsidRDefault="00D8302C" w:rsidP="00D8302C">
            <w:pPr>
              <w:jc w:val="right"/>
              <w:rPr>
                <w:rFonts w:ascii="Times New Roman" w:hAnsi="Times New Roman"/>
                <w:sz w:val="14"/>
                <w:szCs w:val="18"/>
              </w:rPr>
            </w:pPr>
            <w:r w:rsidRPr="005B54EE">
              <w:rPr>
                <w:sz w:val="14"/>
              </w:rPr>
              <w:t>29169,35</w:t>
            </w:r>
          </w:p>
        </w:tc>
      </w:tr>
      <w:tr w:rsidR="00D8302C" w:rsidRPr="005B54EE" w14:paraId="0D3486A0"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2A87566"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E.  Prescribed burning of savannas</w:t>
            </w:r>
          </w:p>
        </w:tc>
        <w:tc>
          <w:tcPr>
            <w:tcW w:w="914" w:type="dxa"/>
            <w:tcBorders>
              <w:top w:val="nil"/>
              <w:left w:val="nil"/>
              <w:bottom w:val="single" w:sz="4" w:space="0" w:color="auto"/>
              <w:right w:val="single" w:sz="4" w:space="0" w:color="auto"/>
            </w:tcBorders>
            <w:shd w:val="clear" w:color="000000" w:fill="969696"/>
            <w:noWrap/>
            <w:vAlign w:val="bottom"/>
            <w:hideMark/>
          </w:tcPr>
          <w:p w14:paraId="63AC8073" w14:textId="002E4F93"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6BC8B708" w14:textId="61DDFC04"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0E22A665" w14:textId="3006AC01"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969696"/>
            <w:noWrap/>
            <w:vAlign w:val="bottom"/>
            <w:hideMark/>
          </w:tcPr>
          <w:p w14:paraId="6256272A" w14:textId="53C4600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E29521F" w14:textId="5EC5F5F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2403D43" w14:textId="6EA760F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57B108C" w14:textId="7E6DFEAB"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3D36C990" w14:textId="2DC3FB7C"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79DF7911" w14:textId="039B84F6" w:rsidR="00D8302C" w:rsidRPr="005B54EE" w:rsidRDefault="00D8302C" w:rsidP="00D8302C">
            <w:pPr>
              <w:jc w:val="right"/>
              <w:rPr>
                <w:rFonts w:ascii="Times New Roman" w:hAnsi="Times New Roman"/>
                <w:sz w:val="14"/>
                <w:szCs w:val="18"/>
              </w:rPr>
            </w:pPr>
            <w:r w:rsidRPr="005B54EE">
              <w:rPr>
                <w:sz w:val="14"/>
              </w:rPr>
              <w:t>NO</w:t>
            </w:r>
          </w:p>
        </w:tc>
      </w:tr>
      <w:tr w:rsidR="00D8302C" w:rsidRPr="005B54EE" w14:paraId="2CD0BE9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31D6EEF"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F.  Field burning of agricultural residues</w:t>
            </w:r>
          </w:p>
        </w:tc>
        <w:tc>
          <w:tcPr>
            <w:tcW w:w="914" w:type="dxa"/>
            <w:tcBorders>
              <w:top w:val="nil"/>
              <w:left w:val="nil"/>
              <w:bottom w:val="single" w:sz="4" w:space="0" w:color="auto"/>
              <w:right w:val="single" w:sz="4" w:space="0" w:color="auto"/>
            </w:tcBorders>
            <w:shd w:val="clear" w:color="000000" w:fill="969696"/>
            <w:noWrap/>
            <w:vAlign w:val="bottom"/>
            <w:hideMark/>
          </w:tcPr>
          <w:p w14:paraId="0B359341" w14:textId="78178FE8"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215EE295" w14:textId="71481FC0" w:rsidR="00D8302C" w:rsidRPr="005B54EE" w:rsidRDefault="00D8302C" w:rsidP="00D8302C">
            <w:pPr>
              <w:jc w:val="right"/>
              <w:rPr>
                <w:rFonts w:ascii="Times New Roman" w:hAnsi="Times New Roman"/>
                <w:sz w:val="14"/>
                <w:szCs w:val="18"/>
              </w:rPr>
            </w:pPr>
            <w:r w:rsidRPr="005B54EE">
              <w:rPr>
                <w:sz w:val="14"/>
              </w:rPr>
              <w:t>28,26</w:t>
            </w:r>
          </w:p>
        </w:tc>
        <w:tc>
          <w:tcPr>
            <w:tcW w:w="820" w:type="dxa"/>
            <w:tcBorders>
              <w:top w:val="nil"/>
              <w:left w:val="nil"/>
              <w:bottom w:val="single" w:sz="4" w:space="0" w:color="auto"/>
              <w:right w:val="single" w:sz="4" w:space="0" w:color="auto"/>
            </w:tcBorders>
            <w:shd w:val="clear" w:color="000000" w:fill="CCFFFF"/>
            <w:noWrap/>
            <w:vAlign w:val="bottom"/>
            <w:hideMark/>
          </w:tcPr>
          <w:p w14:paraId="502729EC" w14:textId="7D53337E" w:rsidR="00D8302C" w:rsidRPr="005B54EE" w:rsidRDefault="00D8302C" w:rsidP="00D8302C">
            <w:pPr>
              <w:jc w:val="right"/>
              <w:rPr>
                <w:rFonts w:ascii="Times New Roman" w:hAnsi="Times New Roman"/>
                <w:sz w:val="14"/>
                <w:szCs w:val="18"/>
              </w:rPr>
            </w:pPr>
            <w:r w:rsidRPr="005B54EE">
              <w:rPr>
                <w:sz w:val="14"/>
              </w:rPr>
              <w:t>8,73</w:t>
            </w:r>
          </w:p>
        </w:tc>
        <w:tc>
          <w:tcPr>
            <w:tcW w:w="820" w:type="dxa"/>
            <w:tcBorders>
              <w:top w:val="nil"/>
              <w:left w:val="nil"/>
              <w:bottom w:val="single" w:sz="4" w:space="0" w:color="auto"/>
              <w:right w:val="single" w:sz="4" w:space="0" w:color="auto"/>
            </w:tcBorders>
            <w:shd w:val="clear" w:color="000000" w:fill="969696"/>
            <w:noWrap/>
            <w:vAlign w:val="bottom"/>
            <w:hideMark/>
          </w:tcPr>
          <w:p w14:paraId="09801AA1" w14:textId="0EF3A9EB"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28A4871" w14:textId="51B37A80"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E09C222" w14:textId="66F1AA5B"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7697D33" w14:textId="7C1F8E0B"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64F4E81D" w14:textId="4DC70C5C"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22799187" w14:textId="64423AAB" w:rsidR="00D8302C" w:rsidRPr="005B54EE" w:rsidRDefault="00D8302C" w:rsidP="00D8302C">
            <w:pPr>
              <w:jc w:val="right"/>
              <w:rPr>
                <w:rFonts w:ascii="Times New Roman" w:hAnsi="Times New Roman"/>
                <w:sz w:val="14"/>
                <w:szCs w:val="18"/>
              </w:rPr>
            </w:pPr>
            <w:r w:rsidRPr="005B54EE">
              <w:rPr>
                <w:sz w:val="14"/>
              </w:rPr>
              <w:t>36,99</w:t>
            </w:r>
          </w:p>
        </w:tc>
      </w:tr>
      <w:tr w:rsidR="00D8302C" w:rsidRPr="005B54EE" w14:paraId="61C80AF1"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F2C5276"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G. Liming</w:t>
            </w:r>
          </w:p>
        </w:tc>
        <w:tc>
          <w:tcPr>
            <w:tcW w:w="914" w:type="dxa"/>
            <w:tcBorders>
              <w:top w:val="nil"/>
              <w:left w:val="nil"/>
              <w:bottom w:val="single" w:sz="4" w:space="0" w:color="auto"/>
              <w:right w:val="single" w:sz="4" w:space="0" w:color="auto"/>
            </w:tcBorders>
            <w:shd w:val="clear" w:color="000000" w:fill="CCFFFF"/>
            <w:noWrap/>
            <w:vAlign w:val="bottom"/>
            <w:hideMark/>
          </w:tcPr>
          <w:p w14:paraId="42646E21" w14:textId="159098E4" w:rsidR="00D8302C" w:rsidRPr="005B54EE" w:rsidRDefault="00D8302C" w:rsidP="00D8302C">
            <w:pPr>
              <w:jc w:val="right"/>
              <w:rPr>
                <w:rFonts w:ascii="Times New Roman" w:hAnsi="Times New Roman"/>
                <w:sz w:val="14"/>
                <w:szCs w:val="18"/>
              </w:rPr>
            </w:pPr>
            <w:r w:rsidRPr="005B54EE">
              <w:rPr>
                <w:sz w:val="14"/>
              </w:rPr>
              <w:t>640,81</w:t>
            </w:r>
          </w:p>
        </w:tc>
        <w:tc>
          <w:tcPr>
            <w:tcW w:w="820" w:type="dxa"/>
            <w:tcBorders>
              <w:top w:val="nil"/>
              <w:left w:val="nil"/>
              <w:bottom w:val="single" w:sz="4" w:space="0" w:color="auto"/>
              <w:right w:val="single" w:sz="4" w:space="0" w:color="auto"/>
            </w:tcBorders>
            <w:shd w:val="clear" w:color="000000" w:fill="969696"/>
            <w:noWrap/>
            <w:vAlign w:val="bottom"/>
            <w:hideMark/>
          </w:tcPr>
          <w:p w14:paraId="21E1CC18" w14:textId="05E3EABF"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E5F81F8" w14:textId="14849A4C"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109EB59" w14:textId="6F7C31FA"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49690AB" w14:textId="427D035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F38DA12" w14:textId="02B91117"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312B83C" w14:textId="46868808"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7032AB83" w14:textId="2EF7D65A"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2EAB8FF" w14:textId="6067994D" w:rsidR="00D8302C" w:rsidRPr="005B54EE" w:rsidRDefault="00D8302C" w:rsidP="00D8302C">
            <w:pPr>
              <w:jc w:val="right"/>
              <w:rPr>
                <w:rFonts w:ascii="Times New Roman" w:hAnsi="Times New Roman"/>
                <w:sz w:val="14"/>
                <w:szCs w:val="18"/>
              </w:rPr>
            </w:pPr>
            <w:r w:rsidRPr="005B54EE">
              <w:rPr>
                <w:sz w:val="14"/>
              </w:rPr>
              <w:t>640,81</w:t>
            </w:r>
          </w:p>
        </w:tc>
      </w:tr>
      <w:tr w:rsidR="00D8302C" w:rsidRPr="005B54EE" w14:paraId="1813B8AC"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258A680"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H. Urea application</w:t>
            </w:r>
          </w:p>
        </w:tc>
        <w:tc>
          <w:tcPr>
            <w:tcW w:w="914" w:type="dxa"/>
            <w:tcBorders>
              <w:top w:val="nil"/>
              <w:left w:val="nil"/>
              <w:bottom w:val="single" w:sz="4" w:space="0" w:color="auto"/>
              <w:right w:val="single" w:sz="4" w:space="0" w:color="auto"/>
            </w:tcBorders>
            <w:shd w:val="clear" w:color="000000" w:fill="CCFFFF"/>
            <w:noWrap/>
            <w:vAlign w:val="bottom"/>
            <w:hideMark/>
          </w:tcPr>
          <w:p w14:paraId="2DF86C5F" w14:textId="69367081" w:rsidR="00D8302C" w:rsidRPr="005B54EE" w:rsidRDefault="00D8302C" w:rsidP="00D8302C">
            <w:pPr>
              <w:jc w:val="right"/>
              <w:rPr>
                <w:rFonts w:ascii="Times New Roman" w:hAnsi="Times New Roman"/>
                <w:sz w:val="14"/>
                <w:szCs w:val="18"/>
              </w:rPr>
            </w:pPr>
            <w:r w:rsidRPr="005B54EE">
              <w:rPr>
                <w:sz w:val="14"/>
              </w:rPr>
              <w:t>1036,18</w:t>
            </w:r>
          </w:p>
        </w:tc>
        <w:tc>
          <w:tcPr>
            <w:tcW w:w="820" w:type="dxa"/>
            <w:tcBorders>
              <w:top w:val="nil"/>
              <w:left w:val="nil"/>
              <w:bottom w:val="single" w:sz="4" w:space="0" w:color="auto"/>
              <w:right w:val="single" w:sz="4" w:space="0" w:color="auto"/>
            </w:tcBorders>
            <w:shd w:val="clear" w:color="000000" w:fill="969696"/>
            <w:noWrap/>
            <w:vAlign w:val="bottom"/>
            <w:hideMark/>
          </w:tcPr>
          <w:p w14:paraId="2E623342" w14:textId="1BDD9CB7"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8552E0B" w14:textId="50929044"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46D3FEEA" w14:textId="4881541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DE72336" w14:textId="6A3100E2"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73E9E0B" w14:textId="7DABC695"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841D426" w14:textId="6B59D54C"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074B2F0" w14:textId="16C5A548"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80161D9" w14:textId="59E9E41A" w:rsidR="00D8302C" w:rsidRPr="005B54EE" w:rsidRDefault="00D8302C" w:rsidP="00D8302C">
            <w:pPr>
              <w:jc w:val="right"/>
              <w:rPr>
                <w:rFonts w:ascii="Times New Roman" w:hAnsi="Times New Roman"/>
                <w:sz w:val="14"/>
                <w:szCs w:val="18"/>
              </w:rPr>
            </w:pPr>
            <w:r w:rsidRPr="005B54EE">
              <w:rPr>
                <w:sz w:val="14"/>
              </w:rPr>
              <w:t>1036,18</w:t>
            </w:r>
          </w:p>
        </w:tc>
      </w:tr>
      <w:tr w:rsidR="00D8302C" w:rsidRPr="005B54EE" w14:paraId="311700A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7A0551B"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I.  Other carbon-containing fertilizers</w:t>
            </w:r>
          </w:p>
        </w:tc>
        <w:tc>
          <w:tcPr>
            <w:tcW w:w="914" w:type="dxa"/>
            <w:tcBorders>
              <w:top w:val="nil"/>
              <w:left w:val="nil"/>
              <w:bottom w:val="single" w:sz="4" w:space="0" w:color="auto"/>
              <w:right w:val="single" w:sz="4" w:space="0" w:color="auto"/>
            </w:tcBorders>
            <w:shd w:val="clear" w:color="000000" w:fill="CCFFFF"/>
            <w:noWrap/>
            <w:vAlign w:val="bottom"/>
            <w:hideMark/>
          </w:tcPr>
          <w:p w14:paraId="6CEDD69B" w14:textId="52D4B745" w:rsidR="00D8302C" w:rsidRPr="005B54EE" w:rsidRDefault="00D8302C" w:rsidP="00D8302C">
            <w:pPr>
              <w:jc w:val="right"/>
              <w:rPr>
                <w:rFonts w:ascii="Times New Roman" w:hAnsi="Times New Roman"/>
                <w:sz w:val="14"/>
                <w:szCs w:val="18"/>
              </w:rPr>
            </w:pPr>
            <w:r w:rsidRPr="005B54EE">
              <w:rPr>
                <w:sz w:val="14"/>
              </w:rPr>
              <w:t>181,84</w:t>
            </w:r>
          </w:p>
        </w:tc>
        <w:tc>
          <w:tcPr>
            <w:tcW w:w="820" w:type="dxa"/>
            <w:tcBorders>
              <w:top w:val="nil"/>
              <w:left w:val="nil"/>
              <w:bottom w:val="single" w:sz="4" w:space="0" w:color="auto"/>
              <w:right w:val="single" w:sz="4" w:space="0" w:color="auto"/>
            </w:tcBorders>
            <w:shd w:val="clear" w:color="000000" w:fill="969696"/>
            <w:noWrap/>
            <w:vAlign w:val="bottom"/>
            <w:hideMark/>
          </w:tcPr>
          <w:p w14:paraId="7B4EE46D" w14:textId="03DD124C"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1C9E2E00" w14:textId="343CCD79"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B5767F9" w14:textId="68F285B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33CC194" w14:textId="1C86E6D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CDB2A00" w14:textId="3281145E"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EE716AB" w14:textId="526444A7"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325D81B4" w14:textId="0860E44D"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845994D" w14:textId="44F6B3B9" w:rsidR="00D8302C" w:rsidRPr="005B54EE" w:rsidRDefault="00D8302C" w:rsidP="00D8302C">
            <w:pPr>
              <w:jc w:val="right"/>
              <w:rPr>
                <w:rFonts w:ascii="Times New Roman" w:hAnsi="Times New Roman"/>
                <w:sz w:val="14"/>
                <w:szCs w:val="18"/>
              </w:rPr>
            </w:pPr>
            <w:r w:rsidRPr="005B54EE">
              <w:rPr>
                <w:sz w:val="14"/>
              </w:rPr>
              <w:t>181,84</w:t>
            </w:r>
          </w:p>
        </w:tc>
      </w:tr>
      <w:tr w:rsidR="00D8302C" w:rsidRPr="005B54EE" w14:paraId="5437D3BA"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A81E7A7"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 xml:space="preserve">J.  Other </w:t>
            </w:r>
          </w:p>
        </w:tc>
        <w:tc>
          <w:tcPr>
            <w:tcW w:w="914" w:type="dxa"/>
            <w:tcBorders>
              <w:top w:val="nil"/>
              <w:left w:val="nil"/>
              <w:bottom w:val="single" w:sz="4" w:space="0" w:color="auto"/>
              <w:right w:val="single" w:sz="4" w:space="0" w:color="auto"/>
            </w:tcBorders>
            <w:shd w:val="clear" w:color="000000" w:fill="CCFFFF"/>
            <w:noWrap/>
            <w:vAlign w:val="bottom"/>
            <w:hideMark/>
          </w:tcPr>
          <w:p w14:paraId="44A0E6B5" w14:textId="55C7B564"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6BBF7CF3" w14:textId="6A93279A"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2C297642" w14:textId="3AE238D7"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969696"/>
            <w:noWrap/>
            <w:vAlign w:val="bottom"/>
            <w:hideMark/>
          </w:tcPr>
          <w:p w14:paraId="4DAA7EBE" w14:textId="3370AA8D"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0CD24C7" w14:textId="66B8367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908B364" w14:textId="7ADF2A70"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DD70002" w14:textId="73494ECB"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C283029" w14:textId="415C34AF"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CCC49CB" w14:textId="71B63409" w:rsidR="00D8302C" w:rsidRPr="005B54EE" w:rsidRDefault="00D8302C" w:rsidP="00D8302C">
            <w:pPr>
              <w:jc w:val="right"/>
              <w:rPr>
                <w:rFonts w:ascii="Times New Roman" w:hAnsi="Times New Roman"/>
                <w:sz w:val="14"/>
                <w:szCs w:val="18"/>
              </w:rPr>
            </w:pPr>
            <w:r w:rsidRPr="005B54EE">
              <w:rPr>
                <w:sz w:val="14"/>
              </w:rPr>
              <w:t>NO</w:t>
            </w:r>
          </w:p>
        </w:tc>
      </w:tr>
      <w:tr w:rsidR="00D8302C" w:rsidRPr="005B54EE" w14:paraId="4D2DE368"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CC25E62" w14:textId="77777777" w:rsidR="00D8302C" w:rsidRPr="005B54EE" w:rsidRDefault="00D8302C" w:rsidP="00D8302C">
            <w:pPr>
              <w:jc w:val="left"/>
              <w:rPr>
                <w:rFonts w:ascii="Times New Roman" w:hAnsi="Times New Roman"/>
                <w:b/>
                <w:bCs/>
                <w:sz w:val="14"/>
                <w:szCs w:val="18"/>
              </w:rPr>
            </w:pPr>
            <w:r w:rsidRPr="005B54EE">
              <w:rPr>
                <w:rFonts w:ascii="Times New Roman" w:hAnsi="Times New Roman"/>
                <w:b/>
                <w:sz w:val="14"/>
              </w:rPr>
              <w:t>4. Land use, land-use change and forestry</w:t>
            </w:r>
            <w:r w:rsidRPr="005B54EE">
              <w:rPr>
                <w:rFonts w:ascii="Times New Roman" w:hAnsi="Times New Roman"/>
                <w:b/>
                <w:sz w:val="14"/>
                <w:vertAlign w:val="superscript"/>
              </w:rPr>
              <w:t>(1)</w:t>
            </w:r>
          </w:p>
        </w:tc>
        <w:tc>
          <w:tcPr>
            <w:tcW w:w="914" w:type="dxa"/>
            <w:tcBorders>
              <w:top w:val="nil"/>
              <w:left w:val="nil"/>
              <w:bottom w:val="single" w:sz="4" w:space="0" w:color="auto"/>
              <w:right w:val="single" w:sz="4" w:space="0" w:color="auto"/>
            </w:tcBorders>
            <w:shd w:val="clear" w:color="000000" w:fill="CCFFFF"/>
            <w:noWrap/>
            <w:vAlign w:val="bottom"/>
            <w:hideMark/>
          </w:tcPr>
          <w:p w14:paraId="47ABD14F" w14:textId="26B696E2" w:rsidR="00D8302C" w:rsidRPr="005B54EE" w:rsidRDefault="00D8302C" w:rsidP="00D8302C">
            <w:pPr>
              <w:jc w:val="right"/>
              <w:rPr>
                <w:rFonts w:ascii="Times New Roman" w:hAnsi="Times New Roman"/>
                <w:sz w:val="14"/>
                <w:szCs w:val="18"/>
              </w:rPr>
            </w:pPr>
            <w:r w:rsidRPr="005B54EE">
              <w:rPr>
                <w:sz w:val="14"/>
              </w:rPr>
              <w:t>-17961,34</w:t>
            </w:r>
          </w:p>
        </w:tc>
        <w:tc>
          <w:tcPr>
            <w:tcW w:w="820" w:type="dxa"/>
            <w:tcBorders>
              <w:top w:val="nil"/>
              <w:left w:val="nil"/>
              <w:bottom w:val="single" w:sz="4" w:space="0" w:color="auto"/>
              <w:right w:val="single" w:sz="4" w:space="0" w:color="auto"/>
            </w:tcBorders>
            <w:shd w:val="clear" w:color="000000" w:fill="CCFFFF"/>
            <w:noWrap/>
            <w:vAlign w:val="bottom"/>
            <w:hideMark/>
          </w:tcPr>
          <w:p w14:paraId="25899958" w14:textId="05423DAD" w:rsidR="00D8302C" w:rsidRPr="005B54EE" w:rsidRDefault="00D8302C" w:rsidP="00D8302C">
            <w:pPr>
              <w:jc w:val="right"/>
              <w:rPr>
                <w:rFonts w:ascii="Times New Roman" w:hAnsi="Times New Roman"/>
                <w:sz w:val="14"/>
                <w:szCs w:val="18"/>
              </w:rPr>
            </w:pPr>
            <w:r w:rsidRPr="005B54EE">
              <w:rPr>
                <w:sz w:val="14"/>
              </w:rPr>
              <w:t>1105,69</w:t>
            </w:r>
          </w:p>
        </w:tc>
        <w:tc>
          <w:tcPr>
            <w:tcW w:w="820" w:type="dxa"/>
            <w:tcBorders>
              <w:top w:val="nil"/>
              <w:left w:val="nil"/>
              <w:bottom w:val="single" w:sz="4" w:space="0" w:color="auto"/>
              <w:right w:val="single" w:sz="4" w:space="0" w:color="auto"/>
            </w:tcBorders>
            <w:shd w:val="clear" w:color="000000" w:fill="CCFFFF"/>
            <w:noWrap/>
            <w:vAlign w:val="bottom"/>
            <w:hideMark/>
          </w:tcPr>
          <w:p w14:paraId="2ACC900C" w14:textId="3FD7FC38" w:rsidR="00D8302C" w:rsidRPr="005B54EE" w:rsidRDefault="00D8302C" w:rsidP="00D8302C">
            <w:pPr>
              <w:jc w:val="right"/>
              <w:rPr>
                <w:rFonts w:ascii="Times New Roman" w:hAnsi="Times New Roman"/>
                <w:sz w:val="14"/>
                <w:szCs w:val="18"/>
              </w:rPr>
            </w:pPr>
            <w:r w:rsidRPr="005B54EE">
              <w:rPr>
                <w:sz w:val="14"/>
              </w:rPr>
              <w:t>2850,17</w:t>
            </w:r>
          </w:p>
        </w:tc>
        <w:tc>
          <w:tcPr>
            <w:tcW w:w="820" w:type="dxa"/>
            <w:tcBorders>
              <w:top w:val="nil"/>
              <w:left w:val="nil"/>
              <w:bottom w:val="single" w:sz="4" w:space="0" w:color="auto"/>
              <w:right w:val="single" w:sz="4" w:space="0" w:color="auto"/>
            </w:tcBorders>
            <w:shd w:val="clear" w:color="000000" w:fill="969696"/>
            <w:noWrap/>
            <w:vAlign w:val="bottom"/>
            <w:hideMark/>
          </w:tcPr>
          <w:p w14:paraId="04BEF65A" w14:textId="33A8B2D9"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CFD93F1" w14:textId="200EB92D"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72155B3" w14:textId="663AB1E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4E18300" w14:textId="387C28EE"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A6B8213" w14:textId="0814D183"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5969DC1B" w14:textId="6AC8F88C" w:rsidR="00D8302C" w:rsidRPr="005B54EE" w:rsidRDefault="00D8302C" w:rsidP="00D8302C">
            <w:pPr>
              <w:jc w:val="right"/>
              <w:rPr>
                <w:rFonts w:ascii="Times New Roman" w:hAnsi="Times New Roman"/>
                <w:sz w:val="14"/>
                <w:szCs w:val="18"/>
              </w:rPr>
            </w:pPr>
            <w:r w:rsidRPr="005B54EE">
              <w:rPr>
                <w:sz w:val="14"/>
              </w:rPr>
              <w:t>-14005,48</w:t>
            </w:r>
          </w:p>
        </w:tc>
      </w:tr>
      <w:tr w:rsidR="00D8302C" w:rsidRPr="005B54EE" w14:paraId="6457ACEB"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479E053"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A. Forest land</w:t>
            </w:r>
          </w:p>
        </w:tc>
        <w:tc>
          <w:tcPr>
            <w:tcW w:w="914" w:type="dxa"/>
            <w:tcBorders>
              <w:top w:val="nil"/>
              <w:left w:val="nil"/>
              <w:bottom w:val="single" w:sz="4" w:space="0" w:color="auto"/>
              <w:right w:val="single" w:sz="4" w:space="0" w:color="auto"/>
            </w:tcBorders>
            <w:shd w:val="clear" w:color="000000" w:fill="CCFFFF"/>
            <w:noWrap/>
            <w:vAlign w:val="bottom"/>
            <w:hideMark/>
          </w:tcPr>
          <w:p w14:paraId="029FBE4D" w14:textId="40809F14" w:rsidR="00D8302C" w:rsidRPr="005B54EE" w:rsidRDefault="00D8302C" w:rsidP="00D8302C">
            <w:pPr>
              <w:jc w:val="right"/>
              <w:rPr>
                <w:rFonts w:ascii="Times New Roman" w:hAnsi="Times New Roman"/>
                <w:sz w:val="14"/>
                <w:szCs w:val="18"/>
              </w:rPr>
            </w:pPr>
            <w:r w:rsidRPr="005B54EE">
              <w:rPr>
                <w:sz w:val="14"/>
              </w:rPr>
              <w:t>-31389,29</w:t>
            </w:r>
          </w:p>
        </w:tc>
        <w:tc>
          <w:tcPr>
            <w:tcW w:w="820" w:type="dxa"/>
            <w:tcBorders>
              <w:top w:val="nil"/>
              <w:left w:val="nil"/>
              <w:bottom w:val="single" w:sz="4" w:space="0" w:color="auto"/>
              <w:right w:val="single" w:sz="4" w:space="0" w:color="auto"/>
            </w:tcBorders>
            <w:shd w:val="clear" w:color="000000" w:fill="CCFFFF"/>
            <w:noWrap/>
            <w:vAlign w:val="bottom"/>
            <w:hideMark/>
          </w:tcPr>
          <w:p w14:paraId="4554440C" w14:textId="031B43FF" w:rsidR="00D8302C" w:rsidRPr="005B54EE" w:rsidRDefault="00D8302C" w:rsidP="00D8302C">
            <w:pPr>
              <w:jc w:val="right"/>
              <w:rPr>
                <w:rFonts w:ascii="Times New Roman" w:hAnsi="Times New Roman"/>
                <w:sz w:val="14"/>
                <w:szCs w:val="18"/>
              </w:rPr>
            </w:pPr>
            <w:r w:rsidRPr="005B54EE">
              <w:rPr>
                <w:sz w:val="14"/>
              </w:rPr>
              <w:t>586,83</w:t>
            </w:r>
          </w:p>
        </w:tc>
        <w:tc>
          <w:tcPr>
            <w:tcW w:w="820" w:type="dxa"/>
            <w:tcBorders>
              <w:top w:val="nil"/>
              <w:left w:val="nil"/>
              <w:bottom w:val="single" w:sz="4" w:space="0" w:color="auto"/>
              <w:right w:val="single" w:sz="4" w:space="0" w:color="auto"/>
            </w:tcBorders>
            <w:shd w:val="clear" w:color="000000" w:fill="CCFFFF"/>
            <w:noWrap/>
            <w:vAlign w:val="bottom"/>
            <w:hideMark/>
          </w:tcPr>
          <w:p w14:paraId="4CC3636B" w14:textId="19392691" w:rsidR="00D8302C" w:rsidRPr="005B54EE" w:rsidRDefault="00D8302C" w:rsidP="00D8302C">
            <w:pPr>
              <w:jc w:val="right"/>
              <w:rPr>
                <w:rFonts w:ascii="Times New Roman" w:hAnsi="Times New Roman"/>
                <w:sz w:val="14"/>
                <w:szCs w:val="18"/>
              </w:rPr>
            </w:pPr>
            <w:r w:rsidRPr="005B54EE">
              <w:rPr>
                <w:sz w:val="14"/>
              </w:rPr>
              <w:t>364,33</w:t>
            </w:r>
          </w:p>
        </w:tc>
        <w:tc>
          <w:tcPr>
            <w:tcW w:w="820" w:type="dxa"/>
            <w:tcBorders>
              <w:top w:val="nil"/>
              <w:left w:val="nil"/>
              <w:bottom w:val="single" w:sz="4" w:space="0" w:color="auto"/>
              <w:right w:val="single" w:sz="4" w:space="0" w:color="auto"/>
            </w:tcBorders>
            <w:shd w:val="clear" w:color="000000" w:fill="969696"/>
            <w:noWrap/>
            <w:vAlign w:val="bottom"/>
            <w:hideMark/>
          </w:tcPr>
          <w:p w14:paraId="7EC9CF4B" w14:textId="6C20327A"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F225EC5" w14:textId="0DBF05B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49A5C0D" w14:textId="76C07E91"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0C9FFD8" w14:textId="777D6CEB"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5068BFE2" w14:textId="1FBF1A54"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5D9626B4" w14:textId="2207BC50" w:rsidR="00D8302C" w:rsidRPr="005B54EE" w:rsidRDefault="00D8302C" w:rsidP="00D8302C">
            <w:pPr>
              <w:jc w:val="right"/>
              <w:rPr>
                <w:rFonts w:ascii="Times New Roman" w:hAnsi="Times New Roman"/>
                <w:sz w:val="14"/>
                <w:szCs w:val="18"/>
              </w:rPr>
            </w:pPr>
            <w:r w:rsidRPr="005B54EE">
              <w:rPr>
                <w:sz w:val="14"/>
              </w:rPr>
              <w:t>-30438,12</w:t>
            </w:r>
          </w:p>
        </w:tc>
      </w:tr>
      <w:tr w:rsidR="00D8302C" w:rsidRPr="005B54EE" w14:paraId="39746FBB"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29191EF"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B. Cropland</w:t>
            </w:r>
          </w:p>
        </w:tc>
        <w:tc>
          <w:tcPr>
            <w:tcW w:w="914" w:type="dxa"/>
            <w:tcBorders>
              <w:top w:val="nil"/>
              <w:left w:val="nil"/>
              <w:bottom w:val="single" w:sz="4" w:space="0" w:color="auto"/>
              <w:right w:val="single" w:sz="4" w:space="0" w:color="auto"/>
            </w:tcBorders>
            <w:shd w:val="clear" w:color="000000" w:fill="CCFFFF"/>
            <w:noWrap/>
            <w:vAlign w:val="bottom"/>
            <w:hideMark/>
          </w:tcPr>
          <w:p w14:paraId="75983A23" w14:textId="50A1E596" w:rsidR="00D8302C" w:rsidRPr="005B54EE" w:rsidRDefault="00D8302C" w:rsidP="00D8302C">
            <w:pPr>
              <w:jc w:val="right"/>
              <w:rPr>
                <w:rFonts w:ascii="Times New Roman" w:hAnsi="Times New Roman"/>
                <w:sz w:val="14"/>
                <w:szCs w:val="18"/>
              </w:rPr>
            </w:pPr>
            <w:r w:rsidRPr="005B54EE">
              <w:rPr>
                <w:sz w:val="14"/>
              </w:rPr>
              <w:t>11507,10</w:t>
            </w:r>
          </w:p>
        </w:tc>
        <w:tc>
          <w:tcPr>
            <w:tcW w:w="820" w:type="dxa"/>
            <w:tcBorders>
              <w:top w:val="nil"/>
              <w:left w:val="nil"/>
              <w:bottom w:val="single" w:sz="4" w:space="0" w:color="auto"/>
              <w:right w:val="single" w:sz="4" w:space="0" w:color="auto"/>
            </w:tcBorders>
            <w:shd w:val="clear" w:color="000000" w:fill="CCFFFF"/>
            <w:noWrap/>
            <w:vAlign w:val="bottom"/>
            <w:hideMark/>
          </w:tcPr>
          <w:p w14:paraId="6BFB5962" w14:textId="69566440" w:rsidR="00D8302C" w:rsidRPr="005B54EE" w:rsidRDefault="00D8302C" w:rsidP="00D8302C">
            <w:pPr>
              <w:jc w:val="right"/>
              <w:rPr>
                <w:rFonts w:ascii="Times New Roman" w:hAnsi="Times New Roman"/>
                <w:sz w:val="14"/>
                <w:szCs w:val="18"/>
              </w:rPr>
            </w:pPr>
            <w:r w:rsidRPr="005B54EE">
              <w:rPr>
                <w:sz w:val="14"/>
              </w:rPr>
              <w:t>109,50</w:t>
            </w:r>
          </w:p>
        </w:tc>
        <w:tc>
          <w:tcPr>
            <w:tcW w:w="820" w:type="dxa"/>
            <w:tcBorders>
              <w:top w:val="nil"/>
              <w:left w:val="nil"/>
              <w:bottom w:val="single" w:sz="4" w:space="0" w:color="auto"/>
              <w:right w:val="single" w:sz="4" w:space="0" w:color="auto"/>
            </w:tcBorders>
            <w:shd w:val="clear" w:color="000000" w:fill="CCFFFF"/>
            <w:noWrap/>
            <w:vAlign w:val="bottom"/>
            <w:hideMark/>
          </w:tcPr>
          <w:p w14:paraId="24A0EA6E" w14:textId="653794E1" w:rsidR="00D8302C" w:rsidRPr="005B54EE" w:rsidRDefault="00D8302C" w:rsidP="00D8302C">
            <w:pPr>
              <w:jc w:val="right"/>
              <w:rPr>
                <w:rFonts w:ascii="Times New Roman" w:hAnsi="Times New Roman"/>
                <w:sz w:val="14"/>
                <w:szCs w:val="18"/>
              </w:rPr>
            </w:pPr>
            <w:r w:rsidRPr="005B54EE">
              <w:rPr>
                <w:sz w:val="14"/>
              </w:rPr>
              <w:t>1346,42</w:t>
            </w:r>
          </w:p>
        </w:tc>
        <w:tc>
          <w:tcPr>
            <w:tcW w:w="820" w:type="dxa"/>
            <w:tcBorders>
              <w:top w:val="nil"/>
              <w:left w:val="nil"/>
              <w:bottom w:val="single" w:sz="4" w:space="0" w:color="auto"/>
              <w:right w:val="single" w:sz="4" w:space="0" w:color="auto"/>
            </w:tcBorders>
            <w:shd w:val="clear" w:color="000000" w:fill="969696"/>
            <w:noWrap/>
            <w:vAlign w:val="bottom"/>
            <w:hideMark/>
          </w:tcPr>
          <w:p w14:paraId="4C4E521B" w14:textId="558B719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3B0AEF8" w14:textId="55A2F0E4"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C356624" w14:textId="10417B2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79C4B46" w14:textId="16AD64B6"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20067E4" w14:textId="58BE220A"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349E56CB" w14:textId="7C526A97" w:rsidR="00D8302C" w:rsidRPr="005B54EE" w:rsidRDefault="00D8302C" w:rsidP="00D8302C">
            <w:pPr>
              <w:jc w:val="right"/>
              <w:rPr>
                <w:rFonts w:ascii="Times New Roman" w:hAnsi="Times New Roman"/>
                <w:sz w:val="14"/>
                <w:szCs w:val="18"/>
              </w:rPr>
            </w:pPr>
            <w:r w:rsidRPr="005B54EE">
              <w:rPr>
                <w:sz w:val="14"/>
              </w:rPr>
              <w:t>12963,02</w:t>
            </w:r>
          </w:p>
        </w:tc>
      </w:tr>
      <w:tr w:rsidR="00D8302C" w:rsidRPr="005B54EE" w14:paraId="16DCD9E1"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2EF256F"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C. Grassland</w:t>
            </w:r>
          </w:p>
        </w:tc>
        <w:tc>
          <w:tcPr>
            <w:tcW w:w="914" w:type="dxa"/>
            <w:tcBorders>
              <w:top w:val="nil"/>
              <w:left w:val="nil"/>
              <w:bottom w:val="single" w:sz="4" w:space="0" w:color="auto"/>
              <w:right w:val="single" w:sz="4" w:space="0" w:color="auto"/>
            </w:tcBorders>
            <w:shd w:val="clear" w:color="000000" w:fill="CCFFFF"/>
            <w:noWrap/>
            <w:vAlign w:val="bottom"/>
            <w:hideMark/>
          </w:tcPr>
          <w:p w14:paraId="6B7BFE9F" w14:textId="49F51E2E" w:rsidR="00D8302C" w:rsidRPr="005B54EE" w:rsidRDefault="00D8302C" w:rsidP="00D8302C">
            <w:pPr>
              <w:jc w:val="right"/>
              <w:rPr>
                <w:rFonts w:ascii="Times New Roman" w:hAnsi="Times New Roman"/>
                <w:sz w:val="14"/>
                <w:szCs w:val="18"/>
              </w:rPr>
            </w:pPr>
            <w:r w:rsidRPr="005B54EE">
              <w:rPr>
                <w:sz w:val="14"/>
              </w:rPr>
              <w:t>-8543,35</w:t>
            </w:r>
          </w:p>
        </w:tc>
        <w:tc>
          <w:tcPr>
            <w:tcW w:w="820" w:type="dxa"/>
            <w:tcBorders>
              <w:top w:val="nil"/>
              <w:left w:val="nil"/>
              <w:bottom w:val="single" w:sz="4" w:space="0" w:color="auto"/>
              <w:right w:val="single" w:sz="4" w:space="0" w:color="auto"/>
            </w:tcBorders>
            <w:shd w:val="clear" w:color="000000" w:fill="CCFFFF"/>
            <w:noWrap/>
            <w:vAlign w:val="bottom"/>
            <w:hideMark/>
          </w:tcPr>
          <w:p w14:paraId="0EE3F7CD" w14:textId="4C97D5C7" w:rsidR="00D8302C" w:rsidRPr="005B54EE" w:rsidRDefault="00D8302C" w:rsidP="00D8302C">
            <w:pPr>
              <w:jc w:val="right"/>
              <w:rPr>
                <w:rFonts w:ascii="Times New Roman" w:hAnsi="Times New Roman"/>
                <w:sz w:val="14"/>
                <w:szCs w:val="18"/>
              </w:rPr>
            </w:pPr>
            <w:r w:rsidRPr="005B54EE">
              <w:rPr>
                <w:sz w:val="14"/>
              </w:rPr>
              <w:t>123,86</w:t>
            </w:r>
          </w:p>
        </w:tc>
        <w:tc>
          <w:tcPr>
            <w:tcW w:w="820" w:type="dxa"/>
            <w:tcBorders>
              <w:top w:val="nil"/>
              <w:left w:val="nil"/>
              <w:bottom w:val="single" w:sz="4" w:space="0" w:color="auto"/>
              <w:right w:val="single" w:sz="4" w:space="0" w:color="auto"/>
            </w:tcBorders>
            <w:shd w:val="clear" w:color="000000" w:fill="CCFFFF"/>
            <w:noWrap/>
            <w:vAlign w:val="bottom"/>
            <w:hideMark/>
          </w:tcPr>
          <w:p w14:paraId="5AA62573" w14:textId="75CB206F" w:rsidR="00D8302C" w:rsidRPr="005B54EE" w:rsidRDefault="00D8302C" w:rsidP="00D8302C">
            <w:pPr>
              <w:jc w:val="right"/>
              <w:rPr>
                <w:rFonts w:ascii="Times New Roman" w:hAnsi="Times New Roman"/>
                <w:sz w:val="14"/>
                <w:szCs w:val="18"/>
              </w:rPr>
            </w:pPr>
            <w:r w:rsidRPr="005B54EE">
              <w:rPr>
                <w:sz w:val="14"/>
              </w:rPr>
              <w:t>99,88</w:t>
            </w:r>
          </w:p>
        </w:tc>
        <w:tc>
          <w:tcPr>
            <w:tcW w:w="820" w:type="dxa"/>
            <w:tcBorders>
              <w:top w:val="nil"/>
              <w:left w:val="nil"/>
              <w:bottom w:val="single" w:sz="4" w:space="0" w:color="auto"/>
              <w:right w:val="single" w:sz="4" w:space="0" w:color="auto"/>
            </w:tcBorders>
            <w:shd w:val="clear" w:color="000000" w:fill="969696"/>
            <w:noWrap/>
            <w:vAlign w:val="bottom"/>
            <w:hideMark/>
          </w:tcPr>
          <w:p w14:paraId="32F78C89" w14:textId="2D271123"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DD742DA" w14:textId="192259E9"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62C924B" w14:textId="0B6A9ED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6F50CB5" w14:textId="38F401C9"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51F53DD7" w14:textId="7780F85B"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85242E3" w14:textId="7A67F5A2" w:rsidR="00D8302C" w:rsidRPr="005B54EE" w:rsidRDefault="00D8302C" w:rsidP="00D8302C">
            <w:pPr>
              <w:jc w:val="right"/>
              <w:rPr>
                <w:rFonts w:ascii="Times New Roman" w:hAnsi="Times New Roman"/>
                <w:sz w:val="14"/>
                <w:szCs w:val="18"/>
              </w:rPr>
            </w:pPr>
            <w:r w:rsidRPr="005B54EE">
              <w:rPr>
                <w:sz w:val="14"/>
              </w:rPr>
              <w:t>-8319,62</w:t>
            </w:r>
          </w:p>
        </w:tc>
      </w:tr>
      <w:tr w:rsidR="00D8302C" w:rsidRPr="005B54EE" w14:paraId="0CE5EB3B"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19F574B"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D. Wetlands</w:t>
            </w:r>
          </w:p>
        </w:tc>
        <w:tc>
          <w:tcPr>
            <w:tcW w:w="914" w:type="dxa"/>
            <w:tcBorders>
              <w:top w:val="nil"/>
              <w:left w:val="nil"/>
              <w:bottom w:val="single" w:sz="4" w:space="0" w:color="auto"/>
              <w:right w:val="single" w:sz="4" w:space="0" w:color="auto"/>
            </w:tcBorders>
            <w:shd w:val="clear" w:color="000000" w:fill="CCFFFF"/>
            <w:noWrap/>
            <w:vAlign w:val="bottom"/>
            <w:hideMark/>
          </w:tcPr>
          <w:p w14:paraId="48E4A7D2" w14:textId="26F1AF6B" w:rsidR="00D8302C" w:rsidRPr="005B54EE" w:rsidRDefault="00D8302C" w:rsidP="00D8302C">
            <w:pPr>
              <w:jc w:val="right"/>
              <w:rPr>
                <w:rFonts w:ascii="Times New Roman" w:hAnsi="Times New Roman"/>
                <w:sz w:val="14"/>
                <w:szCs w:val="18"/>
              </w:rPr>
            </w:pPr>
            <w:r w:rsidRPr="005B54EE">
              <w:rPr>
                <w:sz w:val="14"/>
              </w:rPr>
              <w:t>494,83</w:t>
            </w:r>
          </w:p>
        </w:tc>
        <w:tc>
          <w:tcPr>
            <w:tcW w:w="820" w:type="dxa"/>
            <w:tcBorders>
              <w:top w:val="nil"/>
              <w:left w:val="nil"/>
              <w:bottom w:val="single" w:sz="4" w:space="0" w:color="auto"/>
              <w:right w:val="single" w:sz="4" w:space="0" w:color="auto"/>
            </w:tcBorders>
            <w:shd w:val="clear" w:color="000000" w:fill="CCFFFF"/>
            <w:noWrap/>
            <w:vAlign w:val="bottom"/>
            <w:hideMark/>
          </w:tcPr>
          <w:p w14:paraId="0706F963" w14:textId="4DFFE8A1" w:rsidR="00D8302C" w:rsidRPr="005B54EE" w:rsidRDefault="00D8302C" w:rsidP="00D8302C">
            <w:pPr>
              <w:jc w:val="right"/>
              <w:rPr>
                <w:rFonts w:ascii="Times New Roman" w:hAnsi="Times New Roman"/>
                <w:sz w:val="14"/>
                <w:szCs w:val="18"/>
              </w:rPr>
            </w:pPr>
            <w:r w:rsidRPr="005B54EE">
              <w:rPr>
                <w:sz w:val="14"/>
              </w:rPr>
              <w:t>8,92</w:t>
            </w:r>
          </w:p>
        </w:tc>
        <w:tc>
          <w:tcPr>
            <w:tcW w:w="820" w:type="dxa"/>
            <w:tcBorders>
              <w:top w:val="nil"/>
              <w:left w:val="nil"/>
              <w:bottom w:val="single" w:sz="4" w:space="0" w:color="auto"/>
              <w:right w:val="single" w:sz="4" w:space="0" w:color="auto"/>
            </w:tcBorders>
            <w:shd w:val="clear" w:color="000000" w:fill="CCFFFF"/>
            <w:noWrap/>
            <w:vAlign w:val="bottom"/>
            <w:hideMark/>
          </w:tcPr>
          <w:p w14:paraId="3199F321" w14:textId="3C0B2D5B" w:rsidR="00D8302C" w:rsidRPr="005B54EE" w:rsidRDefault="00D8302C" w:rsidP="00D8302C">
            <w:pPr>
              <w:jc w:val="right"/>
              <w:rPr>
                <w:rFonts w:ascii="Times New Roman" w:hAnsi="Times New Roman"/>
                <w:sz w:val="14"/>
                <w:szCs w:val="18"/>
              </w:rPr>
            </w:pPr>
            <w:r w:rsidRPr="005B54EE">
              <w:rPr>
                <w:sz w:val="14"/>
              </w:rPr>
              <w:t>0,73</w:t>
            </w:r>
          </w:p>
        </w:tc>
        <w:tc>
          <w:tcPr>
            <w:tcW w:w="820" w:type="dxa"/>
            <w:tcBorders>
              <w:top w:val="nil"/>
              <w:left w:val="nil"/>
              <w:bottom w:val="single" w:sz="4" w:space="0" w:color="auto"/>
              <w:right w:val="single" w:sz="4" w:space="0" w:color="auto"/>
            </w:tcBorders>
            <w:shd w:val="clear" w:color="000000" w:fill="969696"/>
            <w:noWrap/>
            <w:vAlign w:val="bottom"/>
            <w:hideMark/>
          </w:tcPr>
          <w:p w14:paraId="7A10FA3F" w14:textId="5C2413FB"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85D4B1A" w14:textId="2457FBF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E172D57" w14:textId="2A4AD6D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A33370D" w14:textId="4D2EE20C"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29D3BC66" w14:textId="7091B7C0"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3AEF6441" w14:textId="27F8123D" w:rsidR="00D8302C" w:rsidRPr="005B54EE" w:rsidRDefault="00D8302C" w:rsidP="00D8302C">
            <w:pPr>
              <w:jc w:val="right"/>
              <w:rPr>
                <w:rFonts w:ascii="Times New Roman" w:hAnsi="Times New Roman"/>
                <w:sz w:val="14"/>
                <w:szCs w:val="18"/>
              </w:rPr>
            </w:pPr>
            <w:r w:rsidRPr="005B54EE">
              <w:rPr>
                <w:sz w:val="14"/>
              </w:rPr>
              <w:t>504,48</w:t>
            </w:r>
          </w:p>
        </w:tc>
      </w:tr>
      <w:tr w:rsidR="00D8302C" w:rsidRPr="005B54EE" w14:paraId="17414EC3"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6B7DF333"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 xml:space="preserve">E. Settlements </w:t>
            </w:r>
          </w:p>
        </w:tc>
        <w:tc>
          <w:tcPr>
            <w:tcW w:w="914" w:type="dxa"/>
            <w:tcBorders>
              <w:top w:val="nil"/>
              <w:left w:val="nil"/>
              <w:bottom w:val="single" w:sz="4" w:space="0" w:color="auto"/>
              <w:right w:val="single" w:sz="4" w:space="0" w:color="auto"/>
            </w:tcBorders>
            <w:shd w:val="clear" w:color="000000" w:fill="CCFFFF"/>
            <w:noWrap/>
            <w:vAlign w:val="bottom"/>
            <w:hideMark/>
          </w:tcPr>
          <w:p w14:paraId="59E7D147" w14:textId="2A529F3C" w:rsidR="00D8302C" w:rsidRPr="005B54EE" w:rsidRDefault="00D8302C" w:rsidP="00D8302C">
            <w:pPr>
              <w:jc w:val="right"/>
              <w:rPr>
                <w:rFonts w:ascii="Times New Roman" w:hAnsi="Times New Roman"/>
                <w:sz w:val="14"/>
                <w:szCs w:val="18"/>
              </w:rPr>
            </w:pPr>
            <w:r w:rsidRPr="005B54EE">
              <w:rPr>
                <w:sz w:val="14"/>
              </w:rPr>
              <w:t>10743,98</w:t>
            </w:r>
          </w:p>
        </w:tc>
        <w:tc>
          <w:tcPr>
            <w:tcW w:w="820" w:type="dxa"/>
            <w:tcBorders>
              <w:top w:val="nil"/>
              <w:left w:val="nil"/>
              <w:bottom w:val="single" w:sz="4" w:space="0" w:color="auto"/>
              <w:right w:val="single" w:sz="4" w:space="0" w:color="auto"/>
            </w:tcBorders>
            <w:shd w:val="clear" w:color="000000" w:fill="CCFFFF"/>
            <w:noWrap/>
            <w:vAlign w:val="bottom"/>
            <w:hideMark/>
          </w:tcPr>
          <w:p w14:paraId="2D548469" w14:textId="09014AC1" w:rsidR="00D8302C" w:rsidRPr="005B54EE" w:rsidRDefault="00D8302C" w:rsidP="00D8302C">
            <w:pPr>
              <w:jc w:val="right"/>
              <w:rPr>
                <w:rFonts w:ascii="Times New Roman" w:hAnsi="Times New Roman"/>
                <w:sz w:val="14"/>
                <w:szCs w:val="18"/>
              </w:rPr>
            </w:pPr>
            <w:r w:rsidRPr="005B54EE">
              <w:rPr>
                <w:sz w:val="14"/>
              </w:rPr>
              <w:t>58,41</w:t>
            </w:r>
          </w:p>
        </w:tc>
        <w:tc>
          <w:tcPr>
            <w:tcW w:w="820" w:type="dxa"/>
            <w:tcBorders>
              <w:top w:val="nil"/>
              <w:left w:val="nil"/>
              <w:bottom w:val="single" w:sz="4" w:space="0" w:color="auto"/>
              <w:right w:val="single" w:sz="4" w:space="0" w:color="auto"/>
            </w:tcBorders>
            <w:shd w:val="clear" w:color="000000" w:fill="CCFFFF"/>
            <w:noWrap/>
            <w:vAlign w:val="bottom"/>
            <w:hideMark/>
          </w:tcPr>
          <w:p w14:paraId="1E686E0A" w14:textId="6538F03A" w:rsidR="00D8302C" w:rsidRPr="005B54EE" w:rsidRDefault="00D8302C" w:rsidP="00D8302C">
            <w:pPr>
              <w:jc w:val="right"/>
              <w:rPr>
                <w:rFonts w:ascii="Times New Roman" w:hAnsi="Times New Roman"/>
                <w:sz w:val="14"/>
                <w:szCs w:val="18"/>
              </w:rPr>
            </w:pPr>
            <w:r w:rsidRPr="005B54EE">
              <w:rPr>
                <w:sz w:val="14"/>
              </w:rPr>
              <w:t>592,19</w:t>
            </w:r>
          </w:p>
        </w:tc>
        <w:tc>
          <w:tcPr>
            <w:tcW w:w="820" w:type="dxa"/>
            <w:tcBorders>
              <w:top w:val="nil"/>
              <w:left w:val="nil"/>
              <w:bottom w:val="single" w:sz="4" w:space="0" w:color="auto"/>
              <w:right w:val="single" w:sz="4" w:space="0" w:color="auto"/>
            </w:tcBorders>
            <w:shd w:val="clear" w:color="000000" w:fill="969696"/>
            <w:noWrap/>
            <w:vAlign w:val="bottom"/>
            <w:hideMark/>
          </w:tcPr>
          <w:p w14:paraId="27522A76" w14:textId="3D178C9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633A685" w14:textId="33A5112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687F1E4" w14:textId="562ADF2F"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8578CCC" w14:textId="147C8E75"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1C14734" w14:textId="7234B1F3"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3ED5483E" w14:textId="73E8EF45" w:rsidR="00D8302C" w:rsidRPr="005B54EE" w:rsidRDefault="00D8302C" w:rsidP="00D8302C">
            <w:pPr>
              <w:jc w:val="right"/>
              <w:rPr>
                <w:rFonts w:ascii="Times New Roman" w:hAnsi="Times New Roman"/>
                <w:sz w:val="14"/>
                <w:szCs w:val="18"/>
              </w:rPr>
            </w:pPr>
            <w:r w:rsidRPr="005B54EE">
              <w:rPr>
                <w:sz w:val="14"/>
              </w:rPr>
              <w:t>11394,58</w:t>
            </w:r>
          </w:p>
        </w:tc>
      </w:tr>
      <w:tr w:rsidR="00D8302C" w:rsidRPr="005B54EE" w14:paraId="622C2972"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F775952"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F. Other land</w:t>
            </w:r>
          </w:p>
        </w:tc>
        <w:tc>
          <w:tcPr>
            <w:tcW w:w="914" w:type="dxa"/>
            <w:tcBorders>
              <w:top w:val="nil"/>
              <w:left w:val="nil"/>
              <w:bottom w:val="single" w:sz="4" w:space="0" w:color="auto"/>
              <w:right w:val="single" w:sz="4" w:space="0" w:color="auto"/>
            </w:tcBorders>
            <w:shd w:val="clear" w:color="000000" w:fill="CCFFFF"/>
            <w:noWrap/>
            <w:vAlign w:val="bottom"/>
            <w:hideMark/>
          </w:tcPr>
          <w:p w14:paraId="60AA6765" w14:textId="353CC5F4" w:rsidR="00D8302C" w:rsidRPr="005B54EE" w:rsidRDefault="00D8302C" w:rsidP="00D8302C">
            <w:pPr>
              <w:jc w:val="right"/>
              <w:rPr>
                <w:rFonts w:ascii="Times New Roman" w:hAnsi="Times New Roman"/>
                <w:sz w:val="14"/>
                <w:szCs w:val="18"/>
              </w:rPr>
            </w:pPr>
            <w:r w:rsidRPr="005B54EE">
              <w:rPr>
                <w:sz w:val="14"/>
              </w:rPr>
              <w:t>NO,NA</w:t>
            </w:r>
          </w:p>
        </w:tc>
        <w:tc>
          <w:tcPr>
            <w:tcW w:w="820" w:type="dxa"/>
            <w:tcBorders>
              <w:top w:val="nil"/>
              <w:left w:val="nil"/>
              <w:bottom w:val="single" w:sz="4" w:space="0" w:color="auto"/>
              <w:right w:val="single" w:sz="4" w:space="0" w:color="auto"/>
            </w:tcBorders>
            <w:shd w:val="clear" w:color="000000" w:fill="CCFFFF"/>
            <w:noWrap/>
            <w:vAlign w:val="bottom"/>
            <w:hideMark/>
          </w:tcPr>
          <w:p w14:paraId="044D67E9" w14:textId="770A8E72"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2897FD6F" w14:textId="21AE4E5F" w:rsidR="00D8302C" w:rsidRPr="005B54EE" w:rsidRDefault="00D8302C" w:rsidP="00D8302C">
            <w:pPr>
              <w:jc w:val="right"/>
              <w:rPr>
                <w:rFonts w:ascii="Times New Roman" w:hAnsi="Times New Roman"/>
                <w:sz w:val="14"/>
                <w:szCs w:val="18"/>
              </w:rPr>
            </w:pPr>
            <w:r w:rsidRPr="005B54EE">
              <w:rPr>
                <w:sz w:val="14"/>
              </w:rPr>
              <w:t>NO,NE</w:t>
            </w:r>
          </w:p>
        </w:tc>
        <w:tc>
          <w:tcPr>
            <w:tcW w:w="820" w:type="dxa"/>
            <w:tcBorders>
              <w:top w:val="nil"/>
              <w:left w:val="nil"/>
              <w:bottom w:val="single" w:sz="4" w:space="0" w:color="auto"/>
              <w:right w:val="single" w:sz="4" w:space="0" w:color="auto"/>
            </w:tcBorders>
            <w:shd w:val="clear" w:color="000000" w:fill="969696"/>
            <w:noWrap/>
            <w:vAlign w:val="bottom"/>
            <w:hideMark/>
          </w:tcPr>
          <w:p w14:paraId="69E2501B" w14:textId="4748882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A281246" w14:textId="638AE86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E51C193" w14:textId="257A6F0C"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017BFC72" w14:textId="3D38F58C"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C90654D" w14:textId="631BE160"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1A8B042E" w14:textId="43D334B4" w:rsidR="00D8302C" w:rsidRPr="005B54EE" w:rsidRDefault="00D8302C" w:rsidP="00D8302C">
            <w:pPr>
              <w:jc w:val="right"/>
              <w:rPr>
                <w:rFonts w:ascii="Times New Roman" w:hAnsi="Times New Roman"/>
                <w:sz w:val="14"/>
                <w:szCs w:val="18"/>
              </w:rPr>
            </w:pPr>
            <w:r w:rsidRPr="005B54EE">
              <w:rPr>
                <w:sz w:val="14"/>
              </w:rPr>
              <w:t>NO,NE,NA</w:t>
            </w:r>
          </w:p>
        </w:tc>
      </w:tr>
      <w:tr w:rsidR="00D8302C" w:rsidRPr="005B54EE" w14:paraId="4FAB79E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33EDC9B"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G. Harvested wood products</w:t>
            </w:r>
          </w:p>
        </w:tc>
        <w:tc>
          <w:tcPr>
            <w:tcW w:w="914" w:type="dxa"/>
            <w:tcBorders>
              <w:top w:val="nil"/>
              <w:left w:val="nil"/>
              <w:bottom w:val="single" w:sz="4" w:space="0" w:color="auto"/>
              <w:right w:val="single" w:sz="4" w:space="0" w:color="auto"/>
            </w:tcBorders>
            <w:shd w:val="clear" w:color="000000" w:fill="CCFFFF"/>
            <w:noWrap/>
            <w:vAlign w:val="bottom"/>
            <w:hideMark/>
          </w:tcPr>
          <w:p w14:paraId="2DA214E7" w14:textId="5DAF51BD" w:rsidR="00D8302C" w:rsidRPr="005B54EE" w:rsidRDefault="00D8302C" w:rsidP="00D8302C">
            <w:pPr>
              <w:jc w:val="right"/>
              <w:rPr>
                <w:rFonts w:ascii="Times New Roman" w:hAnsi="Times New Roman"/>
                <w:sz w:val="14"/>
                <w:szCs w:val="18"/>
              </w:rPr>
            </w:pPr>
            <w:r w:rsidRPr="005B54EE">
              <w:rPr>
                <w:sz w:val="14"/>
              </w:rPr>
              <w:t>-814,43</w:t>
            </w:r>
          </w:p>
        </w:tc>
        <w:tc>
          <w:tcPr>
            <w:tcW w:w="820" w:type="dxa"/>
            <w:tcBorders>
              <w:top w:val="nil"/>
              <w:left w:val="nil"/>
              <w:bottom w:val="single" w:sz="4" w:space="0" w:color="auto"/>
              <w:right w:val="single" w:sz="4" w:space="0" w:color="auto"/>
            </w:tcBorders>
            <w:shd w:val="clear" w:color="000000" w:fill="969696"/>
            <w:noWrap/>
            <w:vAlign w:val="bottom"/>
            <w:hideMark/>
          </w:tcPr>
          <w:p w14:paraId="3E08BFA7" w14:textId="0649648D"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0AD4C6C" w14:textId="340D0757"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4359B482" w14:textId="0149555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36EC102" w14:textId="48B1FFBC"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AEF4524" w14:textId="4F17E76B"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383C40A2" w14:textId="58C076EC"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7A88566C" w14:textId="76F118B5"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5B6869B0" w14:textId="333553DC" w:rsidR="00D8302C" w:rsidRPr="005B54EE" w:rsidRDefault="00D8302C" w:rsidP="00D8302C">
            <w:pPr>
              <w:jc w:val="right"/>
              <w:rPr>
                <w:rFonts w:ascii="Times New Roman" w:hAnsi="Times New Roman"/>
                <w:sz w:val="14"/>
                <w:szCs w:val="18"/>
              </w:rPr>
            </w:pPr>
            <w:r w:rsidRPr="005B54EE">
              <w:rPr>
                <w:sz w:val="14"/>
              </w:rPr>
              <w:t>-814,43</w:t>
            </w:r>
          </w:p>
        </w:tc>
      </w:tr>
      <w:tr w:rsidR="00D8302C" w:rsidRPr="005B54EE" w14:paraId="2E775E1F"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0705B27"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H. Other</w:t>
            </w:r>
            <w:r w:rsidRPr="005B54EE">
              <w:rPr>
                <w:rFonts w:ascii="Times New Roman" w:hAnsi="Times New Roman"/>
                <w:i/>
                <w:sz w:val="14"/>
              </w:rPr>
              <w:t xml:space="preserve">       </w:t>
            </w:r>
          </w:p>
        </w:tc>
        <w:tc>
          <w:tcPr>
            <w:tcW w:w="914" w:type="dxa"/>
            <w:tcBorders>
              <w:top w:val="nil"/>
              <w:left w:val="nil"/>
              <w:bottom w:val="single" w:sz="4" w:space="0" w:color="auto"/>
              <w:right w:val="single" w:sz="4" w:space="0" w:color="auto"/>
            </w:tcBorders>
            <w:shd w:val="clear" w:color="000000" w:fill="CCFFFF"/>
            <w:noWrap/>
            <w:vAlign w:val="bottom"/>
            <w:hideMark/>
          </w:tcPr>
          <w:p w14:paraId="71659E8A" w14:textId="48BAB9D9" w:rsidR="00D8302C" w:rsidRPr="005B54EE" w:rsidRDefault="00D8302C" w:rsidP="00D8302C">
            <w:pPr>
              <w:jc w:val="right"/>
              <w:rPr>
                <w:rFonts w:ascii="Times New Roman" w:hAnsi="Times New Roman"/>
                <w:sz w:val="14"/>
                <w:szCs w:val="18"/>
              </w:rPr>
            </w:pPr>
            <w:r w:rsidRPr="005B54EE">
              <w:rPr>
                <w:sz w:val="14"/>
              </w:rPr>
              <w:t>39,82</w:t>
            </w:r>
          </w:p>
        </w:tc>
        <w:tc>
          <w:tcPr>
            <w:tcW w:w="820" w:type="dxa"/>
            <w:tcBorders>
              <w:top w:val="nil"/>
              <w:left w:val="nil"/>
              <w:bottom w:val="single" w:sz="4" w:space="0" w:color="auto"/>
              <w:right w:val="single" w:sz="4" w:space="0" w:color="auto"/>
            </w:tcBorders>
            <w:shd w:val="clear" w:color="000000" w:fill="CCFFFF"/>
            <w:noWrap/>
            <w:vAlign w:val="bottom"/>
            <w:hideMark/>
          </w:tcPr>
          <w:p w14:paraId="627FF6E3" w14:textId="31926CFF" w:rsidR="00D8302C" w:rsidRPr="005B54EE" w:rsidRDefault="00D8302C" w:rsidP="00D8302C">
            <w:pPr>
              <w:jc w:val="right"/>
              <w:rPr>
                <w:rFonts w:ascii="Times New Roman" w:hAnsi="Times New Roman"/>
                <w:sz w:val="14"/>
                <w:szCs w:val="18"/>
              </w:rPr>
            </w:pPr>
            <w:r w:rsidRPr="005B54EE">
              <w:rPr>
                <w:sz w:val="14"/>
              </w:rPr>
              <w:t>218,17</w:t>
            </w:r>
          </w:p>
        </w:tc>
        <w:tc>
          <w:tcPr>
            <w:tcW w:w="820" w:type="dxa"/>
            <w:tcBorders>
              <w:top w:val="nil"/>
              <w:left w:val="nil"/>
              <w:bottom w:val="single" w:sz="4" w:space="0" w:color="auto"/>
              <w:right w:val="single" w:sz="4" w:space="0" w:color="auto"/>
            </w:tcBorders>
            <w:shd w:val="clear" w:color="000000" w:fill="CCFFFF"/>
            <w:noWrap/>
            <w:vAlign w:val="bottom"/>
            <w:hideMark/>
          </w:tcPr>
          <w:p w14:paraId="622F5747" w14:textId="27C4F844" w:rsidR="00D8302C" w:rsidRPr="005B54EE" w:rsidRDefault="00D8302C" w:rsidP="00D8302C">
            <w:pPr>
              <w:jc w:val="right"/>
              <w:rPr>
                <w:rFonts w:ascii="Times New Roman" w:hAnsi="Times New Roman"/>
                <w:sz w:val="14"/>
                <w:szCs w:val="18"/>
              </w:rPr>
            </w:pPr>
            <w:r w:rsidRPr="005B54EE">
              <w:rPr>
                <w:sz w:val="14"/>
              </w:rPr>
              <w:t>NA</w:t>
            </w:r>
          </w:p>
        </w:tc>
        <w:tc>
          <w:tcPr>
            <w:tcW w:w="820" w:type="dxa"/>
            <w:tcBorders>
              <w:top w:val="nil"/>
              <w:left w:val="nil"/>
              <w:bottom w:val="single" w:sz="4" w:space="0" w:color="auto"/>
              <w:right w:val="single" w:sz="4" w:space="0" w:color="auto"/>
            </w:tcBorders>
            <w:shd w:val="clear" w:color="000000" w:fill="969696"/>
            <w:noWrap/>
            <w:vAlign w:val="bottom"/>
            <w:hideMark/>
          </w:tcPr>
          <w:p w14:paraId="4D341F73" w14:textId="07990441"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3A764C1" w14:textId="31D917B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7D1221F" w14:textId="2F3218CB"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D16C938" w14:textId="55A25222"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E32278A" w14:textId="5BCC321C"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35238378" w14:textId="1B6355D5" w:rsidR="00D8302C" w:rsidRPr="005B54EE" w:rsidRDefault="00D8302C" w:rsidP="00D8302C">
            <w:pPr>
              <w:jc w:val="right"/>
              <w:rPr>
                <w:rFonts w:ascii="Times New Roman" w:hAnsi="Times New Roman"/>
                <w:sz w:val="14"/>
                <w:szCs w:val="18"/>
              </w:rPr>
            </w:pPr>
            <w:r w:rsidRPr="005B54EE">
              <w:rPr>
                <w:sz w:val="14"/>
              </w:rPr>
              <w:t>257,99</w:t>
            </w:r>
          </w:p>
        </w:tc>
      </w:tr>
      <w:tr w:rsidR="00D8302C" w:rsidRPr="005B54EE" w14:paraId="039587D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462A8B3" w14:textId="77777777" w:rsidR="00D8302C" w:rsidRPr="005B54EE" w:rsidRDefault="00D8302C" w:rsidP="00D8302C">
            <w:pPr>
              <w:jc w:val="left"/>
              <w:rPr>
                <w:rFonts w:ascii="Times New Roman" w:hAnsi="Times New Roman"/>
                <w:b/>
                <w:bCs/>
                <w:sz w:val="14"/>
                <w:szCs w:val="18"/>
              </w:rPr>
            </w:pPr>
            <w:r w:rsidRPr="005B54EE">
              <w:rPr>
                <w:rFonts w:ascii="Times New Roman" w:hAnsi="Times New Roman"/>
                <w:b/>
                <w:sz w:val="14"/>
              </w:rPr>
              <w:t>5.  Waste</w:t>
            </w:r>
          </w:p>
        </w:tc>
        <w:tc>
          <w:tcPr>
            <w:tcW w:w="914" w:type="dxa"/>
            <w:tcBorders>
              <w:top w:val="nil"/>
              <w:left w:val="nil"/>
              <w:bottom w:val="single" w:sz="4" w:space="0" w:color="auto"/>
              <w:right w:val="single" w:sz="4" w:space="0" w:color="auto"/>
            </w:tcBorders>
            <w:shd w:val="clear" w:color="000000" w:fill="CCFFFF"/>
            <w:noWrap/>
            <w:vAlign w:val="bottom"/>
            <w:hideMark/>
          </w:tcPr>
          <w:p w14:paraId="47EEA1E9" w14:textId="5CFFF5EF" w:rsidR="00D8302C" w:rsidRPr="005B54EE" w:rsidRDefault="00D8302C" w:rsidP="00D8302C">
            <w:pPr>
              <w:jc w:val="right"/>
              <w:rPr>
                <w:rFonts w:ascii="Times New Roman" w:hAnsi="Times New Roman"/>
                <w:sz w:val="14"/>
                <w:szCs w:val="18"/>
              </w:rPr>
            </w:pPr>
            <w:r w:rsidRPr="005B54EE">
              <w:rPr>
                <w:sz w:val="14"/>
              </w:rPr>
              <w:t>1602,93</w:t>
            </w:r>
          </w:p>
        </w:tc>
        <w:tc>
          <w:tcPr>
            <w:tcW w:w="820" w:type="dxa"/>
            <w:tcBorders>
              <w:top w:val="nil"/>
              <w:left w:val="nil"/>
              <w:bottom w:val="single" w:sz="4" w:space="0" w:color="auto"/>
              <w:right w:val="single" w:sz="4" w:space="0" w:color="auto"/>
            </w:tcBorders>
            <w:shd w:val="clear" w:color="000000" w:fill="CCFFFF"/>
            <w:noWrap/>
            <w:vAlign w:val="bottom"/>
            <w:hideMark/>
          </w:tcPr>
          <w:p w14:paraId="28C63B0B" w14:textId="7F834C6C" w:rsidR="00D8302C" w:rsidRPr="005B54EE" w:rsidRDefault="00D8302C" w:rsidP="00D8302C">
            <w:pPr>
              <w:jc w:val="right"/>
              <w:rPr>
                <w:rFonts w:ascii="Times New Roman" w:hAnsi="Times New Roman"/>
                <w:sz w:val="14"/>
                <w:szCs w:val="18"/>
              </w:rPr>
            </w:pPr>
            <w:r w:rsidRPr="005B54EE">
              <w:rPr>
                <w:sz w:val="14"/>
              </w:rPr>
              <w:t>15458,25</w:t>
            </w:r>
          </w:p>
        </w:tc>
        <w:tc>
          <w:tcPr>
            <w:tcW w:w="820" w:type="dxa"/>
            <w:tcBorders>
              <w:top w:val="nil"/>
              <w:left w:val="nil"/>
              <w:bottom w:val="single" w:sz="4" w:space="0" w:color="auto"/>
              <w:right w:val="single" w:sz="4" w:space="0" w:color="auto"/>
            </w:tcBorders>
            <w:shd w:val="clear" w:color="000000" w:fill="CCFFFF"/>
            <w:noWrap/>
            <w:vAlign w:val="bottom"/>
            <w:hideMark/>
          </w:tcPr>
          <w:p w14:paraId="57D3CED7" w14:textId="0B46150A" w:rsidR="00D8302C" w:rsidRPr="005B54EE" w:rsidRDefault="00D8302C" w:rsidP="00D8302C">
            <w:pPr>
              <w:jc w:val="right"/>
              <w:rPr>
                <w:rFonts w:ascii="Times New Roman" w:hAnsi="Times New Roman"/>
                <w:sz w:val="14"/>
                <w:szCs w:val="18"/>
              </w:rPr>
            </w:pPr>
            <w:r w:rsidRPr="005B54EE">
              <w:rPr>
                <w:sz w:val="14"/>
              </w:rPr>
              <w:t>596,95</w:t>
            </w:r>
          </w:p>
        </w:tc>
        <w:tc>
          <w:tcPr>
            <w:tcW w:w="820" w:type="dxa"/>
            <w:tcBorders>
              <w:top w:val="nil"/>
              <w:left w:val="nil"/>
              <w:bottom w:val="single" w:sz="4" w:space="0" w:color="auto"/>
              <w:right w:val="single" w:sz="4" w:space="0" w:color="auto"/>
            </w:tcBorders>
            <w:shd w:val="clear" w:color="000000" w:fill="969696"/>
            <w:noWrap/>
            <w:vAlign w:val="bottom"/>
            <w:hideMark/>
          </w:tcPr>
          <w:p w14:paraId="73B2F0A2" w14:textId="504FA571"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32C67196" w14:textId="596B961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2004F5A" w14:textId="5E3B680A"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0F0EA96" w14:textId="01F4E541"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56473DC" w14:textId="75A9FCCE"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9BD7099" w14:textId="637E463C" w:rsidR="00D8302C" w:rsidRPr="005B54EE" w:rsidRDefault="00D8302C" w:rsidP="00D8302C">
            <w:pPr>
              <w:jc w:val="right"/>
              <w:rPr>
                <w:rFonts w:ascii="Times New Roman" w:hAnsi="Times New Roman"/>
                <w:sz w:val="14"/>
                <w:szCs w:val="18"/>
              </w:rPr>
            </w:pPr>
            <w:r w:rsidRPr="005B54EE">
              <w:rPr>
                <w:sz w:val="14"/>
              </w:rPr>
              <w:t>17658,14</w:t>
            </w:r>
          </w:p>
        </w:tc>
      </w:tr>
      <w:tr w:rsidR="00D8302C" w:rsidRPr="005B54EE" w14:paraId="4A89D97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A88BF96"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A.  Solid waste disposal</w:t>
            </w:r>
            <w:r w:rsidRPr="005B54EE">
              <w:rPr>
                <w:rFonts w:ascii="Times New Roman" w:hAnsi="Times New Roman"/>
                <w:b/>
                <w:sz w:val="14"/>
              </w:rPr>
              <w:t xml:space="preserve"> </w:t>
            </w:r>
          </w:p>
        </w:tc>
        <w:tc>
          <w:tcPr>
            <w:tcW w:w="914" w:type="dxa"/>
            <w:tcBorders>
              <w:top w:val="nil"/>
              <w:left w:val="nil"/>
              <w:bottom w:val="single" w:sz="4" w:space="0" w:color="auto"/>
              <w:right w:val="single" w:sz="4" w:space="0" w:color="auto"/>
            </w:tcBorders>
            <w:shd w:val="clear" w:color="000000" w:fill="CCFFFF"/>
            <w:noWrap/>
            <w:vAlign w:val="bottom"/>
            <w:hideMark/>
          </w:tcPr>
          <w:p w14:paraId="0B2AA2BB" w14:textId="46CAB698" w:rsidR="00D8302C" w:rsidRPr="005B54EE" w:rsidRDefault="00D8302C" w:rsidP="00D8302C">
            <w:pPr>
              <w:jc w:val="right"/>
              <w:rPr>
                <w:rFonts w:ascii="Times New Roman" w:hAnsi="Times New Roman"/>
                <w:sz w:val="14"/>
                <w:szCs w:val="18"/>
              </w:rPr>
            </w:pPr>
            <w:r w:rsidRPr="005B54EE">
              <w:rPr>
                <w:sz w:val="14"/>
              </w:rPr>
              <w:t>NA</w:t>
            </w:r>
          </w:p>
        </w:tc>
        <w:tc>
          <w:tcPr>
            <w:tcW w:w="820" w:type="dxa"/>
            <w:tcBorders>
              <w:top w:val="nil"/>
              <w:left w:val="nil"/>
              <w:bottom w:val="single" w:sz="4" w:space="0" w:color="auto"/>
              <w:right w:val="single" w:sz="4" w:space="0" w:color="auto"/>
            </w:tcBorders>
            <w:shd w:val="clear" w:color="000000" w:fill="CCFFFF"/>
            <w:noWrap/>
            <w:vAlign w:val="bottom"/>
            <w:hideMark/>
          </w:tcPr>
          <w:p w14:paraId="7DB18D1D" w14:textId="4ABD997B" w:rsidR="00D8302C" w:rsidRPr="005B54EE" w:rsidRDefault="00D8302C" w:rsidP="00D8302C">
            <w:pPr>
              <w:jc w:val="right"/>
              <w:rPr>
                <w:rFonts w:ascii="Times New Roman" w:hAnsi="Times New Roman"/>
                <w:sz w:val="14"/>
                <w:szCs w:val="18"/>
              </w:rPr>
            </w:pPr>
            <w:r w:rsidRPr="005B54EE">
              <w:rPr>
                <w:sz w:val="14"/>
              </w:rPr>
              <w:t>11964,89</w:t>
            </w:r>
          </w:p>
        </w:tc>
        <w:tc>
          <w:tcPr>
            <w:tcW w:w="820" w:type="dxa"/>
            <w:tcBorders>
              <w:top w:val="nil"/>
              <w:left w:val="nil"/>
              <w:bottom w:val="single" w:sz="4" w:space="0" w:color="auto"/>
              <w:right w:val="single" w:sz="4" w:space="0" w:color="auto"/>
            </w:tcBorders>
            <w:shd w:val="clear" w:color="000000" w:fill="969696"/>
            <w:noWrap/>
            <w:vAlign w:val="bottom"/>
            <w:hideMark/>
          </w:tcPr>
          <w:p w14:paraId="1F7F7FAF" w14:textId="693138A9"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795210A5" w14:textId="5CC6B09E"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C55935C" w14:textId="3CB9A0CC"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A030F5B" w14:textId="02CF10F0"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270F538" w14:textId="39E38CE1"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27C330C" w14:textId="49AA032C"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71BF14B2" w14:textId="6B28FEA9" w:rsidR="00D8302C" w:rsidRPr="005B54EE" w:rsidRDefault="00D8302C" w:rsidP="00D8302C">
            <w:pPr>
              <w:jc w:val="right"/>
              <w:rPr>
                <w:rFonts w:ascii="Times New Roman" w:hAnsi="Times New Roman"/>
                <w:sz w:val="14"/>
                <w:szCs w:val="18"/>
              </w:rPr>
            </w:pPr>
            <w:r w:rsidRPr="005B54EE">
              <w:rPr>
                <w:sz w:val="14"/>
              </w:rPr>
              <w:t>11964,89</w:t>
            </w:r>
          </w:p>
        </w:tc>
      </w:tr>
      <w:tr w:rsidR="00D8302C" w:rsidRPr="005B54EE" w14:paraId="2623DF5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256985AD"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B.  Biological treatment of solid waste</w:t>
            </w:r>
          </w:p>
        </w:tc>
        <w:tc>
          <w:tcPr>
            <w:tcW w:w="914" w:type="dxa"/>
            <w:tcBorders>
              <w:top w:val="nil"/>
              <w:left w:val="nil"/>
              <w:bottom w:val="single" w:sz="4" w:space="0" w:color="auto"/>
              <w:right w:val="single" w:sz="4" w:space="0" w:color="auto"/>
            </w:tcBorders>
            <w:shd w:val="clear" w:color="000000" w:fill="969696"/>
            <w:noWrap/>
            <w:vAlign w:val="bottom"/>
            <w:hideMark/>
          </w:tcPr>
          <w:p w14:paraId="5C39FB96" w14:textId="0CCA65CA"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37759D1B" w14:textId="2DD4C5EE" w:rsidR="00D8302C" w:rsidRPr="005B54EE" w:rsidRDefault="00D8302C" w:rsidP="00D8302C">
            <w:pPr>
              <w:jc w:val="right"/>
              <w:rPr>
                <w:rFonts w:ascii="Times New Roman" w:hAnsi="Times New Roman"/>
                <w:sz w:val="14"/>
                <w:szCs w:val="18"/>
              </w:rPr>
            </w:pPr>
            <w:r w:rsidRPr="005B54EE">
              <w:rPr>
                <w:sz w:val="14"/>
              </w:rPr>
              <w:t>1125,28</w:t>
            </w:r>
          </w:p>
        </w:tc>
        <w:tc>
          <w:tcPr>
            <w:tcW w:w="820" w:type="dxa"/>
            <w:tcBorders>
              <w:top w:val="nil"/>
              <w:left w:val="nil"/>
              <w:bottom w:val="single" w:sz="4" w:space="0" w:color="auto"/>
              <w:right w:val="single" w:sz="4" w:space="0" w:color="auto"/>
            </w:tcBorders>
            <w:shd w:val="clear" w:color="000000" w:fill="CCFFFF"/>
            <w:noWrap/>
            <w:vAlign w:val="bottom"/>
            <w:hideMark/>
          </w:tcPr>
          <w:p w14:paraId="3618F910" w14:textId="3A9C6A7C" w:rsidR="00D8302C" w:rsidRPr="005B54EE" w:rsidRDefault="00D8302C" w:rsidP="00D8302C">
            <w:pPr>
              <w:jc w:val="right"/>
              <w:rPr>
                <w:rFonts w:ascii="Times New Roman" w:hAnsi="Times New Roman"/>
                <w:sz w:val="14"/>
                <w:szCs w:val="18"/>
              </w:rPr>
            </w:pPr>
            <w:r w:rsidRPr="005B54EE">
              <w:rPr>
                <w:sz w:val="14"/>
              </w:rPr>
              <w:t>215,09</w:t>
            </w:r>
          </w:p>
        </w:tc>
        <w:tc>
          <w:tcPr>
            <w:tcW w:w="820" w:type="dxa"/>
            <w:tcBorders>
              <w:top w:val="nil"/>
              <w:left w:val="nil"/>
              <w:bottom w:val="single" w:sz="4" w:space="0" w:color="auto"/>
              <w:right w:val="single" w:sz="4" w:space="0" w:color="auto"/>
            </w:tcBorders>
            <w:shd w:val="clear" w:color="000000" w:fill="969696"/>
            <w:noWrap/>
            <w:vAlign w:val="bottom"/>
            <w:hideMark/>
          </w:tcPr>
          <w:p w14:paraId="7717B5FF" w14:textId="32054869"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3ADFA03" w14:textId="13DE424E"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45D2107" w14:textId="7FB968F2"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3C8DE84" w14:textId="0FD0FC68"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6C0D20AD" w14:textId="638E1188"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EAB8BED" w14:textId="21EBE016" w:rsidR="00D8302C" w:rsidRPr="005B54EE" w:rsidRDefault="00D8302C" w:rsidP="00D8302C">
            <w:pPr>
              <w:jc w:val="right"/>
              <w:rPr>
                <w:rFonts w:ascii="Times New Roman" w:hAnsi="Times New Roman"/>
                <w:sz w:val="14"/>
                <w:szCs w:val="18"/>
              </w:rPr>
            </w:pPr>
            <w:r w:rsidRPr="005B54EE">
              <w:rPr>
                <w:sz w:val="14"/>
              </w:rPr>
              <w:t>1340,37</w:t>
            </w:r>
          </w:p>
        </w:tc>
      </w:tr>
      <w:tr w:rsidR="00D8302C" w:rsidRPr="005B54EE" w14:paraId="48D2BC31"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vAlign w:val="center"/>
            <w:hideMark/>
          </w:tcPr>
          <w:p w14:paraId="493BB0B8"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C.  Incineration and open burning of waste</w:t>
            </w:r>
          </w:p>
        </w:tc>
        <w:tc>
          <w:tcPr>
            <w:tcW w:w="914" w:type="dxa"/>
            <w:tcBorders>
              <w:top w:val="nil"/>
              <w:left w:val="nil"/>
              <w:bottom w:val="single" w:sz="4" w:space="0" w:color="auto"/>
              <w:right w:val="single" w:sz="4" w:space="0" w:color="auto"/>
            </w:tcBorders>
            <w:shd w:val="clear" w:color="000000" w:fill="CCFFFF"/>
            <w:noWrap/>
            <w:vAlign w:val="bottom"/>
            <w:hideMark/>
          </w:tcPr>
          <w:p w14:paraId="11F771D1" w14:textId="3801DD41" w:rsidR="00D8302C" w:rsidRPr="005B54EE" w:rsidRDefault="00D8302C" w:rsidP="00D8302C">
            <w:pPr>
              <w:jc w:val="right"/>
              <w:rPr>
                <w:rFonts w:ascii="Times New Roman" w:hAnsi="Times New Roman"/>
                <w:sz w:val="14"/>
                <w:szCs w:val="18"/>
              </w:rPr>
            </w:pPr>
            <w:r w:rsidRPr="005B54EE">
              <w:rPr>
                <w:sz w:val="14"/>
              </w:rPr>
              <w:t>1602,93</w:t>
            </w:r>
          </w:p>
        </w:tc>
        <w:tc>
          <w:tcPr>
            <w:tcW w:w="820" w:type="dxa"/>
            <w:tcBorders>
              <w:top w:val="nil"/>
              <w:left w:val="nil"/>
              <w:bottom w:val="single" w:sz="4" w:space="0" w:color="auto"/>
              <w:right w:val="single" w:sz="4" w:space="0" w:color="auto"/>
            </w:tcBorders>
            <w:shd w:val="clear" w:color="000000" w:fill="CCFFFF"/>
            <w:noWrap/>
            <w:vAlign w:val="bottom"/>
            <w:hideMark/>
          </w:tcPr>
          <w:p w14:paraId="5CD612C6" w14:textId="0A81C6A0" w:rsidR="00D8302C" w:rsidRPr="005B54EE" w:rsidRDefault="00D8302C" w:rsidP="00D8302C">
            <w:pPr>
              <w:jc w:val="right"/>
              <w:rPr>
                <w:rFonts w:ascii="Times New Roman" w:hAnsi="Times New Roman"/>
                <w:sz w:val="14"/>
                <w:szCs w:val="18"/>
              </w:rPr>
            </w:pPr>
            <w:r w:rsidRPr="005B54EE">
              <w:rPr>
                <w:sz w:val="14"/>
              </w:rPr>
              <w:t>37,98</w:t>
            </w:r>
          </w:p>
        </w:tc>
        <w:tc>
          <w:tcPr>
            <w:tcW w:w="820" w:type="dxa"/>
            <w:tcBorders>
              <w:top w:val="nil"/>
              <w:left w:val="nil"/>
              <w:bottom w:val="single" w:sz="4" w:space="0" w:color="auto"/>
              <w:right w:val="single" w:sz="4" w:space="0" w:color="auto"/>
            </w:tcBorders>
            <w:shd w:val="clear" w:color="000000" w:fill="CCFFFF"/>
            <w:noWrap/>
            <w:vAlign w:val="bottom"/>
            <w:hideMark/>
          </w:tcPr>
          <w:p w14:paraId="1B9B2A72" w14:textId="3265328D" w:rsidR="00D8302C" w:rsidRPr="005B54EE" w:rsidRDefault="00D8302C" w:rsidP="00D8302C">
            <w:pPr>
              <w:jc w:val="right"/>
              <w:rPr>
                <w:rFonts w:ascii="Times New Roman" w:hAnsi="Times New Roman"/>
                <w:sz w:val="14"/>
                <w:szCs w:val="18"/>
              </w:rPr>
            </w:pPr>
            <w:r w:rsidRPr="005B54EE">
              <w:rPr>
                <w:sz w:val="14"/>
              </w:rPr>
              <w:t>62,83</w:t>
            </w:r>
          </w:p>
        </w:tc>
        <w:tc>
          <w:tcPr>
            <w:tcW w:w="820" w:type="dxa"/>
            <w:tcBorders>
              <w:top w:val="nil"/>
              <w:left w:val="nil"/>
              <w:bottom w:val="single" w:sz="4" w:space="0" w:color="auto"/>
              <w:right w:val="single" w:sz="4" w:space="0" w:color="auto"/>
            </w:tcBorders>
            <w:shd w:val="clear" w:color="000000" w:fill="969696"/>
            <w:noWrap/>
            <w:vAlign w:val="bottom"/>
            <w:hideMark/>
          </w:tcPr>
          <w:p w14:paraId="2AB81C33" w14:textId="12D498DB"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41EA09F" w14:textId="626A4914"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604FAA2" w14:textId="7E2D5145"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80FF0E5" w14:textId="5D36CFBF"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36994514" w14:textId="3D72EB24"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30FBD979" w14:textId="1278E9A4" w:rsidR="00D8302C" w:rsidRPr="005B54EE" w:rsidRDefault="00D8302C" w:rsidP="00D8302C">
            <w:pPr>
              <w:jc w:val="right"/>
              <w:rPr>
                <w:rFonts w:ascii="Times New Roman" w:hAnsi="Times New Roman"/>
                <w:sz w:val="14"/>
                <w:szCs w:val="18"/>
              </w:rPr>
            </w:pPr>
            <w:r w:rsidRPr="005B54EE">
              <w:rPr>
                <w:sz w:val="14"/>
              </w:rPr>
              <w:t>1703,74</w:t>
            </w:r>
          </w:p>
        </w:tc>
      </w:tr>
      <w:tr w:rsidR="00D8302C" w:rsidRPr="005B54EE" w14:paraId="7D49F782"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578A7758"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D.  Waste water treatment and discharge</w:t>
            </w:r>
          </w:p>
        </w:tc>
        <w:tc>
          <w:tcPr>
            <w:tcW w:w="914" w:type="dxa"/>
            <w:tcBorders>
              <w:top w:val="nil"/>
              <w:left w:val="nil"/>
              <w:bottom w:val="single" w:sz="4" w:space="0" w:color="auto"/>
              <w:right w:val="single" w:sz="4" w:space="0" w:color="auto"/>
            </w:tcBorders>
            <w:shd w:val="clear" w:color="000000" w:fill="969696"/>
            <w:noWrap/>
            <w:vAlign w:val="bottom"/>
            <w:hideMark/>
          </w:tcPr>
          <w:p w14:paraId="7611591C" w14:textId="1C23263E"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129487D4" w14:textId="1D9B08B0" w:rsidR="00D8302C" w:rsidRPr="005B54EE" w:rsidRDefault="00D8302C" w:rsidP="00D8302C">
            <w:pPr>
              <w:jc w:val="right"/>
              <w:rPr>
                <w:rFonts w:ascii="Times New Roman" w:hAnsi="Times New Roman"/>
                <w:sz w:val="14"/>
                <w:szCs w:val="18"/>
              </w:rPr>
            </w:pPr>
            <w:r w:rsidRPr="005B54EE">
              <w:rPr>
                <w:sz w:val="14"/>
              </w:rPr>
              <w:t>2330,11</w:t>
            </w:r>
          </w:p>
        </w:tc>
        <w:tc>
          <w:tcPr>
            <w:tcW w:w="820" w:type="dxa"/>
            <w:tcBorders>
              <w:top w:val="nil"/>
              <w:left w:val="nil"/>
              <w:bottom w:val="single" w:sz="4" w:space="0" w:color="auto"/>
              <w:right w:val="single" w:sz="4" w:space="0" w:color="auto"/>
            </w:tcBorders>
            <w:shd w:val="clear" w:color="000000" w:fill="CCFFFF"/>
            <w:noWrap/>
            <w:vAlign w:val="bottom"/>
            <w:hideMark/>
          </w:tcPr>
          <w:p w14:paraId="672B7ED8" w14:textId="7248D197" w:rsidR="00D8302C" w:rsidRPr="005B54EE" w:rsidRDefault="00D8302C" w:rsidP="00D8302C">
            <w:pPr>
              <w:jc w:val="right"/>
              <w:rPr>
                <w:rFonts w:ascii="Times New Roman" w:hAnsi="Times New Roman"/>
                <w:sz w:val="14"/>
                <w:szCs w:val="18"/>
              </w:rPr>
            </w:pPr>
            <w:r w:rsidRPr="005B54EE">
              <w:rPr>
                <w:sz w:val="14"/>
              </w:rPr>
              <w:t>319,03</w:t>
            </w:r>
          </w:p>
        </w:tc>
        <w:tc>
          <w:tcPr>
            <w:tcW w:w="820" w:type="dxa"/>
            <w:tcBorders>
              <w:top w:val="nil"/>
              <w:left w:val="nil"/>
              <w:bottom w:val="single" w:sz="4" w:space="0" w:color="auto"/>
              <w:right w:val="single" w:sz="4" w:space="0" w:color="auto"/>
            </w:tcBorders>
            <w:shd w:val="clear" w:color="000000" w:fill="969696"/>
            <w:noWrap/>
            <w:vAlign w:val="bottom"/>
            <w:hideMark/>
          </w:tcPr>
          <w:p w14:paraId="0AAE1278" w14:textId="29CD9053"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3072B95" w14:textId="3617632D"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51FD07D" w14:textId="71A38836"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08E31B0" w14:textId="0035AB3B"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2A150475" w14:textId="00F59770"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0358B5FA" w14:textId="0DF5E9A7" w:rsidR="00D8302C" w:rsidRPr="005B54EE" w:rsidRDefault="00D8302C" w:rsidP="00D8302C">
            <w:pPr>
              <w:jc w:val="right"/>
              <w:rPr>
                <w:rFonts w:ascii="Times New Roman" w:hAnsi="Times New Roman"/>
                <w:sz w:val="14"/>
                <w:szCs w:val="18"/>
              </w:rPr>
            </w:pPr>
            <w:r w:rsidRPr="005B54EE">
              <w:rPr>
                <w:sz w:val="14"/>
              </w:rPr>
              <w:t>2649,14</w:t>
            </w:r>
          </w:p>
        </w:tc>
      </w:tr>
      <w:tr w:rsidR="00D8302C" w:rsidRPr="005B54EE" w14:paraId="38234994"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19A91F34" w14:textId="77777777" w:rsidR="00D8302C" w:rsidRPr="005B54EE" w:rsidRDefault="00D8302C" w:rsidP="00D8302C">
            <w:pPr>
              <w:jc w:val="left"/>
              <w:rPr>
                <w:rFonts w:ascii="Times New Roman" w:hAnsi="Times New Roman"/>
                <w:sz w:val="14"/>
                <w:szCs w:val="18"/>
              </w:rPr>
            </w:pPr>
            <w:r w:rsidRPr="005B54EE">
              <w:rPr>
                <w:rFonts w:ascii="Times New Roman" w:hAnsi="Times New Roman"/>
                <w:sz w:val="14"/>
              </w:rPr>
              <w:t>E.  Other</w:t>
            </w:r>
            <w:r w:rsidRPr="005B54EE">
              <w:rPr>
                <w:rFonts w:ascii="Times New Roman" w:hAnsi="Times New Roman"/>
                <w:b/>
                <w:i/>
                <w:sz w:val="14"/>
              </w:rPr>
              <w:t xml:space="preserve"> </w:t>
            </w:r>
          </w:p>
        </w:tc>
        <w:tc>
          <w:tcPr>
            <w:tcW w:w="914" w:type="dxa"/>
            <w:tcBorders>
              <w:top w:val="nil"/>
              <w:left w:val="nil"/>
              <w:bottom w:val="single" w:sz="4" w:space="0" w:color="auto"/>
              <w:right w:val="single" w:sz="4" w:space="0" w:color="auto"/>
            </w:tcBorders>
            <w:shd w:val="clear" w:color="000000" w:fill="CCFFFF"/>
            <w:noWrap/>
            <w:vAlign w:val="bottom"/>
            <w:hideMark/>
          </w:tcPr>
          <w:p w14:paraId="081ED3CD" w14:textId="6B819FDA"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21B02502" w14:textId="7CF09FCD"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7D8886C7" w14:textId="5489261C"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969696"/>
            <w:noWrap/>
            <w:vAlign w:val="bottom"/>
            <w:hideMark/>
          </w:tcPr>
          <w:p w14:paraId="79A78450" w14:textId="76866B6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A8BF35D" w14:textId="7C7CC99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6040BD4" w14:textId="0A168B98"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446A412" w14:textId="7FEC19AB"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5511417F" w14:textId="1B28D225"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120A81D3" w14:textId="4ADC0861" w:rsidR="00D8302C" w:rsidRPr="005B54EE" w:rsidRDefault="00D8302C" w:rsidP="00D8302C">
            <w:pPr>
              <w:jc w:val="right"/>
              <w:rPr>
                <w:rFonts w:ascii="Times New Roman" w:hAnsi="Times New Roman"/>
                <w:sz w:val="14"/>
                <w:szCs w:val="18"/>
              </w:rPr>
            </w:pPr>
            <w:r w:rsidRPr="005B54EE">
              <w:rPr>
                <w:sz w:val="14"/>
              </w:rPr>
              <w:t>NO</w:t>
            </w:r>
          </w:p>
        </w:tc>
      </w:tr>
      <w:tr w:rsidR="00D8302C" w:rsidRPr="005B54EE" w14:paraId="0BD715DC"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3CCA8902" w14:textId="77777777" w:rsidR="00D8302C" w:rsidRPr="005B54EE" w:rsidRDefault="00D8302C" w:rsidP="00D8302C">
            <w:pPr>
              <w:jc w:val="left"/>
              <w:rPr>
                <w:rFonts w:ascii="Times New Roman" w:hAnsi="Times New Roman"/>
                <w:b/>
                <w:bCs/>
                <w:sz w:val="14"/>
                <w:szCs w:val="18"/>
              </w:rPr>
            </w:pPr>
            <w:r w:rsidRPr="005B54EE">
              <w:rPr>
                <w:rFonts w:ascii="Times New Roman" w:hAnsi="Times New Roman"/>
                <w:b/>
                <w:sz w:val="14"/>
              </w:rPr>
              <w:t xml:space="preserve">6.  Other </w:t>
            </w:r>
            <w:r w:rsidRPr="005B54EE">
              <w:rPr>
                <w:rFonts w:ascii="Times New Roman" w:hAnsi="Times New Roman"/>
                <w:b/>
                <w:i/>
                <w:sz w:val="14"/>
              </w:rPr>
              <w:t>(as specified in summary 1.A)</w:t>
            </w:r>
          </w:p>
        </w:tc>
        <w:tc>
          <w:tcPr>
            <w:tcW w:w="914" w:type="dxa"/>
            <w:tcBorders>
              <w:top w:val="nil"/>
              <w:left w:val="nil"/>
              <w:bottom w:val="single" w:sz="4" w:space="0" w:color="auto"/>
              <w:right w:val="single" w:sz="4" w:space="0" w:color="auto"/>
            </w:tcBorders>
            <w:shd w:val="clear" w:color="000000" w:fill="CCFFFF"/>
            <w:noWrap/>
            <w:vAlign w:val="bottom"/>
            <w:hideMark/>
          </w:tcPr>
          <w:p w14:paraId="40F6EE30" w14:textId="342B7DC7"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5C1C86D2" w14:textId="2091AD2B"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4D6D08E5" w14:textId="7C9C7FBB" w:rsidR="00D8302C" w:rsidRPr="005B54EE" w:rsidRDefault="00D8302C" w:rsidP="00D8302C">
            <w:pPr>
              <w:jc w:val="right"/>
              <w:rPr>
                <w:rFonts w:ascii="Times New Roman" w:hAnsi="Times New Roman"/>
                <w:sz w:val="14"/>
                <w:szCs w:val="18"/>
              </w:rPr>
            </w:pPr>
            <w:r w:rsidRPr="005B54EE">
              <w:rPr>
                <w:sz w:val="14"/>
              </w:rPr>
              <w:t>NO</w:t>
            </w:r>
          </w:p>
        </w:tc>
        <w:tc>
          <w:tcPr>
            <w:tcW w:w="820" w:type="dxa"/>
            <w:tcBorders>
              <w:top w:val="nil"/>
              <w:left w:val="nil"/>
              <w:bottom w:val="single" w:sz="4" w:space="0" w:color="auto"/>
              <w:right w:val="single" w:sz="4" w:space="0" w:color="auto"/>
            </w:tcBorders>
            <w:shd w:val="clear" w:color="000000" w:fill="CCFFFF"/>
            <w:noWrap/>
            <w:vAlign w:val="bottom"/>
            <w:hideMark/>
          </w:tcPr>
          <w:p w14:paraId="6AFB1487" w14:textId="30BC7E42" w:rsidR="00D8302C" w:rsidRPr="005B54EE" w:rsidRDefault="00D8302C" w:rsidP="00D8302C">
            <w:pPr>
              <w:jc w:val="right"/>
              <w:rPr>
                <w:rFonts w:ascii="Times New Roman" w:hAnsi="Times New Roman"/>
                <w:sz w:val="14"/>
                <w:szCs w:val="18"/>
              </w:rPr>
            </w:pPr>
            <w:r w:rsidRPr="005B54EE">
              <w:rPr>
                <w:sz w:val="14"/>
              </w:rPr>
              <w:t>NO</w:t>
            </w:r>
          </w:p>
        </w:tc>
        <w:tc>
          <w:tcPr>
            <w:tcW w:w="723" w:type="dxa"/>
            <w:tcBorders>
              <w:top w:val="nil"/>
              <w:left w:val="nil"/>
              <w:bottom w:val="single" w:sz="4" w:space="0" w:color="auto"/>
              <w:right w:val="single" w:sz="4" w:space="0" w:color="auto"/>
            </w:tcBorders>
            <w:shd w:val="clear" w:color="000000" w:fill="CCFFFF"/>
            <w:noWrap/>
            <w:vAlign w:val="bottom"/>
            <w:hideMark/>
          </w:tcPr>
          <w:p w14:paraId="3D4F68FE" w14:textId="3E7C7D63" w:rsidR="00D8302C" w:rsidRPr="005B54EE" w:rsidRDefault="00D8302C" w:rsidP="00D8302C">
            <w:pPr>
              <w:jc w:val="right"/>
              <w:rPr>
                <w:rFonts w:ascii="Times New Roman" w:hAnsi="Times New Roman"/>
                <w:sz w:val="14"/>
                <w:szCs w:val="18"/>
              </w:rPr>
            </w:pPr>
            <w:r w:rsidRPr="005B54EE">
              <w:rPr>
                <w:sz w:val="14"/>
              </w:rPr>
              <w:t>NO</w:t>
            </w:r>
          </w:p>
        </w:tc>
        <w:tc>
          <w:tcPr>
            <w:tcW w:w="723" w:type="dxa"/>
            <w:tcBorders>
              <w:top w:val="nil"/>
              <w:left w:val="nil"/>
              <w:bottom w:val="single" w:sz="4" w:space="0" w:color="auto"/>
              <w:right w:val="single" w:sz="4" w:space="0" w:color="auto"/>
            </w:tcBorders>
            <w:shd w:val="clear" w:color="000000" w:fill="CCFFFF"/>
            <w:noWrap/>
            <w:vAlign w:val="bottom"/>
            <w:hideMark/>
          </w:tcPr>
          <w:p w14:paraId="2A7BAC1F" w14:textId="4A91D023" w:rsidR="00D8302C" w:rsidRPr="005B54EE" w:rsidRDefault="00D8302C" w:rsidP="00D8302C">
            <w:pPr>
              <w:jc w:val="right"/>
              <w:rPr>
                <w:rFonts w:ascii="Times New Roman" w:hAnsi="Times New Roman"/>
                <w:sz w:val="14"/>
                <w:szCs w:val="18"/>
              </w:rPr>
            </w:pPr>
            <w:r w:rsidRPr="005B54EE">
              <w:rPr>
                <w:sz w:val="14"/>
              </w:rPr>
              <w:t>NO</w:t>
            </w:r>
          </w:p>
        </w:tc>
        <w:tc>
          <w:tcPr>
            <w:tcW w:w="1276" w:type="dxa"/>
            <w:tcBorders>
              <w:top w:val="nil"/>
              <w:left w:val="nil"/>
              <w:bottom w:val="single" w:sz="4" w:space="0" w:color="auto"/>
              <w:right w:val="single" w:sz="4" w:space="0" w:color="auto"/>
            </w:tcBorders>
            <w:shd w:val="clear" w:color="000000" w:fill="CCFFFF"/>
            <w:noWrap/>
            <w:vAlign w:val="bottom"/>
            <w:hideMark/>
          </w:tcPr>
          <w:p w14:paraId="6586DE8D" w14:textId="05312BAA" w:rsidR="00D8302C" w:rsidRPr="005B54EE" w:rsidRDefault="00D8302C" w:rsidP="00D8302C">
            <w:pPr>
              <w:jc w:val="right"/>
              <w:rPr>
                <w:rFonts w:ascii="Times New Roman" w:hAnsi="Times New Roman"/>
                <w:sz w:val="14"/>
                <w:szCs w:val="18"/>
              </w:rPr>
            </w:pPr>
            <w:r w:rsidRPr="005B54EE">
              <w:rPr>
                <w:sz w:val="14"/>
              </w:rPr>
              <w:t>NO</w:t>
            </w:r>
          </w:p>
        </w:tc>
        <w:tc>
          <w:tcPr>
            <w:tcW w:w="580" w:type="dxa"/>
            <w:tcBorders>
              <w:top w:val="nil"/>
              <w:left w:val="nil"/>
              <w:bottom w:val="single" w:sz="4" w:space="0" w:color="auto"/>
              <w:right w:val="single" w:sz="4" w:space="0" w:color="auto"/>
            </w:tcBorders>
            <w:shd w:val="clear" w:color="000000" w:fill="CCFFFF"/>
            <w:noWrap/>
            <w:vAlign w:val="bottom"/>
            <w:hideMark/>
          </w:tcPr>
          <w:p w14:paraId="0214B765" w14:textId="1843C83D" w:rsidR="00D8302C" w:rsidRPr="005B54EE" w:rsidRDefault="00D8302C" w:rsidP="00D8302C">
            <w:pPr>
              <w:jc w:val="right"/>
              <w:rPr>
                <w:rFonts w:ascii="Times New Roman" w:hAnsi="Times New Roman"/>
                <w:sz w:val="14"/>
                <w:szCs w:val="18"/>
              </w:rPr>
            </w:pPr>
            <w:r w:rsidRPr="005B54EE">
              <w:rPr>
                <w:sz w:val="14"/>
              </w:rPr>
              <w:t>NO</w:t>
            </w:r>
          </w:p>
        </w:tc>
        <w:tc>
          <w:tcPr>
            <w:tcW w:w="976" w:type="dxa"/>
            <w:tcBorders>
              <w:top w:val="nil"/>
              <w:left w:val="nil"/>
              <w:bottom w:val="single" w:sz="4" w:space="0" w:color="auto"/>
              <w:right w:val="single" w:sz="4" w:space="0" w:color="auto"/>
            </w:tcBorders>
            <w:shd w:val="clear" w:color="000000" w:fill="CCFFFF"/>
            <w:noWrap/>
            <w:vAlign w:val="bottom"/>
            <w:hideMark/>
          </w:tcPr>
          <w:p w14:paraId="6FCC4DF1" w14:textId="019BEDD8" w:rsidR="00D8302C" w:rsidRPr="005B54EE" w:rsidRDefault="00D8302C" w:rsidP="00D8302C">
            <w:pPr>
              <w:jc w:val="right"/>
              <w:rPr>
                <w:rFonts w:ascii="Times New Roman" w:hAnsi="Times New Roman"/>
                <w:sz w:val="14"/>
                <w:szCs w:val="18"/>
              </w:rPr>
            </w:pPr>
            <w:r w:rsidRPr="005B54EE">
              <w:rPr>
                <w:sz w:val="14"/>
              </w:rPr>
              <w:t>NO</w:t>
            </w:r>
          </w:p>
        </w:tc>
      </w:tr>
      <w:tr w:rsidR="00D8302C" w:rsidRPr="005B54EE" w14:paraId="1161CDA3" w14:textId="77777777" w:rsidTr="00D8302C">
        <w:trPr>
          <w:trHeight w:val="68"/>
          <w:jc w:val="center"/>
        </w:trPr>
        <w:tc>
          <w:tcPr>
            <w:tcW w:w="339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556E5457" w14:textId="6AFC9EF8" w:rsidR="00D8302C" w:rsidRPr="005B54EE" w:rsidRDefault="00D8302C" w:rsidP="00D8302C">
            <w:pPr>
              <w:jc w:val="left"/>
              <w:rPr>
                <w:rFonts w:ascii="Times New Roman" w:hAnsi="Times New Roman"/>
                <w:b/>
                <w:bCs/>
                <w:sz w:val="14"/>
                <w:szCs w:val="18"/>
              </w:rPr>
            </w:pPr>
            <w:r w:rsidRPr="005B54EE">
              <w:rPr>
                <w:b/>
                <w:sz w:val="14"/>
              </w:rPr>
              <w:t>Memo items:</w:t>
            </w:r>
            <w:r w:rsidRPr="005B54EE">
              <w:rPr>
                <w:b/>
                <w:sz w:val="14"/>
                <w:vertAlign w:val="superscript"/>
              </w:rPr>
              <w:t>(2)</w:t>
            </w:r>
          </w:p>
        </w:tc>
        <w:tc>
          <w:tcPr>
            <w:tcW w:w="914" w:type="dxa"/>
            <w:tcBorders>
              <w:top w:val="single" w:sz="4" w:space="0" w:color="auto"/>
              <w:left w:val="nil"/>
              <w:bottom w:val="single" w:sz="4" w:space="0" w:color="auto"/>
              <w:right w:val="single" w:sz="4" w:space="0" w:color="auto"/>
            </w:tcBorders>
            <w:shd w:val="clear" w:color="000000" w:fill="969696"/>
            <w:noWrap/>
            <w:vAlign w:val="bottom"/>
            <w:hideMark/>
          </w:tcPr>
          <w:p w14:paraId="04A66906" w14:textId="50831141"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single" w:sz="4" w:space="0" w:color="auto"/>
              <w:left w:val="nil"/>
              <w:bottom w:val="single" w:sz="4" w:space="0" w:color="auto"/>
              <w:right w:val="single" w:sz="4" w:space="0" w:color="auto"/>
            </w:tcBorders>
            <w:shd w:val="clear" w:color="000000" w:fill="969696"/>
            <w:noWrap/>
            <w:vAlign w:val="bottom"/>
            <w:hideMark/>
          </w:tcPr>
          <w:p w14:paraId="7F17AF5E" w14:textId="7682E430"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single" w:sz="4" w:space="0" w:color="auto"/>
              <w:left w:val="nil"/>
              <w:bottom w:val="single" w:sz="4" w:space="0" w:color="auto"/>
              <w:right w:val="single" w:sz="4" w:space="0" w:color="auto"/>
            </w:tcBorders>
            <w:shd w:val="clear" w:color="000000" w:fill="969696"/>
            <w:noWrap/>
            <w:vAlign w:val="bottom"/>
            <w:hideMark/>
          </w:tcPr>
          <w:p w14:paraId="4AAF9F16" w14:textId="3BBD779E"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single" w:sz="4" w:space="0" w:color="auto"/>
              <w:left w:val="nil"/>
              <w:bottom w:val="single" w:sz="4" w:space="0" w:color="auto"/>
              <w:right w:val="single" w:sz="4" w:space="0" w:color="auto"/>
            </w:tcBorders>
            <w:shd w:val="clear" w:color="000000" w:fill="969696"/>
            <w:noWrap/>
            <w:vAlign w:val="bottom"/>
            <w:hideMark/>
          </w:tcPr>
          <w:p w14:paraId="4E76E53C" w14:textId="7669BFAA"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single" w:sz="4" w:space="0" w:color="auto"/>
              <w:left w:val="nil"/>
              <w:bottom w:val="single" w:sz="4" w:space="0" w:color="auto"/>
              <w:right w:val="single" w:sz="4" w:space="0" w:color="auto"/>
            </w:tcBorders>
            <w:shd w:val="clear" w:color="000000" w:fill="969696"/>
            <w:noWrap/>
            <w:vAlign w:val="bottom"/>
            <w:hideMark/>
          </w:tcPr>
          <w:p w14:paraId="42450B42" w14:textId="37A7B81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single" w:sz="4" w:space="0" w:color="auto"/>
              <w:left w:val="nil"/>
              <w:bottom w:val="single" w:sz="4" w:space="0" w:color="auto"/>
              <w:right w:val="single" w:sz="4" w:space="0" w:color="auto"/>
            </w:tcBorders>
            <w:shd w:val="clear" w:color="000000" w:fill="969696"/>
            <w:noWrap/>
            <w:vAlign w:val="bottom"/>
            <w:hideMark/>
          </w:tcPr>
          <w:p w14:paraId="6DCDC25C" w14:textId="1EA5F8E1"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single" w:sz="4" w:space="0" w:color="auto"/>
              <w:left w:val="nil"/>
              <w:bottom w:val="single" w:sz="4" w:space="0" w:color="auto"/>
              <w:right w:val="single" w:sz="4" w:space="0" w:color="auto"/>
            </w:tcBorders>
            <w:shd w:val="clear" w:color="000000" w:fill="969696"/>
            <w:noWrap/>
            <w:vAlign w:val="bottom"/>
            <w:hideMark/>
          </w:tcPr>
          <w:p w14:paraId="09A62608" w14:textId="00697914"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single" w:sz="4" w:space="0" w:color="auto"/>
              <w:left w:val="nil"/>
              <w:bottom w:val="single" w:sz="4" w:space="0" w:color="auto"/>
              <w:right w:val="single" w:sz="4" w:space="0" w:color="auto"/>
            </w:tcBorders>
            <w:shd w:val="clear" w:color="000000" w:fill="969696"/>
            <w:noWrap/>
            <w:vAlign w:val="bottom"/>
            <w:hideMark/>
          </w:tcPr>
          <w:p w14:paraId="460DB5E1" w14:textId="3AC1A8F8"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single" w:sz="4" w:space="0" w:color="auto"/>
              <w:left w:val="nil"/>
              <w:bottom w:val="single" w:sz="4" w:space="0" w:color="auto"/>
              <w:right w:val="single" w:sz="4" w:space="0" w:color="auto"/>
            </w:tcBorders>
            <w:shd w:val="clear" w:color="000000" w:fill="969696"/>
            <w:noWrap/>
            <w:vAlign w:val="bottom"/>
            <w:hideMark/>
          </w:tcPr>
          <w:p w14:paraId="170762B1" w14:textId="58422B44" w:rsidR="00D8302C" w:rsidRPr="005B54EE" w:rsidRDefault="00D8302C" w:rsidP="00D8302C">
            <w:pPr>
              <w:jc w:val="right"/>
              <w:rPr>
                <w:rFonts w:ascii="Times New Roman" w:hAnsi="Times New Roman"/>
                <w:sz w:val="14"/>
                <w:szCs w:val="18"/>
              </w:rPr>
            </w:pPr>
            <w:r w:rsidRPr="005B54EE">
              <w:rPr>
                <w:sz w:val="14"/>
              </w:rPr>
              <w:t> </w:t>
            </w:r>
          </w:p>
        </w:tc>
      </w:tr>
      <w:tr w:rsidR="00D8302C" w:rsidRPr="005B54EE" w14:paraId="33E90FAA"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01A9591" w14:textId="1C9FFDC7" w:rsidR="00D8302C" w:rsidRPr="005B54EE" w:rsidRDefault="00D8302C" w:rsidP="00D8302C">
            <w:pPr>
              <w:jc w:val="left"/>
              <w:rPr>
                <w:rFonts w:ascii="Times New Roman" w:hAnsi="Times New Roman"/>
                <w:b/>
                <w:bCs/>
                <w:sz w:val="14"/>
                <w:szCs w:val="18"/>
              </w:rPr>
            </w:pPr>
            <w:r w:rsidRPr="005B54EE">
              <w:rPr>
                <w:b/>
                <w:sz w:val="14"/>
              </w:rPr>
              <w:t>International bunkers</w:t>
            </w:r>
          </w:p>
        </w:tc>
        <w:tc>
          <w:tcPr>
            <w:tcW w:w="914" w:type="dxa"/>
            <w:tcBorders>
              <w:top w:val="nil"/>
              <w:left w:val="nil"/>
              <w:bottom w:val="single" w:sz="4" w:space="0" w:color="auto"/>
              <w:right w:val="single" w:sz="4" w:space="0" w:color="auto"/>
            </w:tcBorders>
            <w:shd w:val="clear" w:color="000000" w:fill="CCFFFF"/>
            <w:noWrap/>
            <w:vAlign w:val="bottom"/>
            <w:hideMark/>
          </w:tcPr>
          <w:p w14:paraId="46E8D416" w14:textId="2564FA5C" w:rsidR="00D8302C" w:rsidRPr="005B54EE" w:rsidRDefault="00D8302C" w:rsidP="00D8302C">
            <w:pPr>
              <w:jc w:val="right"/>
              <w:rPr>
                <w:rFonts w:ascii="Times New Roman" w:hAnsi="Times New Roman"/>
                <w:sz w:val="14"/>
                <w:szCs w:val="18"/>
              </w:rPr>
            </w:pPr>
            <w:r w:rsidRPr="005B54EE">
              <w:rPr>
                <w:sz w:val="14"/>
              </w:rPr>
              <w:t>11173,11</w:t>
            </w:r>
          </w:p>
        </w:tc>
        <w:tc>
          <w:tcPr>
            <w:tcW w:w="820" w:type="dxa"/>
            <w:tcBorders>
              <w:top w:val="nil"/>
              <w:left w:val="nil"/>
              <w:bottom w:val="single" w:sz="4" w:space="0" w:color="auto"/>
              <w:right w:val="single" w:sz="4" w:space="0" w:color="auto"/>
            </w:tcBorders>
            <w:shd w:val="clear" w:color="000000" w:fill="CCFFFF"/>
            <w:noWrap/>
            <w:vAlign w:val="bottom"/>
            <w:hideMark/>
          </w:tcPr>
          <w:p w14:paraId="6D1D25EF" w14:textId="52D10B0D" w:rsidR="00D8302C" w:rsidRPr="005B54EE" w:rsidRDefault="00D8302C" w:rsidP="00D8302C">
            <w:pPr>
              <w:jc w:val="right"/>
              <w:rPr>
                <w:rFonts w:ascii="Times New Roman" w:hAnsi="Times New Roman"/>
                <w:sz w:val="14"/>
                <w:szCs w:val="18"/>
              </w:rPr>
            </w:pPr>
            <w:r w:rsidRPr="005B54EE">
              <w:rPr>
                <w:sz w:val="14"/>
              </w:rPr>
              <w:t>8,20</w:t>
            </w:r>
          </w:p>
        </w:tc>
        <w:tc>
          <w:tcPr>
            <w:tcW w:w="820" w:type="dxa"/>
            <w:tcBorders>
              <w:top w:val="nil"/>
              <w:left w:val="nil"/>
              <w:bottom w:val="single" w:sz="4" w:space="0" w:color="auto"/>
              <w:right w:val="single" w:sz="4" w:space="0" w:color="auto"/>
            </w:tcBorders>
            <w:shd w:val="clear" w:color="000000" w:fill="CCFFFF"/>
            <w:noWrap/>
            <w:vAlign w:val="bottom"/>
            <w:hideMark/>
          </w:tcPr>
          <w:p w14:paraId="124528C7" w14:textId="335E55BA" w:rsidR="00D8302C" w:rsidRPr="005B54EE" w:rsidRDefault="00D8302C" w:rsidP="00D8302C">
            <w:pPr>
              <w:jc w:val="right"/>
              <w:rPr>
                <w:rFonts w:ascii="Times New Roman" w:hAnsi="Times New Roman"/>
                <w:sz w:val="14"/>
                <w:szCs w:val="18"/>
              </w:rPr>
            </w:pPr>
            <w:r w:rsidRPr="005B54EE">
              <w:rPr>
                <w:sz w:val="14"/>
              </w:rPr>
              <w:t>89,15</w:t>
            </w:r>
          </w:p>
        </w:tc>
        <w:tc>
          <w:tcPr>
            <w:tcW w:w="820" w:type="dxa"/>
            <w:tcBorders>
              <w:top w:val="nil"/>
              <w:left w:val="nil"/>
              <w:bottom w:val="single" w:sz="4" w:space="0" w:color="auto"/>
              <w:right w:val="single" w:sz="4" w:space="0" w:color="auto"/>
            </w:tcBorders>
            <w:shd w:val="clear" w:color="000000" w:fill="969696"/>
            <w:noWrap/>
            <w:vAlign w:val="bottom"/>
            <w:hideMark/>
          </w:tcPr>
          <w:p w14:paraId="023A23F4" w14:textId="653BAD5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B81E9F6" w14:textId="67A6004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1F93D31" w14:textId="5E410525"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1AD3B76" w14:textId="687C7A16"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DCEF114" w14:textId="4C80EA9A"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570347DF" w14:textId="1F518FDA" w:rsidR="00D8302C" w:rsidRPr="005B54EE" w:rsidRDefault="00D8302C" w:rsidP="00D8302C">
            <w:pPr>
              <w:jc w:val="right"/>
              <w:rPr>
                <w:rFonts w:ascii="Times New Roman" w:hAnsi="Times New Roman"/>
                <w:sz w:val="14"/>
                <w:szCs w:val="18"/>
              </w:rPr>
            </w:pPr>
            <w:r w:rsidRPr="005B54EE">
              <w:rPr>
                <w:sz w:val="14"/>
              </w:rPr>
              <w:t>11270,46</w:t>
            </w:r>
          </w:p>
        </w:tc>
      </w:tr>
      <w:tr w:rsidR="00D8302C" w:rsidRPr="005B54EE" w14:paraId="002DEB99"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F0AC03B" w14:textId="35B07F78" w:rsidR="00D8302C" w:rsidRPr="005B54EE" w:rsidRDefault="00D8302C" w:rsidP="00D8302C">
            <w:pPr>
              <w:jc w:val="left"/>
              <w:rPr>
                <w:rFonts w:ascii="Times New Roman" w:hAnsi="Times New Roman"/>
                <w:sz w:val="14"/>
                <w:szCs w:val="18"/>
              </w:rPr>
            </w:pPr>
            <w:r w:rsidRPr="005B54EE">
              <w:rPr>
                <w:sz w:val="14"/>
              </w:rPr>
              <w:t>Aviation</w:t>
            </w:r>
          </w:p>
        </w:tc>
        <w:tc>
          <w:tcPr>
            <w:tcW w:w="914" w:type="dxa"/>
            <w:tcBorders>
              <w:top w:val="nil"/>
              <w:left w:val="nil"/>
              <w:bottom w:val="single" w:sz="4" w:space="0" w:color="auto"/>
              <w:right w:val="single" w:sz="4" w:space="0" w:color="auto"/>
            </w:tcBorders>
            <w:shd w:val="clear" w:color="000000" w:fill="CCFFFF"/>
            <w:noWrap/>
            <w:vAlign w:val="bottom"/>
            <w:hideMark/>
          </w:tcPr>
          <w:p w14:paraId="2A7D5840" w14:textId="3B06FCE2" w:rsidR="00D8302C" w:rsidRPr="005B54EE" w:rsidRDefault="00D8302C" w:rsidP="00D8302C">
            <w:pPr>
              <w:jc w:val="right"/>
              <w:rPr>
                <w:rFonts w:ascii="Times New Roman" w:hAnsi="Times New Roman"/>
                <w:sz w:val="14"/>
                <w:szCs w:val="18"/>
              </w:rPr>
            </w:pPr>
            <w:r w:rsidRPr="005B54EE">
              <w:rPr>
                <w:sz w:val="14"/>
              </w:rPr>
              <w:t>8045,68</w:t>
            </w:r>
          </w:p>
        </w:tc>
        <w:tc>
          <w:tcPr>
            <w:tcW w:w="820" w:type="dxa"/>
            <w:tcBorders>
              <w:top w:val="nil"/>
              <w:left w:val="nil"/>
              <w:bottom w:val="single" w:sz="4" w:space="0" w:color="auto"/>
              <w:right w:val="single" w:sz="4" w:space="0" w:color="auto"/>
            </w:tcBorders>
            <w:shd w:val="clear" w:color="000000" w:fill="CCFFFF"/>
            <w:noWrap/>
            <w:vAlign w:val="bottom"/>
            <w:hideMark/>
          </w:tcPr>
          <w:p w14:paraId="25AF474C" w14:textId="6C85611F" w:rsidR="00D8302C" w:rsidRPr="005B54EE" w:rsidRDefault="00D8302C" w:rsidP="00D8302C">
            <w:pPr>
              <w:jc w:val="right"/>
              <w:rPr>
                <w:rFonts w:ascii="Times New Roman" w:hAnsi="Times New Roman"/>
                <w:sz w:val="14"/>
                <w:szCs w:val="18"/>
              </w:rPr>
            </w:pPr>
            <w:r w:rsidRPr="005B54EE">
              <w:rPr>
                <w:sz w:val="14"/>
              </w:rPr>
              <w:t>0,70</w:t>
            </w:r>
          </w:p>
        </w:tc>
        <w:tc>
          <w:tcPr>
            <w:tcW w:w="820" w:type="dxa"/>
            <w:tcBorders>
              <w:top w:val="nil"/>
              <w:left w:val="nil"/>
              <w:bottom w:val="single" w:sz="4" w:space="0" w:color="auto"/>
              <w:right w:val="single" w:sz="4" w:space="0" w:color="auto"/>
            </w:tcBorders>
            <w:shd w:val="clear" w:color="000000" w:fill="CCFFFF"/>
            <w:noWrap/>
            <w:vAlign w:val="bottom"/>
            <w:hideMark/>
          </w:tcPr>
          <w:p w14:paraId="504F035A" w14:textId="1784AD36" w:rsidR="00D8302C" w:rsidRPr="005B54EE" w:rsidRDefault="00D8302C" w:rsidP="00D8302C">
            <w:pPr>
              <w:jc w:val="right"/>
              <w:rPr>
                <w:rFonts w:ascii="Times New Roman" w:hAnsi="Times New Roman"/>
                <w:sz w:val="14"/>
                <w:szCs w:val="18"/>
              </w:rPr>
            </w:pPr>
            <w:r w:rsidRPr="005B54EE">
              <w:rPr>
                <w:sz w:val="14"/>
              </w:rPr>
              <w:t>65,25</w:t>
            </w:r>
          </w:p>
        </w:tc>
        <w:tc>
          <w:tcPr>
            <w:tcW w:w="820" w:type="dxa"/>
            <w:tcBorders>
              <w:top w:val="nil"/>
              <w:left w:val="nil"/>
              <w:bottom w:val="single" w:sz="4" w:space="0" w:color="auto"/>
              <w:right w:val="single" w:sz="4" w:space="0" w:color="auto"/>
            </w:tcBorders>
            <w:shd w:val="clear" w:color="000000" w:fill="969696"/>
            <w:noWrap/>
            <w:vAlign w:val="bottom"/>
            <w:hideMark/>
          </w:tcPr>
          <w:p w14:paraId="02407E3F" w14:textId="051DE479"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F37F599" w14:textId="3AF1768A"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0D5F010" w14:textId="05D036A0"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A675B92" w14:textId="7AD94BFC"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7A30CDFF" w14:textId="5C2B2A0D"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3D5BA74C" w14:textId="32ED04C8" w:rsidR="00D8302C" w:rsidRPr="005B54EE" w:rsidRDefault="00D8302C" w:rsidP="00D8302C">
            <w:pPr>
              <w:jc w:val="right"/>
              <w:rPr>
                <w:rFonts w:ascii="Times New Roman" w:hAnsi="Times New Roman"/>
                <w:sz w:val="14"/>
                <w:szCs w:val="18"/>
              </w:rPr>
            </w:pPr>
            <w:r w:rsidRPr="005B54EE">
              <w:rPr>
                <w:sz w:val="14"/>
              </w:rPr>
              <w:t>8111,63</w:t>
            </w:r>
          </w:p>
        </w:tc>
      </w:tr>
      <w:tr w:rsidR="00D8302C" w:rsidRPr="005B54EE" w14:paraId="78BCAF0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CB41004" w14:textId="44DB765E" w:rsidR="00D8302C" w:rsidRPr="005B54EE" w:rsidRDefault="00D8302C" w:rsidP="00D8302C">
            <w:pPr>
              <w:jc w:val="left"/>
              <w:rPr>
                <w:rFonts w:ascii="Times New Roman" w:hAnsi="Times New Roman"/>
                <w:sz w:val="14"/>
                <w:szCs w:val="18"/>
              </w:rPr>
            </w:pPr>
            <w:r w:rsidRPr="005B54EE">
              <w:rPr>
                <w:sz w:val="14"/>
              </w:rPr>
              <w:t>Navigation</w:t>
            </w:r>
          </w:p>
        </w:tc>
        <w:tc>
          <w:tcPr>
            <w:tcW w:w="914" w:type="dxa"/>
            <w:tcBorders>
              <w:top w:val="nil"/>
              <w:left w:val="nil"/>
              <w:bottom w:val="single" w:sz="4" w:space="0" w:color="auto"/>
              <w:right w:val="single" w:sz="4" w:space="0" w:color="auto"/>
            </w:tcBorders>
            <w:shd w:val="clear" w:color="000000" w:fill="CCFFFF"/>
            <w:noWrap/>
            <w:vAlign w:val="bottom"/>
            <w:hideMark/>
          </w:tcPr>
          <w:p w14:paraId="22D75594" w14:textId="11EF0B16" w:rsidR="00D8302C" w:rsidRPr="005B54EE" w:rsidRDefault="00D8302C" w:rsidP="00D8302C">
            <w:pPr>
              <w:jc w:val="right"/>
              <w:rPr>
                <w:rFonts w:ascii="Times New Roman" w:hAnsi="Times New Roman"/>
                <w:sz w:val="14"/>
                <w:szCs w:val="18"/>
              </w:rPr>
            </w:pPr>
            <w:r w:rsidRPr="005B54EE">
              <w:rPr>
                <w:sz w:val="14"/>
              </w:rPr>
              <w:t>3127,43</w:t>
            </w:r>
          </w:p>
        </w:tc>
        <w:tc>
          <w:tcPr>
            <w:tcW w:w="820" w:type="dxa"/>
            <w:tcBorders>
              <w:top w:val="nil"/>
              <w:left w:val="nil"/>
              <w:bottom w:val="single" w:sz="4" w:space="0" w:color="auto"/>
              <w:right w:val="single" w:sz="4" w:space="0" w:color="auto"/>
            </w:tcBorders>
            <w:shd w:val="clear" w:color="000000" w:fill="CCFFFF"/>
            <w:noWrap/>
            <w:vAlign w:val="bottom"/>
            <w:hideMark/>
          </w:tcPr>
          <w:p w14:paraId="39FAD4D3" w14:textId="187F6643" w:rsidR="00D8302C" w:rsidRPr="005B54EE" w:rsidRDefault="00D8302C" w:rsidP="00D8302C">
            <w:pPr>
              <w:jc w:val="right"/>
              <w:rPr>
                <w:rFonts w:ascii="Times New Roman" w:hAnsi="Times New Roman"/>
                <w:sz w:val="14"/>
                <w:szCs w:val="18"/>
              </w:rPr>
            </w:pPr>
            <w:r w:rsidRPr="005B54EE">
              <w:rPr>
                <w:sz w:val="14"/>
              </w:rPr>
              <w:t>7,51</w:t>
            </w:r>
          </w:p>
        </w:tc>
        <w:tc>
          <w:tcPr>
            <w:tcW w:w="820" w:type="dxa"/>
            <w:tcBorders>
              <w:top w:val="nil"/>
              <w:left w:val="nil"/>
              <w:bottom w:val="single" w:sz="4" w:space="0" w:color="auto"/>
              <w:right w:val="single" w:sz="4" w:space="0" w:color="auto"/>
            </w:tcBorders>
            <w:shd w:val="clear" w:color="000000" w:fill="CCFFFF"/>
            <w:noWrap/>
            <w:vAlign w:val="bottom"/>
            <w:hideMark/>
          </w:tcPr>
          <w:p w14:paraId="66C3761F" w14:textId="3A4CFA82" w:rsidR="00D8302C" w:rsidRPr="005B54EE" w:rsidRDefault="00D8302C" w:rsidP="00D8302C">
            <w:pPr>
              <w:jc w:val="right"/>
              <w:rPr>
                <w:rFonts w:ascii="Times New Roman" w:hAnsi="Times New Roman"/>
                <w:sz w:val="14"/>
                <w:szCs w:val="18"/>
              </w:rPr>
            </w:pPr>
            <w:r w:rsidRPr="005B54EE">
              <w:rPr>
                <w:sz w:val="14"/>
              </w:rPr>
              <w:t>23,90</w:t>
            </w:r>
          </w:p>
        </w:tc>
        <w:tc>
          <w:tcPr>
            <w:tcW w:w="820" w:type="dxa"/>
            <w:tcBorders>
              <w:top w:val="nil"/>
              <w:left w:val="nil"/>
              <w:bottom w:val="single" w:sz="4" w:space="0" w:color="auto"/>
              <w:right w:val="single" w:sz="4" w:space="0" w:color="auto"/>
            </w:tcBorders>
            <w:shd w:val="clear" w:color="000000" w:fill="969696"/>
            <w:noWrap/>
            <w:vAlign w:val="bottom"/>
            <w:hideMark/>
          </w:tcPr>
          <w:p w14:paraId="73976A6F" w14:textId="61A29D8A"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2DB291A" w14:textId="4B03267D"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CC478D3" w14:textId="3A0BCAB7"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185C2134" w14:textId="6CE48D1A"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217286C2" w14:textId="5E65B3FC"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41A8832A" w14:textId="41F242F0" w:rsidR="00D8302C" w:rsidRPr="005B54EE" w:rsidRDefault="00D8302C" w:rsidP="00D8302C">
            <w:pPr>
              <w:jc w:val="right"/>
              <w:rPr>
                <w:rFonts w:ascii="Times New Roman" w:hAnsi="Times New Roman"/>
                <w:sz w:val="14"/>
                <w:szCs w:val="18"/>
              </w:rPr>
            </w:pPr>
            <w:r w:rsidRPr="005B54EE">
              <w:rPr>
                <w:sz w:val="14"/>
              </w:rPr>
              <w:t>3158,84</w:t>
            </w:r>
          </w:p>
        </w:tc>
      </w:tr>
      <w:tr w:rsidR="00D8302C" w:rsidRPr="005B54EE" w14:paraId="621C6E8E"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994B341" w14:textId="17B78023" w:rsidR="00D8302C" w:rsidRPr="005B54EE" w:rsidRDefault="00D8302C" w:rsidP="00D8302C">
            <w:pPr>
              <w:jc w:val="left"/>
              <w:rPr>
                <w:rFonts w:ascii="Times New Roman" w:hAnsi="Times New Roman"/>
                <w:b/>
                <w:bCs/>
                <w:sz w:val="14"/>
                <w:szCs w:val="18"/>
              </w:rPr>
            </w:pPr>
            <w:r w:rsidRPr="005B54EE">
              <w:rPr>
                <w:b/>
                <w:sz w:val="14"/>
              </w:rPr>
              <w:t>Multilateral operations</w:t>
            </w:r>
          </w:p>
        </w:tc>
        <w:tc>
          <w:tcPr>
            <w:tcW w:w="914" w:type="dxa"/>
            <w:tcBorders>
              <w:top w:val="nil"/>
              <w:left w:val="nil"/>
              <w:bottom w:val="single" w:sz="4" w:space="0" w:color="auto"/>
              <w:right w:val="single" w:sz="4" w:space="0" w:color="auto"/>
            </w:tcBorders>
            <w:shd w:val="clear" w:color="000000" w:fill="CCFFFF"/>
            <w:noWrap/>
            <w:vAlign w:val="bottom"/>
            <w:hideMark/>
          </w:tcPr>
          <w:p w14:paraId="58ADB887" w14:textId="330D13FE" w:rsidR="00D8302C" w:rsidRPr="005B54EE" w:rsidRDefault="00D8302C" w:rsidP="00D8302C">
            <w:pPr>
              <w:jc w:val="right"/>
              <w:rPr>
                <w:rFonts w:ascii="Times New Roman" w:hAnsi="Times New Roman"/>
                <w:sz w:val="14"/>
                <w:szCs w:val="18"/>
              </w:rPr>
            </w:pPr>
            <w:r w:rsidRPr="005B54EE">
              <w:rPr>
                <w:sz w:val="14"/>
              </w:rPr>
              <w:t>1,42</w:t>
            </w:r>
          </w:p>
        </w:tc>
        <w:tc>
          <w:tcPr>
            <w:tcW w:w="820" w:type="dxa"/>
            <w:tcBorders>
              <w:top w:val="nil"/>
              <w:left w:val="nil"/>
              <w:bottom w:val="single" w:sz="4" w:space="0" w:color="auto"/>
              <w:right w:val="single" w:sz="4" w:space="0" w:color="auto"/>
            </w:tcBorders>
            <w:shd w:val="clear" w:color="000000" w:fill="CCFFFF"/>
            <w:noWrap/>
            <w:vAlign w:val="bottom"/>
            <w:hideMark/>
          </w:tcPr>
          <w:p w14:paraId="1B8CECE2" w14:textId="71443D7C" w:rsidR="00D8302C" w:rsidRPr="005B54EE" w:rsidRDefault="00D8302C" w:rsidP="00D8302C">
            <w:pPr>
              <w:jc w:val="right"/>
              <w:rPr>
                <w:rFonts w:ascii="Times New Roman" w:hAnsi="Times New Roman"/>
                <w:sz w:val="14"/>
                <w:szCs w:val="18"/>
              </w:rPr>
            </w:pPr>
            <w:r w:rsidRPr="005B54EE">
              <w:rPr>
                <w:sz w:val="14"/>
              </w:rPr>
              <w:t>NE</w:t>
            </w:r>
          </w:p>
        </w:tc>
        <w:tc>
          <w:tcPr>
            <w:tcW w:w="820" w:type="dxa"/>
            <w:tcBorders>
              <w:top w:val="nil"/>
              <w:left w:val="nil"/>
              <w:bottom w:val="single" w:sz="4" w:space="0" w:color="auto"/>
              <w:right w:val="single" w:sz="4" w:space="0" w:color="auto"/>
            </w:tcBorders>
            <w:shd w:val="clear" w:color="000000" w:fill="CCFFFF"/>
            <w:noWrap/>
            <w:vAlign w:val="bottom"/>
            <w:hideMark/>
          </w:tcPr>
          <w:p w14:paraId="08686BC7" w14:textId="770E3D38" w:rsidR="00D8302C" w:rsidRPr="005B54EE" w:rsidRDefault="00D8302C" w:rsidP="00D8302C">
            <w:pPr>
              <w:jc w:val="right"/>
              <w:rPr>
                <w:rFonts w:ascii="Times New Roman" w:hAnsi="Times New Roman"/>
                <w:sz w:val="14"/>
                <w:szCs w:val="18"/>
              </w:rPr>
            </w:pPr>
            <w:r w:rsidRPr="005B54EE">
              <w:rPr>
                <w:sz w:val="14"/>
              </w:rPr>
              <w:t>NE</w:t>
            </w:r>
          </w:p>
        </w:tc>
        <w:tc>
          <w:tcPr>
            <w:tcW w:w="820" w:type="dxa"/>
            <w:tcBorders>
              <w:top w:val="nil"/>
              <w:left w:val="nil"/>
              <w:bottom w:val="single" w:sz="4" w:space="0" w:color="auto"/>
              <w:right w:val="single" w:sz="4" w:space="0" w:color="auto"/>
            </w:tcBorders>
            <w:shd w:val="clear" w:color="000000" w:fill="969696"/>
            <w:noWrap/>
            <w:vAlign w:val="bottom"/>
            <w:hideMark/>
          </w:tcPr>
          <w:p w14:paraId="28FB6452" w14:textId="1EE1E670"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4F446C03" w14:textId="79A10DC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EF0A135" w14:textId="749D4B8B"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40653A3B" w14:textId="2063F03A"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677CA52" w14:textId="69B37EFF"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3C9959F2" w14:textId="19DC7FFF" w:rsidR="00D8302C" w:rsidRPr="005B54EE" w:rsidRDefault="00D8302C" w:rsidP="00D8302C">
            <w:pPr>
              <w:jc w:val="right"/>
              <w:rPr>
                <w:rFonts w:ascii="Times New Roman" w:hAnsi="Times New Roman"/>
                <w:sz w:val="14"/>
                <w:szCs w:val="18"/>
              </w:rPr>
            </w:pPr>
            <w:r w:rsidRPr="005B54EE">
              <w:rPr>
                <w:sz w:val="14"/>
              </w:rPr>
              <w:t>1,42</w:t>
            </w:r>
          </w:p>
        </w:tc>
      </w:tr>
      <w:tr w:rsidR="00D8302C" w:rsidRPr="005B54EE" w14:paraId="7B06C846"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77CA2F06" w14:textId="2F82F417" w:rsidR="00D8302C" w:rsidRPr="005B54EE" w:rsidRDefault="00811B0F" w:rsidP="00D8302C">
            <w:pPr>
              <w:jc w:val="left"/>
              <w:rPr>
                <w:rFonts w:ascii="Times New Roman" w:hAnsi="Times New Roman"/>
                <w:b/>
                <w:bCs/>
                <w:sz w:val="14"/>
                <w:szCs w:val="18"/>
              </w:rPr>
            </w:pPr>
            <w:r w:rsidRPr="005B54EE">
              <w:t>CO</w:t>
            </w:r>
            <w:r w:rsidRPr="005B54EE">
              <w:rPr>
                <w:vertAlign w:val="subscript"/>
              </w:rPr>
              <w:t>2</w:t>
            </w:r>
            <w:r w:rsidRPr="005B54EE">
              <w:rPr>
                <w:b/>
                <w:sz w:val="14"/>
              </w:rPr>
              <w:t xml:space="preserve"> emissions from biomass</w:t>
            </w:r>
          </w:p>
        </w:tc>
        <w:tc>
          <w:tcPr>
            <w:tcW w:w="914" w:type="dxa"/>
            <w:tcBorders>
              <w:top w:val="nil"/>
              <w:left w:val="nil"/>
              <w:bottom w:val="single" w:sz="4" w:space="0" w:color="auto"/>
              <w:right w:val="single" w:sz="4" w:space="0" w:color="auto"/>
            </w:tcBorders>
            <w:shd w:val="clear" w:color="000000" w:fill="CCFFFF"/>
            <w:noWrap/>
            <w:vAlign w:val="bottom"/>
            <w:hideMark/>
          </w:tcPr>
          <w:p w14:paraId="227AF989" w14:textId="4C864670" w:rsidR="00D8302C" w:rsidRPr="005B54EE" w:rsidRDefault="00D8302C" w:rsidP="00D8302C">
            <w:pPr>
              <w:jc w:val="right"/>
              <w:rPr>
                <w:rFonts w:ascii="Times New Roman" w:hAnsi="Times New Roman"/>
                <w:sz w:val="14"/>
                <w:szCs w:val="18"/>
              </w:rPr>
            </w:pPr>
            <w:r w:rsidRPr="005B54EE">
              <w:rPr>
                <w:sz w:val="14"/>
              </w:rPr>
              <w:t>59126,82</w:t>
            </w:r>
          </w:p>
        </w:tc>
        <w:tc>
          <w:tcPr>
            <w:tcW w:w="820" w:type="dxa"/>
            <w:tcBorders>
              <w:top w:val="nil"/>
              <w:left w:val="nil"/>
              <w:bottom w:val="single" w:sz="4" w:space="0" w:color="auto"/>
              <w:right w:val="single" w:sz="4" w:space="0" w:color="auto"/>
            </w:tcBorders>
            <w:shd w:val="clear" w:color="000000" w:fill="969696"/>
            <w:noWrap/>
            <w:vAlign w:val="bottom"/>
            <w:hideMark/>
          </w:tcPr>
          <w:p w14:paraId="62C3B616" w14:textId="4DEBE71E"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92D687A" w14:textId="3491581A"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2E0DB4D0" w14:textId="249DEB3C"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EDE54A5" w14:textId="570E4FD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26229EB" w14:textId="087134E6"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AEEC608" w14:textId="7AB344C4"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152FFA73" w14:textId="2F3ED227"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6CA7C393" w14:textId="59E680D8" w:rsidR="00D8302C" w:rsidRPr="005B54EE" w:rsidRDefault="00D8302C" w:rsidP="00D8302C">
            <w:pPr>
              <w:jc w:val="right"/>
              <w:rPr>
                <w:rFonts w:ascii="Times New Roman" w:hAnsi="Times New Roman"/>
                <w:sz w:val="14"/>
                <w:szCs w:val="18"/>
              </w:rPr>
            </w:pPr>
            <w:r w:rsidRPr="005B54EE">
              <w:rPr>
                <w:sz w:val="14"/>
              </w:rPr>
              <w:t>59126,82</w:t>
            </w:r>
          </w:p>
        </w:tc>
      </w:tr>
      <w:tr w:rsidR="00D8302C" w:rsidRPr="005B54EE" w14:paraId="18D25658"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4E3E1898" w14:textId="61B3B18D" w:rsidR="00D8302C" w:rsidRPr="005B54EE" w:rsidRDefault="00811B0F" w:rsidP="00D8302C">
            <w:pPr>
              <w:jc w:val="left"/>
              <w:rPr>
                <w:rFonts w:ascii="Times New Roman" w:hAnsi="Times New Roman"/>
                <w:b/>
                <w:bCs/>
                <w:sz w:val="14"/>
                <w:szCs w:val="18"/>
              </w:rPr>
            </w:pPr>
            <w:r w:rsidRPr="005B54EE">
              <w:t>CO</w:t>
            </w:r>
            <w:r w:rsidRPr="005B54EE">
              <w:rPr>
                <w:vertAlign w:val="subscript"/>
              </w:rPr>
              <w:t>2</w:t>
            </w:r>
            <w:r w:rsidRPr="005B54EE">
              <w:rPr>
                <w:b/>
                <w:sz w:val="14"/>
              </w:rPr>
              <w:t xml:space="preserve"> captured</w:t>
            </w:r>
          </w:p>
        </w:tc>
        <w:tc>
          <w:tcPr>
            <w:tcW w:w="914" w:type="dxa"/>
            <w:tcBorders>
              <w:top w:val="nil"/>
              <w:left w:val="nil"/>
              <w:bottom w:val="single" w:sz="4" w:space="0" w:color="auto"/>
              <w:right w:val="single" w:sz="4" w:space="0" w:color="auto"/>
            </w:tcBorders>
            <w:shd w:val="clear" w:color="000000" w:fill="CCFFFF"/>
            <w:noWrap/>
            <w:vAlign w:val="bottom"/>
            <w:hideMark/>
          </w:tcPr>
          <w:p w14:paraId="3F42601A" w14:textId="59599330" w:rsidR="00D8302C" w:rsidRPr="005B54EE" w:rsidRDefault="00D8302C" w:rsidP="00D8302C">
            <w:pPr>
              <w:jc w:val="right"/>
              <w:rPr>
                <w:rFonts w:ascii="Times New Roman" w:hAnsi="Times New Roman"/>
                <w:sz w:val="14"/>
                <w:szCs w:val="18"/>
              </w:rPr>
            </w:pPr>
            <w:r w:rsidRPr="005B54EE">
              <w:rPr>
                <w:sz w:val="14"/>
              </w:rPr>
              <w:t>NO,NA</w:t>
            </w:r>
          </w:p>
        </w:tc>
        <w:tc>
          <w:tcPr>
            <w:tcW w:w="820" w:type="dxa"/>
            <w:tcBorders>
              <w:top w:val="nil"/>
              <w:left w:val="nil"/>
              <w:bottom w:val="single" w:sz="4" w:space="0" w:color="auto"/>
              <w:right w:val="single" w:sz="4" w:space="0" w:color="auto"/>
            </w:tcBorders>
            <w:shd w:val="clear" w:color="000000" w:fill="969696"/>
            <w:noWrap/>
            <w:vAlign w:val="bottom"/>
            <w:hideMark/>
          </w:tcPr>
          <w:p w14:paraId="706D99F6" w14:textId="64E4D109"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37B86E60" w14:textId="223067C8"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396F2407" w14:textId="400BB826"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7C6017F" w14:textId="67E8F59F"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023466FE" w14:textId="4B690804"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2F5FC982" w14:textId="2729D562"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08C252A7" w14:textId="16F84973"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21E993A8" w14:textId="3793CD44" w:rsidR="00D8302C" w:rsidRPr="005B54EE" w:rsidRDefault="00D8302C" w:rsidP="00D8302C">
            <w:pPr>
              <w:jc w:val="right"/>
              <w:rPr>
                <w:rFonts w:ascii="Times New Roman" w:hAnsi="Times New Roman"/>
                <w:sz w:val="14"/>
                <w:szCs w:val="18"/>
              </w:rPr>
            </w:pPr>
            <w:r w:rsidRPr="005B54EE">
              <w:rPr>
                <w:sz w:val="14"/>
              </w:rPr>
              <w:t>NO,NA</w:t>
            </w:r>
          </w:p>
        </w:tc>
      </w:tr>
      <w:tr w:rsidR="00D8302C" w:rsidRPr="005B54EE" w14:paraId="5A98CB6A" w14:textId="77777777" w:rsidTr="00D8302C">
        <w:trPr>
          <w:trHeight w:val="68"/>
          <w:jc w:val="center"/>
        </w:trPr>
        <w:tc>
          <w:tcPr>
            <w:tcW w:w="3397" w:type="dxa"/>
            <w:tcBorders>
              <w:top w:val="single" w:sz="4" w:space="0" w:color="auto"/>
              <w:left w:val="single" w:sz="4" w:space="0" w:color="auto"/>
              <w:bottom w:val="nil"/>
              <w:right w:val="single" w:sz="4" w:space="0" w:color="auto"/>
            </w:tcBorders>
            <w:shd w:val="clear" w:color="000000" w:fill="CCFFFF"/>
            <w:noWrap/>
            <w:vAlign w:val="center"/>
            <w:hideMark/>
          </w:tcPr>
          <w:p w14:paraId="58473E4A" w14:textId="0EF7647C" w:rsidR="00D8302C" w:rsidRPr="005B54EE" w:rsidRDefault="00D8302C" w:rsidP="00D8302C">
            <w:pPr>
              <w:jc w:val="left"/>
              <w:rPr>
                <w:rFonts w:ascii="Times New Roman" w:hAnsi="Times New Roman"/>
                <w:b/>
                <w:bCs/>
                <w:sz w:val="14"/>
                <w:szCs w:val="18"/>
              </w:rPr>
            </w:pPr>
            <w:r w:rsidRPr="005B54EE">
              <w:rPr>
                <w:b/>
                <w:sz w:val="14"/>
              </w:rPr>
              <w:t>Long-term storage of C in waste disposal sites</w:t>
            </w:r>
          </w:p>
        </w:tc>
        <w:tc>
          <w:tcPr>
            <w:tcW w:w="914" w:type="dxa"/>
            <w:tcBorders>
              <w:top w:val="nil"/>
              <w:left w:val="single" w:sz="4" w:space="0" w:color="auto"/>
              <w:bottom w:val="single" w:sz="4" w:space="0" w:color="auto"/>
              <w:right w:val="single" w:sz="4" w:space="0" w:color="auto"/>
            </w:tcBorders>
            <w:shd w:val="clear" w:color="000000" w:fill="CCFFFF"/>
            <w:noWrap/>
            <w:vAlign w:val="bottom"/>
            <w:hideMark/>
          </w:tcPr>
          <w:p w14:paraId="402D924C" w14:textId="1EF427AD" w:rsidR="00D8302C" w:rsidRPr="005B54EE" w:rsidRDefault="00D8302C" w:rsidP="00D8302C">
            <w:pPr>
              <w:jc w:val="right"/>
              <w:rPr>
                <w:rFonts w:ascii="Times New Roman" w:hAnsi="Times New Roman"/>
                <w:sz w:val="14"/>
                <w:szCs w:val="18"/>
              </w:rPr>
            </w:pPr>
            <w:r w:rsidRPr="005B54EE">
              <w:rPr>
                <w:sz w:val="14"/>
              </w:rPr>
              <w:t>NE</w:t>
            </w:r>
          </w:p>
        </w:tc>
        <w:tc>
          <w:tcPr>
            <w:tcW w:w="820" w:type="dxa"/>
            <w:tcBorders>
              <w:top w:val="nil"/>
              <w:left w:val="nil"/>
              <w:bottom w:val="single" w:sz="4" w:space="0" w:color="auto"/>
              <w:right w:val="single" w:sz="4" w:space="0" w:color="auto"/>
            </w:tcBorders>
            <w:shd w:val="clear" w:color="000000" w:fill="969696"/>
            <w:noWrap/>
            <w:vAlign w:val="bottom"/>
            <w:hideMark/>
          </w:tcPr>
          <w:p w14:paraId="2F52394A" w14:textId="5E785D21"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006C90E5" w14:textId="02E38430"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5FFF5FD4" w14:textId="200D4707"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30C4286" w14:textId="6BE53F28"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6860F34E" w14:textId="37EED5F2"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6A62F55D" w14:textId="6C49C3FC"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716BDE8D" w14:textId="7BE97AE1"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CCFFFF"/>
            <w:noWrap/>
            <w:vAlign w:val="bottom"/>
            <w:hideMark/>
          </w:tcPr>
          <w:p w14:paraId="5245CB65" w14:textId="16C7F621" w:rsidR="00D8302C" w:rsidRPr="005B54EE" w:rsidRDefault="00D8302C" w:rsidP="00D8302C">
            <w:pPr>
              <w:jc w:val="right"/>
              <w:rPr>
                <w:rFonts w:ascii="Times New Roman" w:hAnsi="Times New Roman"/>
                <w:sz w:val="14"/>
                <w:szCs w:val="18"/>
              </w:rPr>
            </w:pPr>
            <w:r w:rsidRPr="005B54EE">
              <w:rPr>
                <w:sz w:val="14"/>
              </w:rPr>
              <w:t>NE</w:t>
            </w:r>
          </w:p>
        </w:tc>
      </w:tr>
      <w:tr w:rsidR="00D8302C" w:rsidRPr="005B54EE" w14:paraId="6E996314" w14:textId="77777777" w:rsidTr="00D8302C">
        <w:trPr>
          <w:trHeight w:val="68"/>
          <w:jc w:val="center"/>
        </w:trPr>
        <w:tc>
          <w:tcPr>
            <w:tcW w:w="3397"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2C086AA" w14:textId="151D41F0" w:rsidR="00D8302C" w:rsidRPr="005B54EE" w:rsidRDefault="00D8302C" w:rsidP="00D8302C">
            <w:pPr>
              <w:jc w:val="left"/>
              <w:rPr>
                <w:rFonts w:ascii="Times New Roman" w:hAnsi="Times New Roman"/>
                <w:b/>
                <w:bCs/>
                <w:sz w:val="14"/>
                <w:szCs w:val="18"/>
              </w:rPr>
            </w:pPr>
            <w:r w:rsidRPr="005B54EE">
              <w:rPr>
                <w:b/>
                <w:sz w:val="14"/>
              </w:rPr>
              <w:t xml:space="preserve">Indirect </w:t>
            </w:r>
            <w:r w:rsidRPr="005B54EE">
              <w:t>N</w:t>
            </w:r>
            <w:r w:rsidRPr="005B54EE">
              <w:rPr>
                <w:vertAlign w:val="subscript"/>
              </w:rPr>
              <w:t>2</w:t>
            </w:r>
            <w:r w:rsidRPr="005B54EE">
              <w:t>O</w:t>
            </w:r>
          </w:p>
        </w:tc>
        <w:tc>
          <w:tcPr>
            <w:tcW w:w="914" w:type="dxa"/>
            <w:tcBorders>
              <w:top w:val="nil"/>
              <w:left w:val="nil"/>
              <w:bottom w:val="single" w:sz="4" w:space="0" w:color="auto"/>
              <w:right w:val="single" w:sz="4" w:space="0" w:color="auto"/>
            </w:tcBorders>
            <w:shd w:val="clear" w:color="000000" w:fill="969696"/>
            <w:noWrap/>
            <w:vAlign w:val="bottom"/>
            <w:hideMark/>
          </w:tcPr>
          <w:p w14:paraId="1EFAE37A" w14:textId="796B9D46"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19F5903F" w14:textId="56FC90B4"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CCFFFF"/>
            <w:noWrap/>
            <w:vAlign w:val="bottom"/>
            <w:hideMark/>
          </w:tcPr>
          <w:p w14:paraId="7CAB7AF4" w14:textId="16006EA6" w:rsidR="00D8302C" w:rsidRPr="005B54EE" w:rsidRDefault="00D8302C" w:rsidP="00D8302C">
            <w:pPr>
              <w:jc w:val="right"/>
              <w:rPr>
                <w:rFonts w:ascii="Times New Roman" w:hAnsi="Times New Roman"/>
                <w:sz w:val="14"/>
                <w:szCs w:val="18"/>
              </w:rPr>
            </w:pPr>
            <w:r w:rsidRPr="005B54EE">
              <w:rPr>
                <w:sz w:val="14"/>
              </w:rPr>
              <w:t>NO,NE</w:t>
            </w:r>
          </w:p>
        </w:tc>
        <w:tc>
          <w:tcPr>
            <w:tcW w:w="820" w:type="dxa"/>
            <w:tcBorders>
              <w:top w:val="nil"/>
              <w:left w:val="nil"/>
              <w:bottom w:val="single" w:sz="4" w:space="0" w:color="auto"/>
              <w:right w:val="single" w:sz="4" w:space="0" w:color="auto"/>
            </w:tcBorders>
            <w:shd w:val="clear" w:color="000000" w:fill="969696"/>
            <w:noWrap/>
            <w:vAlign w:val="bottom"/>
            <w:hideMark/>
          </w:tcPr>
          <w:p w14:paraId="5998DA13" w14:textId="37FB4F20"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57F2F96C" w14:textId="7F0B2EFE"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1F577B01" w14:textId="627E76DD"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7A1695E0" w14:textId="0BF7448A"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4F809B46" w14:textId="197B8DEA"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969696"/>
            <w:noWrap/>
            <w:vAlign w:val="bottom"/>
            <w:hideMark/>
          </w:tcPr>
          <w:p w14:paraId="13D1B1A9" w14:textId="0169B02B" w:rsidR="00D8302C" w:rsidRPr="005B54EE" w:rsidRDefault="00D8302C" w:rsidP="00D8302C">
            <w:pPr>
              <w:jc w:val="right"/>
              <w:rPr>
                <w:rFonts w:ascii="Times New Roman" w:hAnsi="Times New Roman"/>
                <w:sz w:val="14"/>
                <w:szCs w:val="18"/>
              </w:rPr>
            </w:pPr>
            <w:r w:rsidRPr="005B54EE">
              <w:rPr>
                <w:sz w:val="14"/>
              </w:rPr>
              <w:t> </w:t>
            </w:r>
          </w:p>
        </w:tc>
      </w:tr>
      <w:tr w:rsidR="00D8302C" w:rsidRPr="005B54EE" w14:paraId="389CA7D2" w14:textId="77777777" w:rsidTr="00D8302C">
        <w:trPr>
          <w:trHeight w:val="68"/>
          <w:jc w:val="center"/>
        </w:trPr>
        <w:tc>
          <w:tcPr>
            <w:tcW w:w="3397" w:type="dxa"/>
            <w:tcBorders>
              <w:top w:val="nil"/>
              <w:left w:val="single" w:sz="4" w:space="0" w:color="auto"/>
              <w:bottom w:val="single" w:sz="4" w:space="0" w:color="auto"/>
              <w:right w:val="single" w:sz="4" w:space="0" w:color="auto"/>
            </w:tcBorders>
            <w:shd w:val="clear" w:color="000000" w:fill="CCFFFF"/>
            <w:noWrap/>
            <w:vAlign w:val="center"/>
            <w:hideMark/>
          </w:tcPr>
          <w:p w14:paraId="0D7AE96F" w14:textId="747A10CB" w:rsidR="00D8302C" w:rsidRPr="005B54EE" w:rsidRDefault="00D8302C" w:rsidP="00D8302C">
            <w:pPr>
              <w:jc w:val="left"/>
              <w:rPr>
                <w:rFonts w:ascii="Times New Roman" w:hAnsi="Times New Roman"/>
                <w:b/>
                <w:bCs/>
                <w:sz w:val="14"/>
                <w:szCs w:val="18"/>
              </w:rPr>
            </w:pPr>
            <w:r w:rsidRPr="005B54EE">
              <w:rPr>
                <w:b/>
                <w:sz w:val="14"/>
              </w:rPr>
              <w:t xml:space="preserve">Indirect </w:t>
            </w:r>
            <w:r w:rsidRPr="005B54EE">
              <w:t>CO</w:t>
            </w:r>
            <w:r w:rsidRPr="005B54EE">
              <w:rPr>
                <w:vertAlign w:val="subscript"/>
              </w:rPr>
              <w:t>2</w:t>
            </w:r>
            <w:r w:rsidRPr="005B54EE">
              <w:rPr>
                <w:b/>
                <w:sz w:val="14"/>
                <w:vertAlign w:val="subscript"/>
              </w:rPr>
              <w:t xml:space="preserve"> </w:t>
            </w:r>
            <w:r w:rsidRPr="005B54EE">
              <w:rPr>
                <w:b/>
                <w:sz w:val="14"/>
                <w:vertAlign w:val="superscript"/>
              </w:rPr>
              <w:t>(3)</w:t>
            </w:r>
          </w:p>
        </w:tc>
        <w:tc>
          <w:tcPr>
            <w:tcW w:w="914" w:type="dxa"/>
            <w:tcBorders>
              <w:top w:val="nil"/>
              <w:left w:val="nil"/>
              <w:bottom w:val="single" w:sz="4" w:space="0" w:color="auto"/>
              <w:right w:val="single" w:sz="4" w:space="0" w:color="auto"/>
            </w:tcBorders>
            <w:shd w:val="clear" w:color="000000" w:fill="CCFFFF"/>
            <w:noWrap/>
            <w:vAlign w:val="bottom"/>
            <w:hideMark/>
          </w:tcPr>
          <w:p w14:paraId="3F5A01D8" w14:textId="48F84230" w:rsidR="00D8302C" w:rsidRPr="005B54EE" w:rsidRDefault="00D8302C" w:rsidP="00D8302C">
            <w:pPr>
              <w:jc w:val="right"/>
              <w:rPr>
                <w:rFonts w:ascii="Times New Roman" w:hAnsi="Times New Roman"/>
                <w:sz w:val="14"/>
                <w:szCs w:val="18"/>
              </w:rPr>
            </w:pPr>
            <w:r w:rsidRPr="005B54EE">
              <w:rPr>
                <w:sz w:val="14"/>
              </w:rPr>
              <w:t>NO,IE,NA</w:t>
            </w:r>
          </w:p>
        </w:tc>
        <w:tc>
          <w:tcPr>
            <w:tcW w:w="820" w:type="dxa"/>
            <w:tcBorders>
              <w:top w:val="nil"/>
              <w:left w:val="nil"/>
              <w:bottom w:val="single" w:sz="4" w:space="0" w:color="auto"/>
              <w:right w:val="single" w:sz="4" w:space="0" w:color="auto"/>
            </w:tcBorders>
            <w:shd w:val="clear" w:color="000000" w:fill="969696"/>
            <w:noWrap/>
            <w:vAlign w:val="bottom"/>
            <w:hideMark/>
          </w:tcPr>
          <w:p w14:paraId="7B058FFC" w14:textId="3AB8DCB6"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1F71B28E" w14:textId="23E1AADB" w:rsidR="00D8302C" w:rsidRPr="005B54EE" w:rsidRDefault="00D8302C" w:rsidP="00D8302C">
            <w:pPr>
              <w:jc w:val="right"/>
              <w:rPr>
                <w:rFonts w:ascii="Times New Roman" w:hAnsi="Times New Roman"/>
                <w:sz w:val="14"/>
                <w:szCs w:val="18"/>
              </w:rPr>
            </w:pPr>
            <w:r w:rsidRPr="005B54EE">
              <w:rPr>
                <w:sz w:val="14"/>
              </w:rPr>
              <w:t> </w:t>
            </w:r>
          </w:p>
        </w:tc>
        <w:tc>
          <w:tcPr>
            <w:tcW w:w="820" w:type="dxa"/>
            <w:tcBorders>
              <w:top w:val="nil"/>
              <w:left w:val="nil"/>
              <w:bottom w:val="single" w:sz="4" w:space="0" w:color="auto"/>
              <w:right w:val="single" w:sz="4" w:space="0" w:color="auto"/>
            </w:tcBorders>
            <w:shd w:val="clear" w:color="000000" w:fill="969696"/>
            <w:noWrap/>
            <w:vAlign w:val="bottom"/>
            <w:hideMark/>
          </w:tcPr>
          <w:p w14:paraId="67DBBCBD" w14:textId="5A36A83B"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73E47F9D" w14:textId="34A5DC45" w:rsidR="00D8302C" w:rsidRPr="005B54EE" w:rsidRDefault="00D8302C" w:rsidP="00D8302C">
            <w:pPr>
              <w:jc w:val="right"/>
              <w:rPr>
                <w:rFonts w:ascii="Times New Roman" w:hAnsi="Times New Roman"/>
                <w:sz w:val="14"/>
                <w:szCs w:val="18"/>
              </w:rPr>
            </w:pPr>
            <w:r w:rsidRPr="005B54EE">
              <w:rPr>
                <w:sz w:val="14"/>
              </w:rPr>
              <w:t> </w:t>
            </w:r>
          </w:p>
        </w:tc>
        <w:tc>
          <w:tcPr>
            <w:tcW w:w="723" w:type="dxa"/>
            <w:tcBorders>
              <w:top w:val="nil"/>
              <w:left w:val="nil"/>
              <w:bottom w:val="single" w:sz="4" w:space="0" w:color="auto"/>
              <w:right w:val="single" w:sz="4" w:space="0" w:color="auto"/>
            </w:tcBorders>
            <w:shd w:val="clear" w:color="000000" w:fill="969696"/>
            <w:noWrap/>
            <w:vAlign w:val="bottom"/>
            <w:hideMark/>
          </w:tcPr>
          <w:p w14:paraId="2000ABE3" w14:textId="50D7C829" w:rsidR="00D8302C" w:rsidRPr="005B54EE" w:rsidRDefault="00D8302C" w:rsidP="00D8302C">
            <w:pPr>
              <w:jc w:val="right"/>
              <w:rPr>
                <w:rFonts w:ascii="Times New Roman" w:hAnsi="Times New Roman"/>
                <w:sz w:val="14"/>
                <w:szCs w:val="18"/>
              </w:rPr>
            </w:pPr>
            <w:r w:rsidRPr="005B54EE">
              <w:rPr>
                <w:sz w:val="14"/>
              </w:rPr>
              <w:t> </w:t>
            </w:r>
          </w:p>
        </w:tc>
        <w:tc>
          <w:tcPr>
            <w:tcW w:w="1276" w:type="dxa"/>
            <w:tcBorders>
              <w:top w:val="nil"/>
              <w:left w:val="nil"/>
              <w:bottom w:val="single" w:sz="4" w:space="0" w:color="auto"/>
              <w:right w:val="single" w:sz="4" w:space="0" w:color="auto"/>
            </w:tcBorders>
            <w:shd w:val="clear" w:color="000000" w:fill="969696"/>
            <w:noWrap/>
            <w:vAlign w:val="bottom"/>
            <w:hideMark/>
          </w:tcPr>
          <w:p w14:paraId="54CEF510" w14:textId="43AC0266" w:rsidR="00D8302C" w:rsidRPr="005B54EE" w:rsidRDefault="00D8302C" w:rsidP="00D8302C">
            <w:pPr>
              <w:jc w:val="right"/>
              <w:rPr>
                <w:rFonts w:ascii="Times New Roman" w:hAnsi="Times New Roman"/>
                <w:sz w:val="14"/>
                <w:szCs w:val="18"/>
              </w:rPr>
            </w:pPr>
            <w:r w:rsidRPr="005B54EE">
              <w:rPr>
                <w:sz w:val="14"/>
              </w:rPr>
              <w:t> </w:t>
            </w:r>
          </w:p>
        </w:tc>
        <w:tc>
          <w:tcPr>
            <w:tcW w:w="580" w:type="dxa"/>
            <w:tcBorders>
              <w:top w:val="nil"/>
              <w:left w:val="nil"/>
              <w:bottom w:val="single" w:sz="4" w:space="0" w:color="auto"/>
              <w:right w:val="single" w:sz="4" w:space="0" w:color="auto"/>
            </w:tcBorders>
            <w:shd w:val="clear" w:color="000000" w:fill="969696"/>
            <w:noWrap/>
            <w:vAlign w:val="bottom"/>
            <w:hideMark/>
          </w:tcPr>
          <w:p w14:paraId="229C393C" w14:textId="3F3497BE" w:rsidR="00D8302C" w:rsidRPr="005B54EE" w:rsidRDefault="00D8302C" w:rsidP="00D8302C">
            <w:pPr>
              <w:jc w:val="right"/>
              <w:rPr>
                <w:rFonts w:ascii="Times New Roman" w:hAnsi="Times New Roman"/>
                <w:sz w:val="14"/>
                <w:szCs w:val="18"/>
              </w:rPr>
            </w:pPr>
            <w:r w:rsidRPr="005B54EE">
              <w:rPr>
                <w:sz w:val="14"/>
              </w:rPr>
              <w:t> </w:t>
            </w:r>
          </w:p>
        </w:tc>
        <w:tc>
          <w:tcPr>
            <w:tcW w:w="976" w:type="dxa"/>
            <w:tcBorders>
              <w:top w:val="nil"/>
              <w:left w:val="nil"/>
              <w:bottom w:val="single" w:sz="4" w:space="0" w:color="auto"/>
              <w:right w:val="single" w:sz="4" w:space="0" w:color="auto"/>
            </w:tcBorders>
            <w:shd w:val="clear" w:color="000000" w:fill="969696"/>
            <w:noWrap/>
            <w:vAlign w:val="bottom"/>
            <w:hideMark/>
          </w:tcPr>
          <w:p w14:paraId="5E4C8524" w14:textId="36030167" w:rsidR="00D8302C" w:rsidRPr="005B54EE" w:rsidRDefault="00D8302C" w:rsidP="00D8302C">
            <w:pPr>
              <w:jc w:val="right"/>
              <w:rPr>
                <w:rFonts w:ascii="Times New Roman" w:hAnsi="Times New Roman"/>
                <w:sz w:val="14"/>
                <w:szCs w:val="18"/>
              </w:rPr>
            </w:pPr>
            <w:r w:rsidRPr="005B54EE">
              <w:rPr>
                <w:sz w:val="14"/>
              </w:rPr>
              <w:t> </w:t>
            </w:r>
          </w:p>
        </w:tc>
      </w:tr>
      <w:tr w:rsidR="00D8302C" w:rsidRPr="005B54EE" w14:paraId="007493E0" w14:textId="77777777" w:rsidTr="00D8302C">
        <w:trPr>
          <w:trHeight w:val="68"/>
          <w:jc w:val="center"/>
        </w:trPr>
        <w:tc>
          <w:tcPr>
            <w:tcW w:w="9493"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6CDEF2C9" w14:textId="6EB33D42" w:rsidR="00D8302C" w:rsidRPr="005B54EE" w:rsidRDefault="00D8302C" w:rsidP="00D8302C">
            <w:pPr>
              <w:jc w:val="right"/>
              <w:rPr>
                <w:rFonts w:ascii="Times New Roman" w:hAnsi="Times New Roman"/>
                <w:b/>
                <w:bCs/>
                <w:sz w:val="14"/>
                <w:szCs w:val="18"/>
              </w:rPr>
            </w:pPr>
            <w:r w:rsidRPr="005B54EE">
              <w:rPr>
                <w:rFonts w:ascii="Times New Roman" w:hAnsi="Times New Roman"/>
                <w:b/>
                <w:sz w:val="14"/>
              </w:rPr>
              <w:t xml:space="preserve">Total </w:t>
            </w:r>
            <w:r w:rsidRPr="005B54EE">
              <w:t>CO</w:t>
            </w:r>
            <w:r w:rsidRPr="005B54EE">
              <w:rPr>
                <w:vertAlign w:val="subscript"/>
              </w:rPr>
              <w:t>2</w:t>
            </w:r>
            <w:r w:rsidRPr="005B54EE">
              <w:rPr>
                <w:rFonts w:ascii="Times New Roman" w:hAnsi="Times New Roman"/>
                <w:b/>
                <w:sz w:val="14"/>
              </w:rPr>
              <w:t xml:space="preserve"> equivalent emissions without land use, land-use change and forestry</w:t>
            </w:r>
          </w:p>
        </w:tc>
        <w:tc>
          <w:tcPr>
            <w:tcW w:w="1556" w:type="dxa"/>
            <w:gridSpan w:val="2"/>
            <w:tcBorders>
              <w:top w:val="nil"/>
              <w:left w:val="nil"/>
              <w:bottom w:val="single" w:sz="4" w:space="0" w:color="auto"/>
              <w:right w:val="single" w:sz="4" w:space="0" w:color="auto"/>
            </w:tcBorders>
            <w:shd w:val="clear" w:color="000000" w:fill="CCFFFF"/>
            <w:noWrap/>
            <w:vAlign w:val="bottom"/>
            <w:hideMark/>
          </w:tcPr>
          <w:p w14:paraId="4014FE82" w14:textId="37E98357" w:rsidR="00D8302C" w:rsidRPr="005B54EE" w:rsidRDefault="00D8302C" w:rsidP="00D8302C">
            <w:pPr>
              <w:jc w:val="right"/>
              <w:rPr>
                <w:rFonts w:ascii="Times New Roman" w:hAnsi="Times New Roman"/>
                <w:sz w:val="14"/>
                <w:szCs w:val="18"/>
              </w:rPr>
            </w:pPr>
            <w:r w:rsidRPr="005B54EE">
              <w:rPr>
                <w:sz w:val="14"/>
              </w:rPr>
              <w:t>392962,57</w:t>
            </w:r>
          </w:p>
        </w:tc>
      </w:tr>
      <w:tr w:rsidR="00D8302C" w:rsidRPr="005B54EE" w14:paraId="4FFE82F8" w14:textId="77777777" w:rsidTr="00D8302C">
        <w:trPr>
          <w:trHeight w:val="68"/>
          <w:jc w:val="center"/>
        </w:trPr>
        <w:tc>
          <w:tcPr>
            <w:tcW w:w="9493"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1359B944" w14:textId="192E98FA" w:rsidR="00D8302C" w:rsidRPr="005B54EE" w:rsidRDefault="00D8302C" w:rsidP="00D8302C">
            <w:pPr>
              <w:jc w:val="right"/>
              <w:rPr>
                <w:rFonts w:ascii="Times New Roman" w:hAnsi="Times New Roman"/>
                <w:b/>
                <w:bCs/>
                <w:sz w:val="14"/>
                <w:szCs w:val="18"/>
              </w:rPr>
            </w:pPr>
            <w:r w:rsidRPr="005B54EE">
              <w:rPr>
                <w:rFonts w:ascii="Times New Roman" w:hAnsi="Times New Roman"/>
                <w:b/>
                <w:sz w:val="14"/>
              </w:rPr>
              <w:t xml:space="preserve">Total </w:t>
            </w:r>
            <w:r w:rsidRPr="005B54EE">
              <w:t>CO</w:t>
            </w:r>
            <w:r w:rsidRPr="005B54EE">
              <w:rPr>
                <w:vertAlign w:val="subscript"/>
              </w:rPr>
              <w:t>2</w:t>
            </w:r>
            <w:r w:rsidRPr="005B54EE">
              <w:rPr>
                <w:rFonts w:ascii="Times New Roman" w:hAnsi="Times New Roman"/>
                <w:b/>
                <w:sz w:val="14"/>
              </w:rPr>
              <w:t xml:space="preserve"> equivalent emissions with land use, land-use change and forestry</w:t>
            </w:r>
          </w:p>
        </w:tc>
        <w:tc>
          <w:tcPr>
            <w:tcW w:w="1556" w:type="dxa"/>
            <w:gridSpan w:val="2"/>
            <w:tcBorders>
              <w:top w:val="nil"/>
              <w:left w:val="nil"/>
              <w:bottom w:val="single" w:sz="4" w:space="0" w:color="auto"/>
              <w:right w:val="single" w:sz="4" w:space="0" w:color="auto"/>
            </w:tcBorders>
            <w:shd w:val="clear" w:color="000000" w:fill="CCFFFF"/>
            <w:noWrap/>
            <w:vAlign w:val="bottom"/>
            <w:hideMark/>
          </w:tcPr>
          <w:p w14:paraId="742524B7" w14:textId="54041C0F" w:rsidR="00D8302C" w:rsidRPr="005B54EE" w:rsidRDefault="00D8302C" w:rsidP="00D8302C">
            <w:pPr>
              <w:jc w:val="right"/>
              <w:rPr>
                <w:rFonts w:ascii="Times New Roman" w:hAnsi="Times New Roman"/>
                <w:sz w:val="14"/>
                <w:szCs w:val="18"/>
              </w:rPr>
            </w:pPr>
            <w:r w:rsidRPr="005B54EE">
              <w:rPr>
                <w:sz w:val="14"/>
              </w:rPr>
              <w:t>378957,08</w:t>
            </w:r>
          </w:p>
        </w:tc>
      </w:tr>
      <w:tr w:rsidR="00D8302C" w:rsidRPr="005B54EE" w14:paraId="5AA63A4C" w14:textId="77777777" w:rsidTr="00D8302C">
        <w:trPr>
          <w:trHeight w:val="68"/>
          <w:jc w:val="center"/>
        </w:trPr>
        <w:tc>
          <w:tcPr>
            <w:tcW w:w="9493" w:type="dxa"/>
            <w:gridSpan w:val="8"/>
            <w:tcBorders>
              <w:top w:val="single" w:sz="4" w:space="0" w:color="auto"/>
              <w:left w:val="single" w:sz="4" w:space="0" w:color="auto"/>
              <w:bottom w:val="single" w:sz="4" w:space="0" w:color="auto"/>
              <w:right w:val="single" w:sz="4" w:space="0" w:color="auto"/>
            </w:tcBorders>
            <w:shd w:val="clear" w:color="000000" w:fill="CCFFFF"/>
            <w:vAlign w:val="center"/>
            <w:hideMark/>
          </w:tcPr>
          <w:p w14:paraId="71F33756" w14:textId="13D8DB5D" w:rsidR="00D8302C" w:rsidRPr="005B54EE" w:rsidRDefault="00D8302C" w:rsidP="00D8302C">
            <w:pPr>
              <w:jc w:val="right"/>
              <w:rPr>
                <w:rFonts w:ascii="Times New Roman" w:hAnsi="Times New Roman"/>
                <w:b/>
                <w:bCs/>
                <w:sz w:val="14"/>
                <w:szCs w:val="18"/>
              </w:rPr>
            </w:pPr>
            <w:r w:rsidRPr="005B54EE">
              <w:rPr>
                <w:rFonts w:ascii="Times New Roman" w:hAnsi="Times New Roman"/>
                <w:b/>
                <w:sz w:val="14"/>
              </w:rPr>
              <w:t xml:space="preserve">Total </w:t>
            </w:r>
            <w:r w:rsidRPr="005B54EE">
              <w:t>CO</w:t>
            </w:r>
            <w:r w:rsidRPr="005B54EE">
              <w:rPr>
                <w:vertAlign w:val="subscript"/>
              </w:rPr>
              <w:t>2</w:t>
            </w:r>
            <w:r w:rsidRPr="005B54EE">
              <w:rPr>
                <w:rFonts w:ascii="Times New Roman" w:hAnsi="Times New Roman"/>
                <w:b/>
                <w:sz w:val="14"/>
              </w:rPr>
              <w:t xml:space="preserve"> equivalent emissions, including indirect </w:t>
            </w:r>
            <w:r w:rsidRPr="005B54EE">
              <w:t>CO</w:t>
            </w:r>
            <w:r w:rsidRPr="005B54EE">
              <w:rPr>
                <w:vertAlign w:val="subscript"/>
              </w:rPr>
              <w:t>2</w:t>
            </w:r>
            <w:r w:rsidRPr="005B54EE">
              <w:rPr>
                <w:rFonts w:ascii="Times New Roman" w:hAnsi="Times New Roman"/>
                <w:b/>
                <w:sz w:val="14"/>
              </w:rPr>
              <w:t>,  without land use, land-use change and forestry</w:t>
            </w:r>
          </w:p>
        </w:tc>
        <w:tc>
          <w:tcPr>
            <w:tcW w:w="1556" w:type="dxa"/>
            <w:gridSpan w:val="2"/>
            <w:tcBorders>
              <w:top w:val="nil"/>
              <w:left w:val="nil"/>
              <w:bottom w:val="single" w:sz="4" w:space="0" w:color="auto"/>
              <w:right w:val="single" w:sz="4" w:space="0" w:color="auto"/>
            </w:tcBorders>
            <w:shd w:val="clear" w:color="000000" w:fill="CCFFFF"/>
            <w:noWrap/>
            <w:vAlign w:val="bottom"/>
            <w:hideMark/>
          </w:tcPr>
          <w:p w14:paraId="1A9ED6E1" w14:textId="13D37B2B" w:rsidR="00D8302C" w:rsidRPr="005B54EE" w:rsidRDefault="00D8302C" w:rsidP="00D8302C">
            <w:pPr>
              <w:jc w:val="right"/>
              <w:rPr>
                <w:rFonts w:ascii="Times New Roman" w:hAnsi="Times New Roman"/>
                <w:sz w:val="14"/>
                <w:szCs w:val="18"/>
              </w:rPr>
            </w:pPr>
            <w:r w:rsidRPr="005B54EE">
              <w:rPr>
                <w:sz w:val="14"/>
              </w:rPr>
              <w:t>NA</w:t>
            </w:r>
          </w:p>
        </w:tc>
      </w:tr>
      <w:tr w:rsidR="00D8302C" w:rsidRPr="005B54EE" w14:paraId="67EB6FE7" w14:textId="77777777" w:rsidTr="00D8302C">
        <w:trPr>
          <w:trHeight w:val="68"/>
          <w:jc w:val="center"/>
        </w:trPr>
        <w:tc>
          <w:tcPr>
            <w:tcW w:w="9493"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3617572B" w14:textId="32C84991" w:rsidR="00D8302C" w:rsidRPr="005B54EE" w:rsidRDefault="00D8302C" w:rsidP="00D8302C">
            <w:pPr>
              <w:jc w:val="right"/>
              <w:rPr>
                <w:rFonts w:ascii="Times New Roman" w:hAnsi="Times New Roman"/>
                <w:b/>
                <w:bCs/>
                <w:sz w:val="14"/>
                <w:szCs w:val="18"/>
              </w:rPr>
            </w:pPr>
            <w:r w:rsidRPr="005B54EE">
              <w:rPr>
                <w:rFonts w:ascii="Times New Roman" w:hAnsi="Times New Roman"/>
                <w:b/>
                <w:sz w:val="14"/>
              </w:rPr>
              <w:t xml:space="preserve">Total </w:t>
            </w:r>
            <w:r w:rsidRPr="005B54EE">
              <w:t>CO</w:t>
            </w:r>
            <w:r w:rsidRPr="005B54EE">
              <w:rPr>
                <w:vertAlign w:val="subscript"/>
              </w:rPr>
              <w:t>2</w:t>
            </w:r>
            <w:r w:rsidRPr="005B54EE">
              <w:rPr>
                <w:rFonts w:ascii="Times New Roman" w:hAnsi="Times New Roman"/>
                <w:b/>
                <w:sz w:val="14"/>
              </w:rPr>
              <w:t xml:space="preserve"> equivalent emissions, including indirect </w:t>
            </w:r>
            <w:r w:rsidRPr="005B54EE">
              <w:t>CO</w:t>
            </w:r>
            <w:r w:rsidRPr="005B54EE">
              <w:rPr>
                <w:vertAlign w:val="subscript"/>
              </w:rPr>
              <w:t>2</w:t>
            </w:r>
            <w:r w:rsidRPr="005B54EE">
              <w:rPr>
                <w:rFonts w:ascii="Times New Roman" w:hAnsi="Times New Roman"/>
                <w:b/>
                <w:sz w:val="14"/>
              </w:rPr>
              <w:t>,  with land use, land-use change and forestry</w:t>
            </w:r>
          </w:p>
        </w:tc>
        <w:tc>
          <w:tcPr>
            <w:tcW w:w="1556" w:type="dxa"/>
            <w:gridSpan w:val="2"/>
            <w:tcBorders>
              <w:top w:val="nil"/>
              <w:left w:val="nil"/>
              <w:bottom w:val="single" w:sz="4" w:space="0" w:color="auto"/>
              <w:right w:val="single" w:sz="4" w:space="0" w:color="auto"/>
            </w:tcBorders>
            <w:shd w:val="clear" w:color="000000" w:fill="CCFFFF"/>
            <w:noWrap/>
            <w:vAlign w:val="bottom"/>
            <w:hideMark/>
          </w:tcPr>
          <w:p w14:paraId="3877D321" w14:textId="3EE505B2" w:rsidR="00D8302C" w:rsidRPr="005B54EE" w:rsidRDefault="00D8302C" w:rsidP="00D8302C">
            <w:pPr>
              <w:jc w:val="right"/>
              <w:rPr>
                <w:rFonts w:ascii="Times New Roman" w:hAnsi="Times New Roman"/>
                <w:sz w:val="14"/>
                <w:szCs w:val="18"/>
              </w:rPr>
            </w:pPr>
            <w:r w:rsidRPr="005B54EE">
              <w:rPr>
                <w:sz w:val="14"/>
              </w:rPr>
              <w:t>NA</w:t>
            </w:r>
          </w:p>
        </w:tc>
      </w:tr>
      <w:tr w:rsidR="00D8302C" w:rsidRPr="005B54EE" w14:paraId="44EA1797" w14:textId="77777777" w:rsidTr="00D8302C">
        <w:trPr>
          <w:trHeight w:val="68"/>
          <w:jc w:val="center"/>
        </w:trPr>
        <w:tc>
          <w:tcPr>
            <w:tcW w:w="11049" w:type="dxa"/>
            <w:gridSpan w:val="10"/>
            <w:tcBorders>
              <w:top w:val="nil"/>
              <w:left w:val="nil"/>
              <w:bottom w:val="nil"/>
              <w:right w:val="nil"/>
            </w:tcBorders>
            <w:shd w:val="clear" w:color="000000" w:fill="FFFFFF"/>
            <w:hideMark/>
          </w:tcPr>
          <w:p w14:paraId="4E30E5BB" w14:textId="49E07061" w:rsidR="00D8302C" w:rsidRPr="005B54EE" w:rsidRDefault="00D8302C" w:rsidP="00891B49">
            <w:pPr>
              <w:jc w:val="left"/>
              <w:rPr>
                <w:rFonts w:ascii="Times New Roman" w:hAnsi="Times New Roman"/>
                <w:sz w:val="14"/>
                <w:szCs w:val="18"/>
              </w:rPr>
            </w:pPr>
            <w:r w:rsidRPr="005B54EE">
              <w:rPr>
                <w:rFonts w:ascii="Times New Roman" w:hAnsi="Times New Roman"/>
                <w:sz w:val="14"/>
                <w:vertAlign w:val="superscript"/>
              </w:rPr>
              <w:t xml:space="preserve">(1)     </w:t>
            </w:r>
            <w:r w:rsidRPr="005B54EE">
              <w:rPr>
                <w:rFonts w:ascii="Times New Roman" w:hAnsi="Times New Roman"/>
                <w:sz w:val="14"/>
              </w:rPr>
              <w:t>For carbon dioxide (</w:t>
            </w:r>
            <w:r w:rsidRPr="005B54EE">
              <w:t>CO</w:t>
            </w:r>
            <w:r w:rsidRPr="005B54EE">
              <w:rPr>
                <w:vertAlign w:val="subscript"/>
              </w:rPr>
              <w:t>2</w:t>
            </w:r>
            <w:r w:rsidRPr="005B54EE">
              <w:rPr>
                <w:rFonts w:ascii="Times New Roman" w:hAnsi="Times New Roman"/>
                <w:sz w:val="14"/>
              </w:rPr>
              <w:t xml:space="preserve">) from land use, land-use change and forestry the net emissions/removals are to be reported.  For the purposes of reporting, the signs for removals are always negative (-) and for emissions positive (+). </w:t>
            </w:r>
          </w:p>
        </w:tc>
      </w:tr>
      <w:tr w:rsidR="00D8302C" w:rsidRPr="005B54EE" w14:paraId="12F7541E" w14:textId="77777777" w:rsidTr="00D8302C">
        <w:trPr>
          <w:trHeight w:val="68"/>
          <w:jc w:val="center"/>
        </w:trPr>
        <w:tc>
          <w:tcPr>
            <w:tcW w:w="3397" w:type="dxa"/>
            <w:tcBorders>
              <w:top w:val="nil"/>
              <w:left w:val="nil"/>
              <w:bottom w:val="nil"/>
              <w:right w:val="nil"/>
            </w:tcBorders>
            <w:shd w:val="clear" w:color="000000" w:fill="FFFFFF"/>
            <w:noWrap/>
            <w:hideMark/>
          </w:tcPr>
          <w:p w14:paraId="6397E1D5"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vertAlign w:val="superscript"/>
              </w:rPr>
              <w:t xml:space="preserve">(2)     </w:t>
            </w:r>
            <w:r w:rsidRPr="005B54EE">
              <w:rPr>
                <w:rFonts w:ascii="Times New Roman" w:hAnsi="Times New Roman"/>
                <w:sz w:val="14"/>
              </w:rPr>
              <w:t>See footnote 7 to table Summary 1.A.</w:t>
            </w:r>
          </w:p>
        </w:tc>
        <w:tc>
          <w:tcPr>
            <w:tcW w:w="914" w:type="dxa"/>
            <w:tcBorders>
              <w:top w:val="nil"/>
              <w:left w:val="nil"/>
              <w:bottom w:val="nil"/>
              <w:right w:val="nil"/>
            </w:tcBorders>
            <w:shd w:val="clear" w:color="000000" w:fill="FFFFFF"/>
            <w:noWrap/>
            <w:hideMark/>
          </w:tcPr>
          <w:p w14:paraId="54BF8A62"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820" w:type="dxa"/>
            <w:tcBorders>
              <w:top w:val="nil"/>
              <w:left w:val="nil"/>
              <w:bottom w:val="nil"/>
              <w:right w:val="nil"/>
            </w:tcBorders>
            <w:shd w:val="clear" w:color="000000" w:fill="FFFFFF"/>
            <w:noWrap/>
            <w:hideMark/>
          </w:tcPr>
          <w:p w14:paraId="532CC1EB"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820" w:type="dxa"/>
            <w:tcBorders>
              <w:top w:val="nil"/>
              <w:left w:val="nil"/>
              <w:bottom w:val="nil"/>
              <w:right w:val="nil"/>
            </w:tcBorders>
            <w:shd w:val="clear" w:color="000000" w:fill="FFFFFF"/>
            <w:noWrap/>
            <w:hideMark/>
          </w:tcPr>
          <w:p w14:paraId="771838EC"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820" w:type="dxa"/>
            <w:tcBorders>
              <w:top w:val="nil"/>
              <w:left w:val="nil"/>
              <w:bottom w:val="nil"/>
              <w:right w:val="nil"/>
            </w:tcBorders>
            <w:shd w:val="clear" w:color="000000" w:fill="FFFFFF"/>
            <w:noWrap/>
            <w:hideMark/>
          </w:tcPr>
          <w:p w14:paraId="774CACCB"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723" w:type="dxa"/>
            <w:tcBorders>
              <w:top w:val="nil"/>
              <w:left w:val="nil"/>
              <w:bottom w:val="nil"/>
              <w:right w:val="nil"/>
            </w:tcBorders>
            <w:shd w:val="clear" w:color="000000" w:fill="FFFFFF"/>
            <w:noWrap/>
            <w:hideMark/>
          </w:tcPr>
          <w:p w14:paraId="538DD9B6"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723" w:type="dxa"/>
            <w:tcBorders>
              <w:top w:val="nil"/>
              <w:left w:val="nil"/>
              <w:bottom w:val="nil"/>
              <w:right w:val="nil"/>
            </w:tcBorders>
            <w:shd w:val="clear" w:color="000000" w:fill="FFFFFF"/>
            <w:noWrap/>
            <w:hideMark/>
          </w:tcPr>
          <w:p w14:paraId="03E5FF9A"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1276" w:type="dxa"/>
            <w:tcBorders>
              <w:top w:val="nil"/>
              <w:left w:val="nil"/>
              <w:bottom w:val="nil"/>
              <w:right w:val="nil"/>
            </w:tcBorders>
            <w:shd w:val="clear" w:color="000000" w:fill="FFFFFF"/>
            <w:noWrap/>
            <w:hideMark/>
          </w:tcPr>
          <w:p w14:paraId="298B5A50"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580" w:type="dxa"/>
            <w:tcBorders>
              <w:top w:val="nil"/>
              <w:left w:val="nil"/>
              <w:bottom w:val="nil"/>
              <w:right w:val="nil"/>
            </w:tcBorders>
            <w:shd w:val="clear" w:color="000000" w:fill="FFFFFF"/>
            <w:noWrap/>
            <w:hideMark/>
          </w:tcPr>
          <w:p w14:paraId="62147EB6"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c>
          <w:tcPr>
            <w:tcW w:w="976" w:type="dxa"/>
            <w:tcBorders>
              <w:top w:val="nil"/>
              <w:left w:val="nil"/>
              <w:bottom w:val="nil"/>
              <w:right w:val="nil"/>
            </w:tcBorders>
            <w:shd w:val="clear" w:color="000000" w:fill="FFFFFF"/>
            <w:noWrap/>
            <w:hideMark/>
          </w:tcPr>
          <w:p w14:paraId="474DE92E" w14:textId="77777777" w:rsidR="00D8302C" w:rsidRPr="005B54EE" w:rsidRDefault="00D8302C" w:rsidP="00891B49">
            <w:pPr>
              <w:jc w:val="left"/>
              <w:rPr>
                <w:rFonts w:ascii="Times New Roman" w:hAnsi="Times New Roman"/>
                <w:sz w:val="14"/>
                <w:szCs w:val="18"/>
              </w:rPr>
            </w:pPr>
            <w:r w:rsidRPr="005B54EE">
              <w:rPr>
                <w:rFonts w:ascii="Times New Roman" w:hAnsi="Times New Roman"/>
                <w:sz w:val="14"/>
              </w:rPr>
              <w:t> </w:t>
            </w:r>
          </w:p>
        </w:tc>
      </w:tr>
      <w:tr w:rsidR="00D8302C" w:rsidRPr="005B54EE" w14:paraId="291A9A1B" w14:textId="77777777" w:rsidTr="00D8302C">
        <w:trPr>
          <w:trHeight w:val="68"/>
          <w:jc w:val="center"/>
        </w:trPr>
        <w:tc>
          <w:tcPr>
            <w:tcW w:w="11049" w:type="dxa"/>
            <w:gridSpan w:val="10"/>
            <w:tcBorders>
              <w:top w:val="nil"/>
              <w:left w:val="nil"/>
              <w:bottom w:val="nil"/>
              <w:right w:val="nil"/>
            </w:tcBorders>
            <w:shd w:val="clear" w:color="000000" w:fill="FFFFFF"/>
            <w:hideMark/>
          </w:tcPr>
          <w:p w14:paraId="3562C489" w14:textId="38F64439" w:rsidR="00D8302C" w:rsidRPr="005B54EE" w:rsidRDefault="00D8302C" w:rsidP="00891B49">
            <w:pPr>
              <w:jc w:val="left"/>
              <w:rPr>
                <w:rFonts w:ascii="Times New Roman" w:hAnsi="Times New Roman"/>
                <w:sz w:val="14"/>
                <w:szCs w:val="18"/>
              </w:rPr>
            </w:pPr>
            <w:r w:rsidRPr="005B54EE">
              <w:rPr>
                <w:rFonts w:ascii="Times New Roman" w:hAnsi="Times New Roman"/>
                <w:sz w:val="14"/>
                <w:vertAlign w:val="superscript"/>
              </w:rPr>
              <w:t xml:space="preserve">(3)    </w:t>
            </w:r>
            <w:r w:rsidRPr="005B54EE">
              <w:rPr>
                <w:rFonts w:ascii="Times New Roman" w:hAnsi="Times New Roman"/>
                <w:sz w:val="14"/>
              </w:rPr>
              <w:t xml:space="preserve">In accordance with the UNFCCC Annex I inventory reporting guidelines, for Parties that decide to report indirect </w:t>
            </w:r>
            <w:r w:rsidRPr="005B54EE">
              <w:t>CO</w:t>
            </w:r>
            <w:r w:rsidRPr="005B54EE">
              <w:rPr>
                <w:vertAlign w:val="subscript"/>
              </w:rPr>
              <w:t>2</w:t>
            </w:r>
            <w:r w:rsidRPr="005B54EE">
              <w:rPr>
                <w:rFonts w:ascii="Times New Roman" w:hAnsi="Times New Roman"/>
                <w:sz w:val="14"/>
                <w:vertAlign w:val="subscript"/>
              </w:rPr>
              <w:t>,</w:t>
            </w:r>
            <w:r w:rsidRPr="005B54EE">
              <w:rPr>
                <w:rFonts w:ascii="Times New Roman" w:hAnsi="Times New Roman"/>
                <w:sz w:val="14"/>
              </w:rPr>
              <w:t xml:space="preserve"> the national totals shall be provided with and without indirect </w:t>
            </w:r>
            <w:r w:rsidRPr="005B54EE">
              <w:t>CO</w:t>
            </w:r>
            <w:r w:rsidRPr="005B54EE">
              <w:rPr>
                <w:vertAlign w:val="subscript"/>
              </w:rPr>
              <w:t>2</w:t>
            </w:r>
            <w:r w:rsidRPr="005B54EE">
              <w:rPr>
                <w:rFonts w:ascii="Times New Roman" w:hAnsi="Times New Roman"/>
                <w:sz w:val="14"/>
              </w:rPr>
              <w:t>.</w:t>
            </w:r>
          </w:p>
        </w:tc>
      </w:tr>
    </w:tbl>
    <w:p w14:paraId="369B2576" w14:textId="0BAC7040" w:rsidR="00D8302C" w:rsidRPr="005B54EE" w:rsidRDefault="00D8302C" w:rsidP="00D8302C">
      <w:pPr>
        <w:pStyle w:val="Caption"/>
      </w:pPr>
      <w:bookmarkStart w:id="261" w:name="_Toc124153748"/>
      <w:r w:rsidRPr="005B54EE">
        <w:t xml:space="preserve">Table </w:t>
      </w:r>
      <w:r w:rsidR="00C73940">
        <w:fldChar w:fldCharType="begin"/>
      </w:r>
      <w:r w:rsidR="00C73940">
        <w:instrText xml:space="preserve"> SEQ Tableau \* ARABIC </w:instrText>
      </w:r>
      <w:r w:rsidR="00C73940">
        <w:fldChar w:fldCharType="separate"/>
      </w:r>
      <w:r w:rsidR="005B1C45">
        <w:rPr>
          <w:noProof/>
        </w:rPr>
        <w:t>34</w:t>
      </w:r>
      <w:r w:rsidR="00C73940">
        <w:rPr>
          <w:noProof/>
        </w:rPr>
        <w:fldChar w:fldCharType="end"/>
      </w:r>
      <w:r w:rsidRPr="005B54EE">
        <w:t>: Emissions by sector in 2020 for the Kyoto scope (Table Summary 2)</w:t>
      </w:r>
      <w:bookmarkEnd w:id="261"/>
    </w:p>
    <w:p w14:paraId="78F8DFDA" w14:textId="341DCF86" w:rsidR="00D8302C" w:rsidRPr="005B54EE" w:rsidRDefault="00D8302C" w:rsidP="00D8302C">
      <w:pPr>
        <w:pStyle w:val="Caption"/>
      </w:pPr>
      <w:r w:rsidRPr="005B54EE">
        <w:t>Source: Citepa/MTE inventory, UNFCCC submitted in April 2022, Kyoto scope.</w:t>
      </w:r>
    </w:p>
    <w:p w14:paraId="7AAFB3F1" w14:textId="28A5D6E4" w:rsidR="00D8302C" w:rsidRPr="005B54EE" w:rsidRDefault="00D8302C">
      <w:pPr>
        <w:spacing w:line="240" w:lineRule="atLeast"/>
        <w:jc w:val="left"/>
      </w:pPr>
      <w:r w:rsidRPr="005B54EE">
        <w:br w:type="page"/>
      </w:r>
    </w:p>
    <w:p w14:paraId="3E8DA96F" w14:textId="77777777" w:rsidR="001808DF" w:rsidRPr="005B54EE" w:rsidRDefault="001808DF" w:rsidP="007C589E">
      <w:pPr>
        <w:pStyle w:val="Titre1Niveau1"/>
        <w:sectPr w:rsidR="001808DF" w:rsidRPr="005B54EE" w:rsidSect="00401567">
          <w:pgSz w:w="11906" w:h="16838" w:code="9"/>
          <w:pgMar w:top="1229" w:right="907" w:bottom="1648" w:left="1049" w:header="284" w:footer="284" w:gutter="0"/>
          <w:cols w:space="708"/>
          <w:titlePg/>
          <w:docGrid w:linePitch="360"/>
        </w:sectPr>
      </w:pPr>
    </w:p>
    <w:p w14:paraId="02C427E5" w14:textId="0C2E3DB7" w:rsidR="00C430E9" w:rsidRPr="005B54EE" w:rsidRDefault="00D8302C" w:rsidP="007C589E">
      <w:pPr>
        <w:pStyle w:val="Titre1Niveau1"/>
      </w:pPr>
      <w:bookmarkStart w:id="262" w:name="AnnexII"/>
      <w:bookmarkStart w:id="263" w:name="_Toc138344728"/>
      <w:bookmarkEnd w:id="262"/>
      <w:r w:rsidRPr="005B54EE">
        <w:t>Appendix II - Assistance to developing countries in the form of financial resources, technology and capacity building - financing tables</w:t>
      </w:r>
      <w:bookmarkEnd w:id="263"/>
    </w:p>
    <w:p w14:paraId="673E501C" w14:textId="52C55ED6" w:rsidR="00DA0C45" w:rsidRPr="005B54EE" w:rsidRDefault="00DA0C45" w:rsidP="00DA0C45">
      <w:pPr>
        <w:pStyle w:val="Caption"/>
      </w:pPr>
      <w:bookmarkStart w:id="264" w:name="_Toc124153749"/>
      <w:r w:rsidRPr="005B54EE">
        <w:t xml:space="preserve">Table </w:t>
      </w:r>
      <w:r w:rsidR="00C73940">
        <w:fldChar w:fldCharType="begin"/>
      </w:r>
      <w:r w:rsidR="00C73940">
        <w:instrText xml:space="preserve"> SEQ Tableau \* ARABIC </w:instrText>
      </w:r>
      <w:r w:rsidR="00C73940">
        <w:fldChar w:fldCharType="separate"/>
      </w:r>
      <w:r w:rsidR="005B1C45">
        <w:rPr>
          <w:noProof/>
        </w:rPr>
        <w:t>35</w:t>
      </w:r>
      <w:r w:rsidR="00C73940">
        <w:rPr>
          <w:noProof/>
        </w:rPr>
        <w:fldChar w:fldCharType="end"/>
      </w:r>
      <w:r w:rsidRPr="005B54EE">
        <w:t>: Summary of financial and technology support to developing countries in 2019</w:t>
      </w:r>
      <w:bookmarkEnd w:id="264"/>
    </w:p>
    <w:p w14:paraId="22A67850" w14:textId="77777777" w:rsidR="00DA0C45" w:rsidRPr="005B54EE" w:rsidRDefault="00DA0C45" w:rsidP="00DA0C45">
      <w:pPr>
        <w:pStyle w:val="Caption"/>
      </w:pPr>
      <w:r w:rsidRPr="005B54EE">
        <w:t xml:space="preserve"> </w:t>
      </w:r>
    </w:p>
    <w:tbl>
      <w:tblPr>
        <w:tblStyle w:val="ListTable4-Accent1"/>
        <w:tblW w:w="10100" w:type="dxa"/>
        <w:jc w:val="center"/>
        <w:tblLook w:val="04A0" w:firstRow="1" w:lastRow="0" w:firstColumn="1" w:lastColumn="0" w:noHBand="0" w:noVBand="1"/>
      </w:tblPr>
      <w:tblGrid>
        <w:gridCol w:w="4240"/>
        <w:gridCol w:w="1420"/>
        <w:gridCol w:w="1600"/>
        <w:gridCol w:w="1600"/>
        <w:gridCol w:w="1240"/>
      </w:tblGrid>
      <w:tr w:rsidR="00DA0C45" w:rsidRPr="005B54EE" w14:paraId="79D2886B" w14:textId="77777777" w:rsidTr="00DA0C4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val="restart"/>
            <w:hideMark/>
          </w:tcPr>
          <w:p w14:paraId="6762556C" w14:textId="77777777" w:rsidR="00DA0C45" w:rsidRPr="005B54EE" w:rsidRDefault="00DA0C45" w:rsidP="00DA0C45">
            <w:pPr>
              <w:jc w:val="center"/>
              <w:rPr>
                <w:rFonts w:ascii="Times New Roman" w:hAnsi="Times New Roman"/>
                <w:i/>
                <w:iCs/>
                <w:sz w:val="18"/>
                <w:szCs w:val="18"/>
              </w:rPr>
            </w:pPr>
            <w:r w:rsidRPr="005B54EE">
              <w:rPr>
                <w:rFonts w:ascii="Times New Roman" w:hAnsi="Times New Roman"/>
                <w:i/>
                <w:sz w:val="18"/>
              </w:rPr>
              <w:t>Allocation channels</w:t>
            </w:r>
          </w:p>
        </w:tc>
        <w:tc>
          <w:tcPr>
            <w:tcW w:w="5860" w:type="dxa"/>
            <w:gridSpan w:val="4"/>
            <w:noWrap/>
            <w:hideMark/>
          </w:tcPr>
          <w:p w14:paraId="42741190" w14:textId="77777777" w:rsidR="00DA0C45" w:rsidRPr="005B54EE" w:rsidRDefault="00DA0C45" w:rsidP="00DA0C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2019</w:t>
            </w:r>
          </w:p>
        </w:tc>
      </w:tr>
      <w:tr w:rsidR="00DA0C45" w:rsidRPr="005B54EE" w14:paraId="3D1F68AC" w14:textId="77777777" w:rsidTr="00DA0C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hideMark/>
          </w:tcPr>
          <w:p w14:paraId="1CC8592C" w14:textId="77777777" w:rsidR="00DA0C45" w:rsidRPr="005B54EE" w:rsidRDefault="00DA0C45" w:rsidP="00DA0C45">
            <w:pPr>
              <w:jc w:val="left"/>
              <w:rPr>
                <w:rFonts w:ascii="Times New Roman" w:hAnsi="Times New Roman"/>
                <w:i/>
                <w:iCs/>
                <w:sz w:val="18"/>
                <w:szCs w:val="18"/>
              </w:rPr>
            </w:pPr>
          </w:p>
        </w:tc>
        <w:tc>
          <w:tcPr>
            <w:tcW w:w="5860" w:type="dxa"/>
            <w:gridSpan w:val="4"/>
            <w:noWrap/>
            <w:hideMark/>
          </w:tcPr>
          <w:p w14:paraId="4D11C0D4"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European euro - EUR</w:t>
            </w:r>
          </w:p>
        </w:tc>
      </w:tr>
      <w:tr w:rsidR="00DA0C45" w:rsidRPr="005B54EE" w14:paraId="5B4911E7"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hideMark/>
          </w:tcPr>
          <w:p w14:paraId="78FF5849" w14:textId="77777777" w:rsidR="00DA0C45" w:rsidRPr="005B54EE" w:rsidRDefault="00DA0C45" w:rsidP="00DA0C45">
            <w:pPr>
              <w:jc w:val="left"/>
              <w:rPr>
                <w:rFonts w:ascii="Times New Roman" w:hAnsi="Times New Roman"/>
                <w:i/>
                <w:iCs/>
                <w:sz w:val="18"/>
                <w:szCs w:val="18"/>
              </w:rPr>
            </w:pPr>
          </w:p>
        </w:tc>
        <w:tc>
          <w:tcPr>
            <w:tcW w:w="1420" w:type="dxa"/>
            <w:vMerge w:val="restart"/>
            <w:hideMark/>
          </w:tcPr>
          <w:p w14:paraId="76EAE57F"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Core/ general</w:t>
            </w:r>
            <w:r w:rsidRPr="005B54EE">
              <w:rPr>
                <w:rFonts w:ascii="Times New Roman" w:hAnsi="Times New Roman"/>
                <w:i/>
                <w:sz w:val="18"/>
                <w:vertAlign w:val="superscript"/>
              </w:rPr>
              <w:t>b, 1</w:t>
            </w:r>
          </w:p>
        </w:tc>
        <w:tc>
          <w:tcPr>
            <w:tcW w:w="4440" w:type="dxa"/>
            <w:gridSpan w:val="3"/>
            <w:noWrap/>
            <w:hideMark/>
          </w:tcPr>
          <w:p w14:paraId="2C733871"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Climate-specific ²</w:t>
            </w:r>
          </w:p>
        </w:tc>
      </w:tr>
      <w:tr w:rsidR="00DA0C45" w:rsidRPr="005B54EE" w14:paraId="1EF13F7E" w14:textId="77777777" w:rsidTr="00DA0C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hideMark/>
          </w:tcPr>
          <w:p w14:paraId="1D40B65E" w14:textId="77777777" w:rsidR="00DA0C45" w:rsidRPr="005B54EE" w:rsidRDefault="00DA0C45" w:rsidP="00DA0C45">
            <w:pPr>
              <w:jc w:val="left"/>
              <w:rPr>
                <w:rFonts w:ascii="Times New Roman" w:hAnsi="Times New Roman"/>
                <w:i/>
                <w:iCs/>
                <w:sz w:val="18"/>
                <w:szCs w:val="18"/>
              </w:rPr>
            </w:pPr>
          </w:p>
        </w:tc>
        <w:tc>
          <w:tcPr>
            <w:tcW w:w="1420" w:type="dxa"/>
            <w:vMerge/>
            <w:hideMark/>
          </w:tcPr>
          <w:p w14:paraId="56A0F9C1" w14:textId="77777777" w:rsidR="00DA0C45" w:rsidRPr="005B54EE" w:rsidRDefault="00DA0C45" w:rsidP="00DA0C4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p>
        </w:tc>
        <w:tc>
          <w:tcPr>
            <w:tcW w:w="1600" w:type="dxa"/>
            <w:hideMark/>
          </w:tcPr>
          <w:p w14:paraId="789A577F"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Mitigation</w:t>
            </w:r>
            <w:r w:rsidRPr="005B54EE">
              <w:rPr>
                <w:rFonts w:ascii="Times New Roman" w:hAnsi="Times New Roman"/>
                <w:i/>
                <w:sz w:val="18"/>
                <w:vertAlign w:val="superscript"/>
              </w:rPr>
              <w:t>c</w:t>
            </w:r>
          </w:p>
        </w:tc>
        <w:tc>
          <w:tcPr>
            <w:tcW w:w="1600" w:type="dxa"/>
            <w:hideMark/>
          </w:tcPr>
          <w:p w14:paraId="541BA30A"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Adaptation</w:t>
            </w:r>
            <w:r w:rsidRPr="005B54EE">
              <w:rPr>
                <w:rFonts w:ascii="Times New Roman" w:hAnsi="Times New Roman"/>
                <w:i/>
                <w:sz w:val="18"/>
                <w:vertAlign w:val="superscript"/>
              </w:rPr>
              <w:t>c</w:t>
            </w:r>
          </w:p>
        </w:tc>
        <w:tc>
          <w:tcPr>
            <w:tcW w:w="1240" w:type="dxa"/>
            <w:hideMark/>
          </w:tcPr>
          <w:p w14:paraId="434A92DF"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Cross-cutting</w:t>
            </w:r>
            <w:r w:rsidRPr="005B54EE">
              <w:rPr>
                <w:rFonts w:ascii="Times New Roman" w:hAnsi="Times New Roman"/>
                <w:i/>
                <w:sz w:val="18"/>
                <w:vertAlign w:val="superscript"/>
              </w:rPr>
              <w:t>c</w:t>
            </w:r>
          </w:p>
        </w:tc>
      </w:tr>
      <w:tr w:rsidR="00DA0C45" w:rsidRPr="005B54EE" w14:paraId="6118FBDF"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281D8D61" w14:textId="77777777" w:rsidR="00DA0C45" w:rsidRPr="005B54EE" w:rsidRDefault="00DA0C45" w:rsidP="00DA0C45">
            <w:pPr>
              <w:jc w:val="left"/>
              <w:rPr>
                <w:rFonts w:ascii="Times New Roman" w:hAnsi="Times New Roman"/>
                <w:i/>
                <w:iCs/>
                <w:sz w:val="18"/>
                <w:szCs w:val="18"/>
              </w:rPr>
            </w:pPr>
            <w:r w:rsidRPr="005B54EE">
              <w:rPr>
                <w:rFonts w:ascii="Times New Roman" w:hAnsi="Times New Roman"/>
                <w:i/>
                <w:sz w:val="18"/>
              </w:rPr>
              <w:t>Total contributions through multilateral channels:</w:t>
            </w:r>
          </w:p>
        </w:tc>
        <w:tc>
          <w:tcPr>
            <w:tcW w:w="1420" w:type="dxa"/>
            <w:hideMark/>
          </w:tcPr>
          <w:p w14:paraId="10C59C75"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080FDC4B"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6382EE07"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240" w:type="dxa"/>
            <w:hideMark/>
          </w:tcPr>
          <w:p w14:paraId="30F27901"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r>
      <w:tr w:rsidR="00DA0C45" w:rsidRPr="005B54EE" w14:paraId="0CB80813" w14:textId="77777777" w:rsidTr="00DA0C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1683720E" w14:textId="77777777" w:rsidR="00DA0C45" w:rsidRPr="005B54EE" w:rsidRDefault="00DA0C45" w:rsidP="00DA0C45">
            <w:pPr>
              <w:ind w:firstLineChars="100" w:firstLine="181"/>
              <w:jc w:val="left"/>
              <w:rPr>
                <w:rFonts w:ascii="Times New Roman" w:hAnsi="Times New Roman"/>
                <w:sz w:val="18"/>
                <w:szCs w:val="18"/>
              </w:rPr>
            </w:pPr>
            <w:r w:rsidRPr="005B54EE">
              <w:rPr>
                <w:rFonts w:ascii="Times New Roman" w:hAnsi="Times New Roman"/>
                <w:sz w:val="18"/>
              </w:rPr>
              <w:t>Multilateral climate change funds</w:t>
            </w:r>
            <w:r w:rsidRPr="005B54EE">
              <w:rPr>
                <w:rFonts w:ascii="Times New Roman" w:hAnsi="Times New Roman"/>
                <w:i/>
                <w:sz w:val="18"/>
                <w:vertAlign w:val="superscript"/>
              </w:rPr>
              <w:t>e</w:t>
            </w:r>
          </w:p>
        </w:tc>
        <w:tc>
          <w:tcPr>
            <w:tcW w:w="1420" w:type="dxa"/>
            <w:hideMark/>
          </w:tcPr>
          <w:p w14:paraId="4BBB46F8"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noWrap/>
            <w:hideMark/>
          </w:tcPr>
          <w:p w14:paraId="6A9E87A9"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112</w:t>
            </w:r>
          </w:p>
        </w:tc>
        <w:tc>
          <w:tcPr>
            <w:tcW w:w="1600" w:type="dxa"/>
            <w:hideMark/>
          </w:tcPr>
          <w:p w14:paraId="5EC749FD"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83 673 900</w:t>
            </w:r>
          </w:p>
        </w:tc>
        <w:tc>
          <w:tcPr>
            <w:tcW w:w="1240" w:type="dxa"/>
            <w:hideMark/>
          </w:tcPr>
          <w:p w14:paraId="1E6E68D2"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r>
      <w:tr w:rsidR="00DA0C45" w:rsidRPr="005B54EE" w14:paraId="7FA4803E"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0B1A74D5"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 xml:space="preserve">   Other multilateral climate change funds</w:t>
            </w:r>
            <w:r w:rsidRPr="005B54EE">
              <w:rPr>
                <w:rFonts w:ascii="Times New Roman" w:hAnsi="Times New Roman"/>
                <w:i/>
                <w:sz w:val="18"/>
                <w:vertAlign w:val="superscript"/>
              </w:rPr>
              <w:t>f</w:t>
            </w:r>
          </w:p>
        </w:tc>
        <w:tc>
          <w:tcPr>
            <w:tcW w:w="1420" w:type="dxa"/>
            <w:hideMark/>
          </w:tcPr>
          <w:p w14:paraId="1100BE23"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648B0560"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11 346 000</w:t>
            </w:r>
          </w:p>
        </w:tc>
        <w:tc>
          <w:tcPr>
            <w:tcW w:w="1600" w:type="dxa"/>
            <w:hideMark/>
          </w:tcPr>
          <w:p w14:paraId="445A2AB6"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3 455 000</w:t>
            </w:r>
          </w:p>
        </w:tc>
        <w:tc>
          <w:tcPr>
            <w:tcW w:w="1240" w:type="dxa"/>
            <w:hideMark/>
          </w:tcPr>
          <w:p w14:paraId="5225651A"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27 438 235</w:t>
            </w:r>
          </w:p>
        </w:tc>
      </w:tr>
      <w:tr w:rsidR="00DA0C45" w:rsidRPr="005B54EE" w14:paraId="2EEF1EB9" w14:textId="77777777" w:rsidTr="00DA0C45">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64D8B6A5" w14:textId="77777777" w:rsidR="00DA0C45" w:rsidRPr="005B54EE" w:rsidRDefault="00DA0C45" w:rsidP="00DA0C45">
            <w:pPr>
              <w:ind w:firstLineChars="100" w:firstLine="181"/>
              <w:jc w:val="left"/>
              <w:rPr>
                <w:rFonts w:ascii="Times New Roman" w:hAnsi="Times New Roman"/>
                <w:sz w:val="18"/>
                <w:szCs w:val="18"/>
              </w:rPr>
            </w:pPr>
            <w:r w:rsidRPr="005B54EE">
              <w:rPr>
                <w:rFonts w:ascii="Times New Roman" w:hAnsi="Times New Roman"/>
                <w:sz w:val="18"/>
              </w:rPr>
              <w:t>Multilateral financial institutions, including regional development banks</w:t>
            </w:r>
          </w:p>
        </w:tc>
        <w:tc>
          <w:tcPr>
            <w:tcW w:w="1420" w:type="dxa"/>
            <w:hideMark/>
          </w:tcPr>
          <w:p w14:paraId="68E3B5F9"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169 273 651</w:t>
            </w:r>
          </w:p>
        </w:tc>
        <w:tc>
          <w:tcPr>
            <w:tcW w:w="1600" w:type="dxa"/>
            <w:hideMark/>
          </w:tcPr>
          <w:p w14:paraId="02C91017"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67 836 289</w:t>
            </w:r>
          </w:p>
        </w:tc>
        <w:tc>
          <w:tcPr>
            <w:tcW w:w="1600" w:type="dxa"/>
            <w:hideMark/>
          </w:tcPr>
          <w:p w14:paraId="767AF4C7"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101 437 362</w:t>
            </w:r>
          </w:p>
        </w:tc>
        <w:tc>
          <w:tcPr>
            <w:tcW w:w="1240" w:type="dxa"/>
            <w:hideMark/>
          </w:tcPr>
          <w:p w14:paraId="660D7FDD"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r>
      <w:tr w:rsidR="00DA0C45" w:rsidRPr="005B54EE" w14:paraId="32BAB5C9" w14:textId="77777777" w:rsidTr="00DA0C45">
        <w:trPr>
          <w:trHeight w:val="48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267A6617" w14:textId="77777777" w:rsidR="00DA0C45" w:rsidRPr="005B54EE" w:rsidRDefault="00DA0C45" w:rsidP="00DA0C45">
            <w:pPr>
              <w:jc w:val="left"/>
              <w:rPr>
                <w:rFonts w:ascii="Times New Roman" w:hAnsi="Times New Roman"/>
                <w:i/>
                <w:iCs/>
                <w:sz w:val="18"/>
                <w:szCs w:val="18"/>
              </w:rPr>
            </w:pPr>
            <w:r w:rsidRPr="005B54EE">
              <w:rPr>
                <w:rFonts w:ascii="Times New Roman" w:hAnsi="Times New Roman"/>
                <w:i/>
                <w:sz w:val="18"/>
              </w:rPr>
              <w:t>Total contributions through bilateral, regional and other channels</w:t>
            </w:r>
          </w:p>
        </w:tc>
        <w:tc>
          <w:tcPr>
            <w:tcW w:w="1420" w:type="dxa"/>
            <w:hideMark/>
          </w:tcPr>
          <w:p w14:paraId="40AB53C0"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07B8CCF6"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2 610 876 034</w:t>
            </w:r>
          </w:p>
        </w:tc>
        <w:tc>
          <w:tcPr>
            <w:tcW w:w="1600" w:type="dxa"/>
            <w:hideMark/>
          </w:tcPr>
          <w:p w14:paraId="579BB589"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1 358 523 803</w:t>
            </w:r>
          </w:p>
        </w:tc>
        <w:tc>
          <w:tcPr>
            <w:tcW w:w="1240" w:type="dxa"/>
            <w:hideMark/>
          </w:tcPr>
          <w:p w14:paraId="0B901D24"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1 582 252 769</w:t>
            </w:r>
          </w:p>
        </w:tc>
      </w:tr>
      <w:tr w:rsidR="00DA0C45" w:rsidRPr="005B54EE" w14:paraId="29FBB8B0" w14:textId="77777777" w:rsidTr="00DA0C45">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3FDCB357"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Total climate specific by funding type (total for mitigation, adaptation, crosscutting)</w:t>
            </w:r>
          </w:p>
        </w:tc>
        <w:tc>
          <w:tcPr>
            <w:tcW w:w="1420" w:type="dxa"/>
            <w:hideMark/>
          </w:tcPr>
          <w:p w14:paraId="10D8E9D9"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6C8FEA1E"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2 690 058 435</w:t>
            </w:r>
          </w:p>
        </w:tc>
        <w:tc>
          <w:tcPr>
            <w:tcW w:w="1600" w:type="dxa"/>
            <w:hideMark/>
          </w:tcPr>
          <w:p w14:paraId="68157B41"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1 547 090 065</w:t>
            </w:r>
          </w:p>
        </w:tc>
        <w:tc>
          <w:tcPr>
            <w:tcW w:w="1240" w:type="dxa"/>
            <w:hideMark/>
          </w:tcPr>
          <w:p w14:paraId="1B265E48"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1 609 691 004</w:t>
            </w:r>
          </w:p>
        </w:tc>
      </w:tr>
      <w:tr w:rsidR="00DA0C45" w:rsidRPr="005B54EE" w14:paraId="61677AA4"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38E90B2F"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Total climate specific finance</w:t>
            </w:r>
          </w:p>
        </w:tc>
        <w:tc>
          <w:tcPr>
            <w:tcW w:w="1420" w:type="dxa"/>
            <w:hideMark/>
          </w:tcPr>
          <w:p w14:paraId="5F5EDC58"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4440" w:type="dxa"/>
            <w:gridSpan w:val="3"/>
            <w:hideMark/>
          </w:tcPr>
          <w:p w14:paraId="553806BE"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5 846 839 504</w:t>
            </w:r>
          </w:p>
        </w:tc>
      </w:tr>
    </w:tbl>
    <w:p w14:paraId="65024309" w14:textId="3DF52991" w:rsidR="00DA0C45" w:rsidRPr="005B54EE" w:rsidRDefault="00DA0C45" w:rsidP="00DA0C45">
      <w:pPr>
        <w:pStyle w:val="Caption"/>
      </w:pPr>
    </w:p>
    <w:p w14:paraId="014876AC" w14:textId="77777777" w:rsidR="00DA0C45" w:rsidRPr="005B54EE" w:rsidRDefault="00DA0C45" w:rsidP="00DA0C45"/>
    <w:tbl>
      <w:tblPr>
        <w:tblStyle w:val="ListTable4-Accent1"/>
        <w:tblW w:w="13320" w:type="dxa"/>
        <w:tblLook w:val="04A0" w:firstRow="1" w:lastRow="0" w:firstColumn="1" w:lastColumn="0" w:noHBand="0" w:noVBand="1"/>
      </w:tblPr>
      <w:tblGrid>
        <w:gridCol w:w="4240"/>
        <w:gridCol w:w="3020"/>
        <w:gridCol w:w="2840"/>
        <w:gridCol w:w="3220"/>
      </w:tblGrid>
      <w:tr w:rsidR="00DA0C45" w:rsidRPr="005B54EE" w14:paraId="304D2BB0" w14:textId="77777777" w:rsidTr="00DA0C4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260" w:type="dxa"/>
            <w:gridSpan w:val="2"/>
            <w:vMerge w:val="restart"/>
            <w:hideMark/>
          </w:tcPr>
          <w:p w14:paraId="0119EED5"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Total climate specific by funding source (MEUR)</w:t>
            </w:r>
          </w:p>
        </w:tc>
        <w:tc>
          <w:tcPr>
            <w:tcW w:w="6060" w:type="dxa"/>
            <w:gridSpan w:val="2"/>
            <w:vMerge w:val="restart"/>
            <w:hideMark/>
          </w:tcPr>
          <w:p w14:paraId="5AEC24D0" w14:textId="77777777" w:rsidR="00DA0C45" w:rsidRPr="005B54EE" w:rsidRDefault="00DA0C45" w:rsidP="00DA0C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Total climate specific by financial instrument (MEUR)</w:t>
            </w:r>
          </w:p>
        </w:tc>
      </w:tr>
      <w:tr w:rsidR="00DA0C45" w:rsidRPr="005B54EE" w14:paraId="543DED5B" w14:textId="77777777" w:rsidTr="00DA0C4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260" w:type="dxa"/>
            <w:gridSpan w:val="2"/>
            <w:vMerge/>
            <w:hideMark/>
          </w:tcPr>
          <w:p w14:paraId="1B91C200" w14:textId="77777777" w:rsidR="00DA0C45" w:rsidRPr="005B54EE" w:rsidRDefault="00DA0C45" w:rsidP="00DA0C45">
            <w:pPr>
              <w:jc w:val="left"/>
              <w:rPr>
                <w:rFonts w:ascii="Times New Roman" w:hAnsi="Times New Roman"/>
                <w:sz w:val="18"/>
                <w:szCs w:val="18"/>
              </w:rPr>
            </w:pPr>
          </w:p>
        </w:tc>
        <w:tc>
          <w:tcPr>
            <w:tcW w:w="6060" w:type="dxa"/>
            <w:gridSpan w:val="2"/>
            <w:vMerge/>
            <w:hideMark/>
          </w:tcPr>
          <w:p w14:paraId="41CC4348" w14:textId="77777777" w:rsidR="00DA0C45" w:rsidRPr="005B54EE" w:rsidRDefault="00DA0C45" w:rsidP="00DA0C4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p>
        </w:tc>
      </w:tr>
      <w:tr w:rsidR="00DA0C45" w:rsidRPr="005B54EE" w14:paraId="3EAF061B" w14:textId="77777777" w:rsidTr="00DA0C45">
        <w:trPr>
          <w:trHeight w:val="300"/>
        </w:trPr>
        <w:tc>
          <w:tcPr>
            <w:cnfStyle w:val="001000000000" w:firstRow="0" w:lastRow="0" w:firstColumn="1" w:lastColumn="0" w:oddVBand="0" w:evenVBand="0" w:oddHBand="0" w:evenHBand="0" w:firstRowFirstColumn="0" w:firstRowLastColumn="0" w:lastRowFirstColumn="0" w:lastRowLastColumn="0"/>
            <w:tcW w:w="4240" w:type="dxa"/>
            <w:hideMark/>
          </w:tcPr>
          <w:p w14:paraId="66C7B1D8"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ODA</w:t>
            </w:r>
          </w:p>
        </w:tc>
        <w:tc>
          <w:tcPr>
            <w:tcW w:w="3020" w:type="dxa"/>
            <w:noWrap/>
            <w:hideMark/>
          </w:tcPr>
          <w:p w14:paraId="15FE99FE"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5 205</w:t>
            </w:r>
          </w:p>
        </w:tc>
        <w:tc>
          <w:tcPr>
            <w:tcW w:w="2840" w:type="dxa"/>
            <w:hideMark/>
          </w:tcPr>
          <w:p w14:paraId="636655AD"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Grant</w:t>
            </w:r>
          </w:p>
        </w:tc>
        <w:tc>
          <w:tcPr>
            <w:tcW w:w="3220" w:type="dxa"/>
            <w:noWrap/>
            <w:hideMark/>
          </w:tcPr>
          <w:p w14:paraId="67F1B4B9"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903</w:t>
            </w:r>
          </w:p>
        </w:tc>
      </w:tr>
      <w:tr w:rsidR="00DA0C45" w:rsidRPr="005B54EE" w14:paraId="3136034F" w14:textId="77777777" w:rsidTr="00DA0C4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240" w:type="dxa"/>
            <w:hideMark/>
          </w:tcPr>
          <w:p w14:paraId="5B8A1F09"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OOF</w:t>
            </w:r>
          </w:p>
        </w:tc>
        <w:tc>
          <w:tcPr>
            <w:tcW w:w="3020" w:type="dxa"/>
            <w:noWrap/>
            <w:hideMark/>
          </w:tcPr>
          <w:p w14:paraId="5CD58551"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751</w:t>
            </w:r>
          </w:p>
        </w:tc>
        <w:tc>
          <w:tcPr>
            <w:tcW w:w="2840" w:type="dxa"/>
            <w:hideMark/>
          </w:tcPr>
          <w:p w14:paraId="06686798"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Concessional loan</w:t>
            </w:r>
          </w:p>
        </w:tc>
        <w:tc>
          <w:tcPr>
            <w:tcW w:w="3220" w:type="dxa"/>
            <w:hideMark/>
          </w:tcPr>
          <w:p w14:paraId="6E5AECA9"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4 321</w:t>
            </w:r>
          </w:p>
        </w:tc>
      </w:tr>
      <w:tr w:rsidR="00DA0C45" w:rsidRPr="005B54EE" w14:paraId="3A20A388" w14:textId="77777777" w:rsidTr="00DA0C45">
        <w:trPr>
          <w:trHeight w:val="300"/>
        </w:trPr>
        <w:tc>
          <w:tcPr>
            <w:cnfStyle w:val="001000000000" w:firstRow="0" w:lastRow="0" w:firstColumn="1" w:lastColumn="0" w:oddVBand="0" w:evenVBand="0" w:oddHBand="0" w:evenHBand="0" w:firstRowFirstColumn="0" w:firstRowLastColumn="0" w:lastRowFirstColumn="0" w:lastRowLastColumn="0"/>
            <w:tcW w:w="4240" w:type="dxa"/>
            <w:hideMark/>
          </w:tcPr>
          <w:p w14:paraId="0029C78B"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 </w:t>
            </w:r>
          </w:p>
        </w:tc>
        <w:tc>
          <w:tcPr>
            <w:tcW w:w="3020" w:type="dxa"/>
            <w:noWrap/>
            <w:hideMark/>
          </w:tcPr>
          <w:p w14:paraId="5DD8CACE"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rPr>
            </w:pPr>
            <w:r w:rsidRPr="005B54EE">
              <w:rPr>
                <w:rFonts w:ascii="Times New Roman" w:hAnsi="Times New Roman"/>
              </w:rPr>
              <w:t> </w:t>
            </w:r>
          </w:p>
        </w:tc>
        <w:tc>
          <w:tcPr>
            <w:tcW w:w="2840" w:type="dxa"/>
            <w:hideMark/>
          </w:tcPr>
          <w:p w14:paraId="60E91A3A"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Non-concessional loan</w:t>
            </w:r>
          </w:p>
        </w:tc>
        <w:tc>
          <w:tcPr>
            <w:tcW w:w="3220" w:type="dxa"/>
            <w:noWrap/>
            <w:hideMark/>
          </w:tcPr>
          <w:p w14:paraId="699FFFAE"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562</w:t>
            </w:r>
          </w:p>
        </w:tc>
      </w:tr>
      <w:tr w:rsidR="00DA0C45" w:rsidRPr="005B54EE" w14:paraId="54FCD0B7" w14:textId="77777777" w:rsidTr="00DA0C45">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240" w:type="dxa"/>
            <w:noWrap/>
            <w:hideMark/>
          </w:tcPr>
          <w:p w14:paraId="112E72C6"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 </w:t>
            </w:r>
          </w:p>
        </w:tc>
        <w:tc>
          <w:tcPr>
            <w:tcW w:w="3020" w:type="dxa"/>
            <w:hideMark/>
          </w:tcPr>
          <w:p w14:paraId="3DF5CBA7"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2840" w:type="dxa"/>
            <w:noWrap/>
            <w:hideMark/>
          </w:tcPr>
          <w:p w14:paraId="1992A893"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Other</w:t>
            </w:r>
          </w:p>
        </w:tc>
        <w:tc>
          <w:tcPr>
            <w:tcW w:w="3220" w:type="dxa"/>
            <w:noWrap/>
            <w:hideMark/>
          </w:tcPr>
          <w:p w14:paraId="2A59E040"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170</w:t>
            </w:r>
          </w:p>
        </w:tc>
      </w:tr>
    </w:tbl>
    <w:p w14:paraId="0B58C2A9" w14:textId="77777777" w:rsidR="00DA0C45" w:rsidRPr="005B54EE" w:rsidRDefault="00DA0C45" w:rsidP="00DA0C45"/>
    <w:p w14:paraId="32BCEEEF" w14:textId="2488E5C8" w:rsidR="00DA0C45" w:rsidRPr="005B54EE" w:rsidRDefault="00DA0C45" w:rsidP="00DA0C45"/>
    <w:p w14:paraId="32E3F004" w14:textId="77777777" w:rsidR="00DA0C45" w:rsidRPr="005B54EE" w:rsidRDefault="00DA0C45" w:rsidP="00DA0C45"/>
    <w:p w14:paraId="39A7A00E" w14:textId="1BD8FF62" w:rsidR="00DA0C45" w:rsidRPr="005B54EE" w:rsidRDefault="00DA0C45" w:rsidP="00DA0C45">
      <w:pPr>
        <w:pStyle w:val="Caption"/>
      </w:pPr>
      <w:bookmarkStart w:id="265" w:name="_Toc124153750"/>
      <w:r w:rsidRPr="005B54EE">
        <w:t xml:space="preserve">Table </w:t>
      </w:r>
      <w:r w:rsidR="00C73940">
        <w:fldChar w:fldCharType="begin"/>
      </w:r>
      <w:r w:rsidR="00C73940">
        <w:instrText xml:space="preserve"> SEQ Tableau \* ARABIC </w:instrText>
      </w:r>
      <w:r w:rsidR="00C73940">
        <w:fldChar w:fldCharType="separate"/>
      </w:r>
      <w:r w:rsidR="005B1C45">
        <w:rPr>
          <w:noProof/>
        </w:rPr>
        <w:t>36</w:t>
      </w:r>
      <w:r w:rsidR="00C73940">
        <w:rPr>
          <w:noProof/>
        </w:rPr>
        <w:fldChar w:fldCharType="end"/>
      </w:r>
      <w:r w:rsidRPr="005B54EE">
        <w:t>: Summary of financial and technology support to developing countries in 2020</w:t>
      </w:r>
      <w:bookmarkEnd w:id="265"/>
    </w:p>
    <w:p w14:paraId="2115D835" w14:textId="77777777" w:rsidR="00DA0C45" w:rsidRPr="005B54EE" w:rsidRDefault="00DA0C45" w:rsidP="00DA0C45"/>
    <w:tbl>
      <w:tblPr>
        <w:tblStyle w:val="ListTable4-Accent1"/>
        <w:tblW w:w="10100" w:type="dxa"/>
        <w:jc w:val="center"/>
        <w:tblLook w:val="04A0" w:firstRow="1" w:lastRow="0" w:firstColumn="1" w:lastColumn="0" w:noHBand="0" w:noVBand="1"/>
      </w:tblPr>
      <w:tblGrid>
        <w:gridCol w:w="4240"/>
        <w:gridCol w:w="1420"/>
        <w:gridCol w:w="1600"/>
        <w:gridCol w:w="1600"/>
        <w:gridCol w:w="1240"/>
      </w:tblGrid>
      <w:tr w:rsidR="00DA0C45" w:rsidRPr="005B54EE" w14:paraId="6440CB35" w14:textId="77777777" w:rsidTr="00DA0C4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val="restart"/>
            <w:hideMark/>
          </w:tcPr>
          <w:p w14:paraId="4E95F5D8" w14:textId="77777777" w:rsidR="00DA0C45" w:rsidRPr="005B54EE" w:rsidRDefault="00DA0C45" w:rsidP="00DA0C45">
            <w:pPr>
              <w:jc w:val="center"/>
              <w:rPr>
                <w:rFonts w:ascii="Times New Roman" w:hAnsi="Times New Roman"/>
                <w:i/>
                <w:iCs/>
                <w:sz w:val="18"/>
                <w:szCs w:val="18"/>
              </w:rPr>
            </w:pPr>
            <w:r w:rsidRPr="005B54EE">
              <w:rPr>
                <w:rFonts w:ascii="Times New Roman" w:hAnsi="Times New Roman"/>
                <w:i/>
                <w:sz w:val="18"/>
              </w:rPr>
              <w:t>Allocation channels</w:t>
            </w:r>
          </w:p>
        </w:tc>
        <w:tc>
          <w:tcPr>
            <w:tcW w:w="5860" w:type="dxa"/>
            <w:gridSpan w:val="4"/>
            <w:noWrap/>
            <w:hideMark/>
          </w:tcPr>
          <w:p w14:paraId="6A05314A" w14:textId="77777777" w:rsidR="00DA0C45" w:rsidRPr="005B54EE" w:rsidRDefault="00DA0C45" w:rsidP="00DA0C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2020</w:t>
            </w:r>
          </w:p>
        </w:tc>
      </w:tr>
      <w:tr w:rsidR="00DA0C45" w:rsidRPr="005B54EE" w14:paraId="3CCCDCB6" w14:textId="77777777" w:rsidTr="00DA0C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hideMark/>
          </w:tcPr>
          <w:p w14:paraId="24C09C9A" w14:textId="77777777" w:rsidR="00DA0C45" w:rsidRPr="005B54EE" w:rsidRDefault="00DA0C45" w:rsidP="00DA0C45">
            <w:pPr>
              <w:jc w:val="left"/>
              <w:rPr>
                <w:rFonts w:ascii="Times New Roman" w:hAnsi="Times New Roman"/>
                <w:i/>
                <w:iCs/>
                <w:sz w:val="18"/>
                <w:szCs w:val="18"/>
              </w:rPr>
            </w:pPr>
          </w:p>
        </w:tc>
        <w:tc>
          <w:tcPr>
            <w:tcW w:w="5860" w:type="dxa"/>
            <w:gridSpan w:val="4"/>
            <w:noWrap/>
            <w:hideMark/>
          </w:tcPr>
          <w:p w14:paraId="0C448C73"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European euro - EUR</w:t>
            </w:r>
          </w:p>
        </w:tc>
      </w:tr>
      <w:tr w:rsidR="00DA0C45" w:rsidRPr="005B54EE" w14:paraId="52516ABD"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hideMark/>
          </w:tcPr>
          <w:p w14:paraId="1A3C1028" w14:textId="77777777" w:rsidR="00DA0C45" w:rsidRPr="005B54EE" w:rsidRDefault="00DA0C45" w:rsidP="00DA0C45">
            <w:pPr>
              <w:jc w:val="left"/>
              <w:rPr>
                <w:rFonts w:ascii="Times New Roman" w:hAnsi="Times New Roman"/>
                <w:i/>
                <w:iCs/>
                <w:sz w:val="18"/>
                <w:szCs w:val="18"/>
              </w:rPr>
            </w:pPr>
          </w:p>
        </w:tc>
        <w:tc>
          <w:tcPr>
            <w:tcW w:w="1420" w:type="dxa"/>
            <w:vMerge w:val="restart"/>
            <w:hideMark/>
          </w:tcPr>
          <w:p w14:paraId="0D448070"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Core/ general</w:t>
            </w:r>
            <w:r w:rsidRPr="005B54EE">
              <w:rPr>
                <w:rFonts w:ascii="Times New Roman" w:hAnsi="Times New Roman"/>
                <w:i/>
                <w:sz w:val="18"/>
                <w:vertAlign w:val="superscript"/>
              </w:rPr>
              <w:t>b, 1</w:t>
            </w:r>
          </w:p>
        </w:tc>
        <w:tc>
          <w:tcPr>
            <w:tcW w:w="4440" w:type="dxa"/>
            <w:gridSpan w:val="3"/>
            <w:noWrap/>
            <w:hideMark/>
          </w:tcPr>
          <w:p w14:paraId="17FFFB1E"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Climate-specific ²</w:t>
            </w:r>
          </w:p>
        </w:tc>
      </w:tr>
      <w:tr w:rsidR="00DA0C45" w:rsidRPr="005B54EE" w14:paraId="732BC7D1" w14:textId="77777777" w:rsidTr="00DA0C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vMerge/>
            <w:hideMark/>
          </w:tcPr>
          <w:p w14:paraId="1878C162" w14:textId="77777777" w:rsidR="00DA0C45" w:rsidRPr="005B54EE" w:rsidRDefault="00DA0C45" w:rsidP="00DA0C45">
            <w:pPr>
              <w:jc w:val="left"/>
              <w:rPr>
                <w:rFonts w:ascii="Times New Roman" w:hAnsi="Times New Roman"/>
                <w:i/>
                <w:iCs/>
                <w:sz w:val="18"/>
                <w:szCs w:val="18"/>
              </w:rPr>
            </w:pPr>
          </w:p>
        </w:tc>
        <w:tc>
          <w:tcPr>
            <w:tcW w:w="1420" w:type="dxa"/>
            <w:vMerge/>
            <w:hideMark/>
          </w:tcPr>
          <w:p w14:paraId="6B9F9594" w14:textId="77777777" w:rsidR="00DA0C45" w:rsidRPr="005B54EE" w:rsidRDefault="00DA0C45" w:rsidP="00DA0C4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p>
        </w:tc>
        <w:tc>
          <w:tcPr>
            <w:tcW w:w="1600" w:type="dxa"/>
            <w:hideMark/>
          </w:tcPr>
          <w:p w14:paraId="643A4BD2"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Mitigation</w:t>
            </w:r>
            <w:r w:rsidRPr="005B54EE">
              <w:rPr>
                <w:rFonts w:ascii="Times New Roman" w:hAnsi="Times New Roman"/>
                <w:i/>
                <w:sz w:val="18"/>
                <w:vertAlign w:val="superscript"/>
              </w:rPr>
              <w:t>c</w:t>
            </w:r>
          </w:p>
        </w:tc>
        <w:tc>
          <w:tcPr>
            <w:tcW w:w="1600" w:type="dxa"/>
            <w:hideMark/>
          </w:tcPr>
          <w:p w14:paraId="2B7B9746"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Adaptation</w:t>
            </w:r>
            <w:r w:rsidRPr="005B54EE">
              <w:rPr>
                <w:rFonts w:ascii="Times New Roman" w:hAnsi="Times New Roman"/>
                <w:i/>
                <w:sz w:val="18"/>
                <w:vertAlign w:val="superscript"/>
              </w:rPr>
              <w:t>c</w:t>
            </w:r>
          </w:p>
        </w:tc>
        <w:tc>
          <w:tcPr>
            <w:tcW w:w="1240" w:type="dxa"/>
            <w:hideMark/>
          </w:tcPr>
          <w:p w14:paraId="3F67260E"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18"/>
                <w:szCs w:val="18"/>
              </w:rPr>
            </w:pPr>
            <w:r w:rsidRPr="005B54EE">
              <w:rPr>
                <w:rFonts w:ascii="Times New Roman" w:hAnsi="Times New Roman"/>
                <w:i/>
                <w:sz w:val="18"/>
              </w:rPr>
              <w:t>Cross-cutting</w:t>
            </w:r>
            <w:r w:rsidRPr="005B54EE">
              <w:rPr>
                <w:rFonts w:ascii="Times New Roman" w:hAnsi="Times New Roman"/>
                <w:i/>
                <w:sz w:val="18"/>
                <w:vertAlign w:val="superscript"/>
              </w:rPr>
              <w:t>c</w:t>
            </w:r>
          </w:p>
        </w:tc>
      </w:tr>
      <w:tr w:rsidR="00DA0C45" w:rsidRPr="005B54EE" w14:paraId="5AFD7C8A"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719D89DE" w14:textId="77777777" w:rsidR="00DA0C45" w:rsidRPr="005B54EE" w:rsidRDefault="00DA0C45" w:rsidP="00DA0C45">
            <w:pPr>
              <w:jc w:val="left"/>
              <w:rPr>
                <w:rFonts w:ascii="Times New Roman" w:hAnsi="Times New Roman"/>
                <w:i/>
                <w:iCs/>
                <w:sz w:val="18"/>
                <w:szCs w:val="18"/>
              </w:rPr>
            </w:pPr>
            <w:r w:rsidRPr="005B54EE">
              <w:rPr>
                <w:rFonts w:ascii="Times New Roman" w:hAnsi="Times New Roman"/>
                <w:i/>
                <w:sz w:val="18"/>
              </w:rPr>
              <w:t>Total contributions through multilateral channels:</w:t>
            </w:r>
          </w:p>
        </w:tc>
        <w:tc>
          <w:tcPr>
            <w:tcW w:w="1420" w:type="dxa"/>
            <w:hideMark/>
          </w:tcPr>
          <w:p w14:paraId="43BF0E0C"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138ABAB4"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4C2944C9"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240" w:type="dxa"/>
            <w:hideMark/>
          </w:tcPr>
          <w:p w14:paraId="6640B21A"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r>
      <w:tr w:rsidR="00DA0C45" w:rsidRPr="005B54EE" w14:paraId="62DF8811" w14:textId="77777777" w:rsidTr="00DA0C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499FA5F4" w14:textId="77777777" w:rsidR="00DA0C45" w:rsidRPr="005B54EE" w:rsidRDefault="00DA0C45" w:rsidP="00DA0C45">
            <w:pPr>
              <w:ind w:firstLineChars="100" w:firstLine="181"/>
              <w:jc w:val="left"/>
              <w:rPr>
                <w:rFonts w:ascii="Times New Roman" w:hAnsi="Times New Roman"/>
                <w:sz w:val="18"/>
                <w:szCs w:val="18"/>
              </w:rPr>
            </w:pPr>
            <w:r w:rsidRPr="005B54EE">
              <w:rPr>
                <w:rFonts w:ascii="Times New Roman" w:hAnsi="Times New Roman"/>
                <w:sz w:val="18"/>
              </w:rPr>
              <w:t>Multilateral climate change funds</w:t>
            </w:r>
            <w:r w:rsidRPr="005B54EE">
              <w:rPr>
                <w:rFonts w:ascii="Times New Roman" w:hAnsi="Times New Roman"/>
                <w:i/>
                <w:sz w:val="18"/>
                <w:vertAlign w:val="superscript"/>
              </w:rPr>
              <w:t>e</w:t>
            </w:r>
          </w:p>
        </w:tc>
        <w:tc>
          <w:tcPr>
            <w:tcW w:w="1420" w:type="dxa"/>
            <w:hideMark/>
          </w:tcPr>
          <w:p w14:paraId="0CAE6A18"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1A28D624"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30 661 600</w:t>
            </w:r>
          </w:p>
        </w:tc>
        <w:tc>
          <w:tcPr>
            <w:tcW w:w="1600" w:type="dxa"/>
            <w:hideMark/>
          </w:tcPr>
          <w:p w14:paraId="2BABD821"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32 518 400</w:t>
            </w:r>
          </w:p>
        </w:tc>
        <w:tc>
          <w:tcPr>
            <w:tcW w:w="1240" w:type="dxa"/>
            <w:hideMark/>
          </w:tcPr>
          <w:p w14:paraId="7A8F348A"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13 152 000</w:t>
            </w:r>
          </w:p>
        </w:tc>
      </w:tr>
      <w:tr w:rsidR="00DA0C45" w:rsidRPr="005B54EE" w14:paraId="3BEDE34C"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3473F0C8"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 xml:space="preserve">   Other multilateral climate change funds</w:t>
            </w:r>
            <w:r w:rsidRPr="005B54EE">
              <w:rPr>
                <w:rFonts w:ascii="Times New Roman" w:hAnsi="Times New Roman"/>
                <w:i/>
                <w:sz w:val="18"/>
                <w:vertAlign w:val="superscript"/>
              </w:rPr>
              <w:t>f</w:t>
            </w:r>
          </w:p>
        </w:tc>
        <w:tc>
          <w:tcPr>
            <w:tcW w:w="1420" w:type="dxa"/>
            <w:hideMark/>
          </w:tcPr>
          <w:p w14:paraId="5EE9051E"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2C762F49"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11 350 000</w:t>
            </w:r>
          </w:p>
        </w:tc>
        <w:tc>
          <w:tcPr>
            <w:tcW w:w="1600" w:type="dxa"/>
            <w:hideMark/>
          </w:tcPr>
          <w:p w14:paraId="4D00BFC3"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4 340 000</w:t>
            </w:r>
          </w:p>
        </w:tc>
        <w:tc>
          <w:tcPr>
            <w:tcW w:w="1240" w:type="dxa"/>
            <w:hideMark/>
          </w:tcPr>
          <w:p w14:paraId="30C9772E"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30 716 000</w:t>
            </w:r>
          </w:p>
        </w:tc>
      </w:tr>
      <w:tr w:rsidR="00DA0C45" w:rsidRPr="005B54EE" w14:paraId="18010925" w14:textId="77777777" w:rsidTr="00DA0C45">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3035AE4E" w14:textId="77777777" w:rsidR="00DA0C45" w:rsidRPr="005B54EE" w:rsidRDefault="00DA0C45" w:rsidP="00DA0C45">
            <w:pPr>
              <w:ind w:firstLineChars="100" w:firstLine="181"/>
              <w:jc w:val="left"/>
              <w:rPr>
                <w:rFonts w:ascii="Times New Roman" w:hAnsi="Times New Roman"/>
                <w:sz w:val="18"/>
                <w:szCs w:val="18"/>
              </w:rPr>
            </w:pPr>
            <w:r w:rsidRPr="005B54EE">
              <w:rPr>
                <w:rFonts w:ascii="Times New Roman" w:hAnsi="Times New Roman"/>
                <w:sz w:val="18"/>
              </w:rPr>
              <w:t>Multilateral financial institutions, including regional development banks</w:t>
            </w:r>
          </w:p>
        </w:tc>
        <w:tc>
          <w:tcPr>
            <w:tcW w:w="1420" w:type="dxa"/>
            <w:hideMark/>
          </w:tcPr>
          <w:p w14:paraId="166CBC0F"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18"/>
                <w:szCs w:val="18"/>
              </w:rPr>
            </w:pPr>
            <w:r w:rsidRPr="005B54EE">
              <w:rPr>
                <w:rFonts w:ascii="Times New Roman" w:hAnsi="Times New Roman"/>
                <w:color w:val="FF0000"/>
                <w:sz w:val="18"/>
              </w:rPr>
              <w:t> </w:t>
            </w:r>
          </w:p>
        </w:tc>
        <w:tc>
          <w:tcPr>
            <w:tcW w:w="1600" w:type="dxa"/>
            <w:hideMark/>
          </w:tcPr>
          <w:p w14:paraId="64773721"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70 137 364</w:t>
            </w:r>
          </w:p>
        </w:tc>
        <w:tc>
          <w:tcPr>
            <w:tcW w:w="1600" w:type="dxa"/>
            <w:hideMark/>
          </w:tcPr>
          <w:p w14:paraId="4C8AE938"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91 099 446</w:t>
            </w:r>
          </w:p>
        </w:tc>
        <w:tc>
          <w:tcPr>
            <w:tcW w:w="1240" w:type="dxa"/>
            <w:hideMark/>
          </w:tcPr>
          <w:p w14:paraId="0821E955"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0</w:t>
            </w:r>
          </w:p>
        </w:tc>
      </w:tr>
      <w:tr w:rsidR="00DA0C45" w:rsidRPr="005B54EE" w14:paraId="183A9F20" w14:textId="77777777" w:rsidTr="00DA0C45">
        <w:trPr>
          <w:trHeight w:val="48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7AC88ACF" w14:textId="77777777" w:rsidR="00DA0C45" w:rsidRPr="005B54EE" w:rsidRDefault="00DA0C45" w:rsidP="00DA0C45">
            <w:pPr>
              <w:jc w:val="left"/>
              <w:rPr>
                <w:rFonts w:ascii="Times New Roman" w:hAnsi="Times New Roman"/>
                <w:i/>
                <w:iCs/>
                <w:sz w:val="18"/>
                <w:szCs w:val="18"/>
              </w:rPr>
            </w:pPr>
            <w:r w:rsidRPr="005B54EE">
              <w:rPr>
                <w:rFonts w:ascii="Times New Roman" w:hAnsi="Times New Roman"/>
                <w:i/>
                <w:sz w:val="18"/>
              </w:rPr>
              <w:t>Total contributions through bilateral, regional and other channels</w:t>
            </w:r>
          </w:p>
        </w:tc>
        <w:tc>
          <w:tcPr>
            <w:tcW w:w="1420" w:type="dxa"/>
            <w:hideMark/>
          </w:tcPr>
          <w:p w14:paraId="7A821424"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6B4BAD79"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2 821 914 779</w:t>
            </w:r>
          </w:p>
        </w:tc>
        <w:tc>
          <w:tcPr>
            <w:tcW w:w="1600" w:type="dxa"/>
            <w:hideMark/>
          </w:tcPr>
          <w:p w14:paraId="514AF9A9"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1 840 040 308</w:t>
            </w:r>
          </w:p>
        </w:tc>
        <w:tc>
          <w:tcPr>
            <w:tcW w:w="1240" w:type="dxa"/>
            <w:hideMark/>
          </w:tcPr>
          <w:p w14:paraId="4458A83A"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108 387 150</w:t>
            </w:r>
          </w:p>
        </w:tc>
      </w:tr>
      <w:tr w:rsidR="00DA0C45" w:rsidRPr="005B54EE" w14:paraId="6C727410" w14:textId="77777777" w:rsidTr="00DA0C45">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1BF7513D"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Total climate specific by funding type (total for mitigation, adaptation, crosscutting)</w:t>
            </w:r>
          </w:p>
        </w:tc>
        <w:tc>
          <w:tcPr>
            <w:tcW w:w="1420" w:type="dxa"/>
            <w:hideMark/>
          </w:tcPr>
          <w:p w14:paraId="79F456FD"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1600" w:type="dxa"/>
            <w:hideMark/>
          </w:tcPr>
          <w:p w14:paraId="2DBA3334"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2 934 063 743</w:t>
            </w:r>
          </w:p>
        </w:tc>
        <w:tc>
          <w:tcPr>
            <w:tcW w:w="1600" w:type="dxa"/>
            <w:hideMark/>
          </w:tcPr>
          <w:p w14:paraId="5B4B1F24"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1 967 998 154</w:t>
            </w:r>
          </w:p>
        </w:tc>
        <w:tc>
          <w:tcPr>
            <w:tcW w:w="1240" w:type="dxa"/>
            <w:hideMark/>
          </w:tcPr>
          <w:p w14:paraId="6BF68C54" w14:textId="77777777" w:rsidR="00DA0C45" w:rsidRPr="005B54EE" w:rsidRDefault="00DA0C45" w:rsidP="00DA0C4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152 255 150</w:t>
            </w:r>
          </w:p>
        </w:tc>
      </w:tr>
      <w:tr w:rsidR="00DA0C45" w:rsidRPr="005B54EE" w14:paraId="11D0BD87" w14:textId="77777777" w:rsidTr="00DA0C45">
        <w:trPr>
          <w:trHeight w:val="300"/>
          <w:jc w:val="center"/>
        </w:trPr>
        <w:tc>
          <w:tcPr>
            <w:cnfStyle w:val="001000000000" w:firstRow="0" w:lastRow="0" w:firstColumn="1" w:lastColumn="0" w:oddVBand="0" w:evenVBand="0" w:oddHBand="0" w:evenHBand="0" w:firstRowFirstColumn="0" w:firstRowLastColumn="0" w:lastRowFirstColumn="0" w:lastRowLastColumn="0"/>
            <w:tcW w:w="4240" w:type="dxa"/>
            <w:hideMark/>
          </w:tcPr>
          <w:p w14:paraId="7DDB8C42"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Total climate specific finance</w:t>
            </w:r>
          </w:p>
        </w:tc>
        <w:tc>
          <w:tcPr>
            <w:tcW w:w="1420" w:type="dxa"/>
            <w:hideMark/>
          </w:tcPr>
          <w:p w14:paraId="6AA0C951" w14:textId="77777777" w:rsidR="00DA0C45" w:rsidRPr="005B54EE" w:rsidRDefault="00DA0C45" w:rsidP="00DA0C4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4440" w:type="dxa"/>
            <w:gridSpan w:val="3"/>
            <w:hideMark/>
          </w:tcPr>
          <w:p w14:paraId="355826AE"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18"/>
                <w:szCs w:val="18"/>
              </w:rPr>
            </w:pPr>
            <w:r w:rsidRPr="005B54EE">
              <w:rPr>
                <w:rFonts w:ascii="Times New Roman" w:hAnsi="Times New Roman"/>
                <w:b/>
                <w:sz w:val="18"/>
              </w:rPr>
              <w:t>5 054 317 047</w:t>
            </w:r>
          </w:p>
        </w:tc>
      </w:tr>
    </w:tbl>
    <w:p w14:paraId="0BD38EB9" w14:textId="72F5EFC0" w:rsidR="00DA0C45" w:rsidRPr="005B54EE" w:rsidRDefault="00DA0C45" w:rsidP="00DA0C45"/>
    <w:p w14:paraId="5FFB8ADD" w14:textId="305C1DB9" w:rsidR="00DA0C45" w:rsidRPr="005B54EE" w:rsidRDefault="00DA0C45" w:rsidP="00DA0C45"/>
    <w:tbl>
      <w:tblPr>
        <w:tblStyle w:val="ListTable4-Accent1"/>
        <w:tblW w:w="13320" w:type="dxa"/>
        <w:tblLook w:val="04A0" w:firstRow="1" w:lastRow="0" w:firstColumn="1" w:lastColumn="0" w:noHBand="0" w:noVBand="1"/>
      </w:tblPr>
      <w:tblGrid>
        <w:gridCol w:w="4240"/>
        <w:gridCol w:w="3020"/>
        <w:gridCol w:w="2840"/>
        <w:gridCol w:w="3220"/>
      </w:tblGrid>
      <w:tr w:rsidR="00DA0C45" w:rsidRPr="005B54EE" w14:paraId="245CAD92" w14:textId="77777777" w:rsidTr="00DA0C4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260" w:type="dxa"/>
            <w:gridSpan w:val="2"/>
            <w:vMerge w:val="restart"/>
            <w:hideMark/>
          </w:tcPr>
          <w:p w14:paraId="6E57ECE6"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Total climate specific by funding source (EUR)</w:t>
            </w:r>
          </w:p>
        </w:tc>
        <w:tc>
          <w:tcPr>
            <w:tcW w:w="6060" w:type="dxa"/>
            <w:gridSpan w:val="2"/>
            <w:vMerge w:val="restart"/>
            <w:hideMark/>
          </w:tcPr>
          <w:p w14:paraId="3E281FE7" w14:textId="77777777" w:rsidR="00DA0C45" w:rsidRPr="005B54EE" w:rsidRDefault="00DA0C45" w:rsidP="00DA0C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Total climate specific by financial instrument (MEUR)</w:t>
            </w:r>
          </w:p>
        </w:tc>
      </w:tr>
      <w:tr w:rsidR="00DA0C45" w:rsidRPr="005B54EE" w14:paraId="3F534DB4" w14:textId="77777777" w:rsidTr="00DA0C4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260" w:type="dxa"/>
            <w:gridSpan w:val="2"/>
            <w:vMerge/>
            <w:hideMark/>
          </w:tcPr>
          <w:p w14:paraId="127B8CEA" w14:textId="77777777" w:rsidR="00DA0C45" w:rsidRPr="005B54EE" w:rsidRDefault="00DA0C45" w:rsidP="00DA0C45">
            <w:pPr>
              <w:jc w:val="left"/>
              <w:rPr>
                <w:rFonts w:ascii="Times New Roman" w:hAnsi="Times New Roman"/>
                <w:sz w:val="18"/>
                <w:szCs w:val="18"/>
              </w:rPr>
            </w:pPr>
          </w:p>
        </w:tc>
        <w:tc>
          <w:tcPr>
            <w:tcW w:w="6060" w:type="dxa"/>
            <w:gridSpan w:val="2"/>
            <w:vMerge/>
            <w:hideMark/>
          </w:tcPr>
          <w:p w14:paraId="28D99C70" w14:textId="77777777" w:rsidR="00DA0C45" w:rsidRPr="005B54EE" w:rsidRDefault="00DA0C45" w:rsidP="00DA0C4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p>
        </w:tc>
      </w:tr>
      <w:tr w:rsidR="00DA0C45" w:rsidRPr="005B54EE" w14:paraId="1210BFCC" w14:textId="77777777" w:rsidTr="00DA0C45">
        <w:trPr>
          <w:trHeight w:val="300"/>
        </w:trPr>
        <w:tc>
          <w:tcPr>
            <w:cnfStyle w:val="001000000000" w:firstRow="0" w:lastRow="0" w:firstColumn="1" w:lastColumn="0" w:oddVBand="0" w:evenVBand="0" w:oddHBand="0" w:evenHBand="0" w:firstRowFirstColumn="0" w:firstRowLastColumn="0" w:lastRowFirstColumn="0" w:lastRowLastColumn="0"/>
            <w:tcW w:w="4240" w:type="dxa"/>
            <w:hideMark/>
          </w:tcPr>
          <w:p w14:paraId="79D8C422"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ODA</w:t>
            </w:r>
          </w:p>
        </w:tc>
        <w:tc>
          <w:tcPr>
            <w:tcW w:w="3020" w:type="dxa"/>
            <w:noWrap/>
            <w:hideMark/>
          </w:tcPr>
          <w:p w14:paraId="0BE95313"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287 705 390</w:t>
            </w:r>
          </w:p>
        </w:tc>
        <w:tc>
          <w:tcPr>
            <w:tcW w:w="2840" w:type="dxa"/>
            <w:hideMark/>
          </w:tcPr>
          <w:p w14:paraId="1124CA29"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Grant</w:t>
            </w:r>
          </w:p>
        </w:tc>
        <w:tc>
          <w:tcPr>
            <w:tcW w:w="3220" w:type="dxa"/>
            <w:noWrap/>
            <w:hideMark/>
          </w:tcPr>
          <w:p w14:paraId="4B6C3A98"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284 290 458</w:t>
            </w:r>
          </w:p>
        </w:tc>
      </w:tr>
      <w:tr w:rsidR="00DA0C45" w:rsidRPr="005B54EE" w14:paraId="7170EBBA" w14:textId="77777777" w:rsidTr="00DA0C4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240" w:type="dxa"/>
            <w:hideMark/>
          </w:tcPr>
          <w:p w14:paraId="279AC223"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OOF</w:t>
            </w:r>
          </w:p>
        </w:tc>
        <w:tc>
          <w:tcPr>
            <w:tcW w:w="3020" w:type="dxa"/>
            <w:noWrap/>
            <w:hideMark/>
          </w:tcPr>
          <w:p w14:paraId="77168810"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1 039 762</w:t>
            </w:r>
          </w:p>
        </w:tc>
        <w:tc>
          <w:tcPr>
            <w:tcW w:w="2840" w:type="dxa"/>
            <w:hideMark/>
          </w:tcPr>
          <w:p w14:paraId="366EB55D"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Concessional loan</w:t>
            </w:r>
          </w:p>
        </w:tc>
        <w:tc>
          <w:tcPr>
            <w:tcW w:w="3220" w:type="dxa"/>
            <w:hideMark/>
          </w:tcPr>
          <w:p w14:paraId="50308BD3"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3 657 665</w:t>
            </w:r>
          </w:p>
        </w:tc>
      </w:tr>
      <w:tr w:rsidR="00DA0C45" w:rsidRPr="005B54EE" w14:paraId="2AEAE48C" w14:textId="77777777" w:rsidTr="00DA0C45">
        <w:trPr>
          <w:trHeight w:val="300"/>
        </w:trPr>
        <w:tc>
          <w:tcPr>
            <w:cnfStyle w:val="001000000000" w:firstRow="0" w:lastRow="0" w:firstColumn="1" w:lastColumn="0" w:oddVBand="0" w:evenVBand="0" w:oddHBand="0" w:evenHBand="0" w:firstRowFirstColumn="0" w:firstRowLastColumn="0" w:lastRowFirstColumn="0" w:lastRowLastColumn="0"/>
            <w:tcW w:w="4240" w:type="dxa"/>
            <w:hideMark/>
          </w:tcPr>
          <w:p w14:paraId="141022C1" w14:textId="77777777" w:rsidR="00DA0C45" w:rsidRPr="005B54EE" w:rsidRDefault="00DA0C45" w:rsidP="00DA0C45">
            <w:pPr>
              <w:jc w:val="center"/>
              <w:rPr>
                <w:rFonts w:ascii="Times New Roman" w:hAnsi="Times New Roman"/>
                <w:sz w:val="18"/>
                <w:szCs w:val="18"/>
              </w:rPr>
            </w:pPr>
            <w:r w:rsidRPr="005B54EE">
              <w:rPr>
                <w:rFonts w:ascii="Times New Roman" w:hAnsi="Times New Roman"/>
                <w:sz w:val="18"/>
              </w:rPr>
              <w:t> </w:t>
            </w:r>
          </w:p>
        </w:tc>
        <w:tc>
          <w:tcPr>
            <w:tcW w:w="3020" w:type="dxa"/>
            <w:noWrap/>
            <w:hideMark/>
          </w:tcPr>
          <w:p w14:paraId="4A11F40B"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rPr>
            </w:pPr>
            <w:r w:rsidRPr="005B54EE">
              <w:rPr>
                <w:rFonts w:ascii="Times New Roman" w:hAnsi="Times New Roman"/>
              </w:rPr>
              <w:t> </w:t>
            </w:r>
          </w:p>
        </w:tc>
        <w:tc>
          <w:tcPr>
            <w:tcW w:w="2840" w:type="dxa"/>
            <w:hideMark/>
          </w:tcPr>
          <w:p w14:paraId="2DCC3119"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Non-concessional loan</w:t>
            </w:r>
          </w:p>
        </w:tc>
        <w:tc>
          <w:tcPr>
            <w:tcW w:w="3220" w:type="dxa"/>
            <w:noWrap/>
            <w:hideMark/>
          </w:tcPr>
          <w:p w14:paraId="0D846387" w14:textId="77777777" w:rsidR="00DA0C45" w:rsidRPr="005B54EE" w:rsidRDefault="00DA0C45" w:rsidP="00DA0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0</w:t>
            </w:r>
          </w:p>
        </w:tc>
      </w:tr>
      <w:tr w:rsidR="00DA0C45" w:rsidRPr="005B54EE" w14:paraId="3194B780" w14:textId="77777777" w:rsidTr="00DA0C45">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240" w:type="dxa"/>
            <w:noWrap/>
            <w:hideMark/>
          </w:tcPr>
          <w:p w14:paraId="104E92AC" w14:textId="77777777" w:rsidR="00DA0C45" w:rsidRPr="005B54EE" w:rsidRDefault="00DA0C45" w:rsidP="00DA0C45">
            <w:pPr>
              <w:jc w:val="left"/>
              <w:rPr>
                <w:rFonts w:ascii="Times New Roman" w:hAnsi="Times New Roman"/>
                <w:sz w:val="18"/>
                <w:szCs w:val="18"/>
              </w:rPr>
            </w:pPr>
            <w:r w:rsidRPr="005B54EE">
              <w:rPr>
                <w:rFonts w:ascii="Times New Roman" w:hAnsi="Times New Roman"/>
                <w:sz w:val="18"/>
              </w:rPr>
              <w:t> </w:t>
            </w:r>
          </w:p>
        </w:tc>
        <w:tc>
          <w:tcPr>
            <w:tcW w:w="3020" w:type="dxa"/>
            <w:hideMark/>
          </w:tcPr>
          <w:p w14:paraId="315D92B9"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 </w:t>
            </w:r>
          </w:p>
        </w:tc>
        <w:tc>
          <w:tcPr>
            <w:tcW w:w="2840" w:type="dxa"/>
            <w:noWrap/>
            <w:hideMark/>
          </w:tcPr>
          <w:p w14:paraId="6DD28C8F"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Other</w:t>
            </w:r>
          </w:p>
        </w:tc>
        <w:tc>
          <w:tcPr>
            <w:tcW w:w="3220" w:type="dxa"/>
            <w:noWrap/>
            <w:hideMark/>
          </w:tcPr>
          <w:p w14:paraId="4167437C" w14:textId="77777777" w:rsidR="00DA0C45" w:rsidRPr="005B54EE" w:rsidRDefault="00DA0C45" w:rsidP="00DA0C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B54EE">
              <w:rPr>
                <w:rFonts w:ascii="Times New Roman" w:hAnsi="Times New Roman"/>
                <w:sz w:val="18"/>
              </w:rPr>
              <w:t>174 989</w:t>
            </w:r>
          </w:p>
        </w:tc>
      </w:tr>
    </w:tbl>
    <w:p w14:paraId="58ED1F91" w14:textId="77777777" w:rsidR="00DA0C45" w:rsidRPr="005B54EE" w:rsidRDefault="00DA0C45" w:rsidP="00DA0C45"/>
    <w:p w14:paraId="61E8FB1A" w14:textId="77777777" w:rsidR="00DA0C45" w:rsidRPr="005B54EE" w:rsidRDefault="00DA0C45" w:rsidP="00DA0C45"/>
    <w:p w14:paraId="61E53417" w14:textId="50EC5924" w:rsidR="001808DF" w:rsidRPr="005B54EE" w:rsidRDefault="001808DF" w:rsidP="001808DF">
      <w:pPr>
        <w:pStyle w:val="Caption"/>
      </w:pPr>
      <w:bookmarkStart w:id="266" w:name="_Toc124153751"/>
      <w:r w:rsidRPr="005B54EE">
        <w:t xml:space="preserve">Table </w:t>
      </w:r>
      <w:r w:rsidR="00C73940">
        <w:fldChar w:fldCharType="begin"/>
      </w:r>
      <w:r w:rsidR="00C73940">
        <w:instrText xml:space="preserve"> SEQ Tableau \* ARABIC </w:instrText>
      </w:r>
      <w:r w:rsidR="00C73940">
        <w:fldChar w:fldCharType="separate"/>
      </w:r>
      <w:r w:rsidR="005B1C45">
        <w:rPr>
          <w:noProof/>
        </w:rPr>
        <w:t>37</w:t>
      </w:r>
      <w:r w:rsidR="00C73940">
        <w:rPr>
          <w:noProof/>
        </w:rPr>
        <w:fldChar w:fldCharType="end"/>
      </w:r>
      <w:r w:rsidRPr="005B54EE">
        <w:t>: Table CTF 7a - Summary of multilateral financial support to developing countries in 2019</w:t>
      </w:r>
      <w:bookmarkEnd w:id="266"/>
    </w:p>
    <w:p w14:paraId="5B438C01" w14:textId="6F018658" w:rsidR="001808DF" w:rsidRPr="005B54EE" w:rsidRDefault="001808DF" w:rsidP="001808DF"/>
    <w:tbl>
      <w:tblPr>
        <w:tblStyle w:val="GridTable5Dark-Accent1"/>
        <w:tblW w:w="12905" w:type="dxa"/>
        <w:tblLook w:val="04A0" w:firstRow="1" w:lastRow="0" w:firstColumn="1" w:lastColumn="0" w:noHBand="0" w:noVBand="1"/>
      </w:tblPr>
      <w:tblGrid>
        <w:gridCol w:w="1856"/>
        <w:gridCol w:w="1504"/>
        <w:gridCol w:w="1251"/>
        <w:gridCol w:w="1251"/>
        <w:gridCol w:w="1161"/>
        <w:gridCol w:w="1341"/>
        <w:gridCol w:w="898"/>
        <w:gridCol w:w="976"/>
        <w:gridCol w:w="1016"/>
        <w:gridCol w:w="853"/>
        <w:gridCol w:w="798"/>
      </w:tblGrid>
      <w:tr w:rsidR="001808DF" w:rsidRPr="005B54EE" w14:paraId="43E42C08" w14:textId="77777777" w:rsidTr="001808DF">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528" w:type="dxa"/>
            <w:vMerge w:val="restart"/>
            <w:hideMark/>
          </w:tcPr>
          <w:p w14:paraId="33E42133" w14:textId="77777777" w:rsidR="001808DF" w:rsidRPr="005B54EE" w:rsidRDefault="001808DF" w:rsidP="001808DF">
            <w:pPr>
              <w:jc w:val="center"/>
              <w:rPr>
                <w:rFonts w:ascii="Times New Roman" w:hAnsi="Times New Roman"/>
                <w:i/>
                <w:iCs/>
                <w:color w:val="000000"/>
                <w:sz w:val="18"/>
                <w:szCs w:val="18"/>
              </w:rPr>
            </w:pPr>
            <w:r w:rsidRPr="005B54EE">
              <w:rPr>
                <w:rFonts w:ascii="Times New Roman" w:hAnsi="Times New Roman"/>
                <w:i/>
                <w:color w:val="000000"/>
                <w:sz w:val="18"/>
              </w:rPr>
              <w:t>Allocation channels</w:t>
            </w:r>
          </w:p>
        </w:tc>
        <w:tc>
          <w:tcPr>
            <w:tcW w:w="10377" w:type="dxa"/>
            <w:gridSpan w:val="10"/>
            <w:hideMark/>
          </w:tcPr>
          <w:p w14:paraId="51DA6F14" w14:textId="0CBF67C4"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Year 2019</w:t>
            </w:r>
          </w:p>
        </w:tc>
      </w:tr>
      <w:tr w:rsidR="001808DF" w:rsidRPr="005B54EE" w14:paraId="6D9A565F" w14:textId="77777777" w:rsidTr="001808D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528" w:type="dxa"/>
            <w:vMerge/>
            <w:hideMark/>
          </w:tcPr>
          <w:p w14:paraId="2379F99D" w14:textId="77777777" w:rsidR="001808DF" w:rsidRPr="005B54EE" w:rsidRDefault="001808DF" w:rsidP="001808DF">
            <w:pPr>
              <w:jc w:val="left"/>
              <w:rPr>
                <w:rFonts w:ascii="Times New Roman" w:hAnsi="Times New Roman"/>
                <w:i/>
                <w:iCs/>
                <w:color w:val="000000"/>
                <w:sz w:val="18"/>
                <w:szCs w:val="18"/>
              </w:rPr>
            </w:pPr>
          </w:p>
        </w:tc>
        <w:tc>
          <w:tcPr>
            <w:tcW w:w="5579" w:type="dxa"/>
            <w:gridSpan w:val="5"/>
            <w:hideMark/>
          </w:tcPr>
          <w:p w14:paraId="1969B32F"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European euro - EUR</w:t>
            </w:r>
          </w:p>
        </w:tc>
        <w:tc>
          <w:tcPr>
            <w:tcW w:w="4798" w:type="dxa"/>
            <w:gridSpan w:val="5"/>
            <w:hideMark/>
          </w:tcPr>
          <w:p w14:paraId="070BDFEE"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USD</w:t>
            </w:r>
            <w:r w:rsidRPr="005B54EE">
              <w:rPr>
                <w:rFonts w:ascii="Times New Roman" w:hAnsi="Times New Roman"/>
                <w:i/>
                <w:color w:val="000000"/>
                <w:sz w:val="18"/>
                <w:vertAlign w:val="superscript"/>
              </w:rPr>
              <w:t>b</w:t>
            </w:r>
          </w:p>
        </w:tc>
      </w:tr>
      <w:tr w:rsidR="001808DF" w:rsidRPr="005B54EE" w14:paraId="278C8147"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2528" w:type="dxa"/>
            <w:vMerge/>
            <w:hideMark/>
          </w:tcPr>
          <w:p w14:paraId="54F05B18" w14:textId="77777777" w:rsidR="001808DF" w:rsidRPr="005B54EE" w:rsidRDefault="001808DF" w:rsidP="001808DF">
            <w:pPr>
              <w:jc w:val="left"/>
              <w:rPr>
                <w:rFonts w:ascii="Times New Roman" w:hAnsi="Times New Roman"/>
                <w:i/>
                <w:iCs/>
                <w:color w:val="000000"/>
                <w:sz w:val="18"/>
                <w:szCs w:val="18"/>
              </w:rPr>
            </w:pPr>
          </w:p>
        </w:tc>
        <w:tc>
          <w:tcPr>
            <w:tcW w:w="1710" w:type="dxa"/>
            <w:vMerge w:val="restart"/>
            <w:hideMark/>
          </w:tcPr>
          <w:p w14:paraId="23E386CE"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Core/ general</w:t>
            </w:r>
            <w:r w:rsidRPr="005B54EE">
              <w:rPr>
                <w:rFonts w:ascii="Times New Roman" w:hAnsi="Times New Roman"/>
                <w:i/>
                <w:color w:val="000000"/>
                <w:sz w:val="18"/>
                <w:vertAlign w:val="superscript"/>
              </w:rPr>
              <w:t>c, 1</w:t>
            </w:r>
          </w:p>
        </w:tc>
        <w:tc>
          <w:tcPr>
            <w:tcW w:w="3868" w:type="dxa"/>
            <w:gridSpan w:val="4"/>
            <w:hideMark/>
          </w:tcPr>
          <w:p w14:paraId="6AB75391"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Climate-specific</w:t>
            </w:r>
            <w:r w:rsidRPr="005B54EE">
              <w:rPr>
                <w:rFonts w:ascii="Times New Roman" w:hAnsi="Times New Roman"/>
                <w:i/>
                <w:color w:val="000000"/>
                <w:sz w:val="18"/>
                <w:vertAlign w:val="superscript"/>
              </w:rPr>
              <w:t>d, 2</w:t>
            </w:r>
          </w:p>
        </w:tc>
        <w:tc>
          <w:tcPr>
            <w:tcW w:w="959" w:type="dxa"/>
            <w:vMerge w:val="restart"/>
            <w:hideMark/>
          </w:tcPr>
          <w:p w14:paraId="160DCD80"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Core/ general</w:t>
            </w:r>
            <w:r w:rsidRPr="005B54EE">
              <w:rPr>
                <w:rFonts w:ascii="Times New Roman" w:hAnsi="Times New Roman"/>
                <w:i/>
                <w:color w:val="000000"/>
                <w:sz w:val="18"/>
                <w:vertAlign w:val="superscript"/>
              </w:rPr>
              <w:t>c, 1</w:t>
            </w:r>
          </w:p>
        </w:tc>
        <w:tc>
          <w:tcPr>
            <w:tcW w:w="3838" w:type="dxa"/>
            <w:gridSpan w:val="4"/>
            <w:hideMark/>
          </w:tcPr>
          <w:p w14:paraId="2A916997"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Climate-specific</w:t>
            </w:r>
            <w:r w:rsidRPr="005B54EE">
              <w:rPr>
                <w:rFonts w:ascii="Times New Roman" w:hAnsi="Times New Roman"/>
                <w:i/>
                <w:color w:val="000000"/>
                <w:sz w:val="18"/>
                <w:vertAlign w:val="superscript"/>
              </w:rPr>
              <w:t>d, 2</w:t>
            </w:r>
          </w:p>
        </w:tc>
      </w:tr>
      <w:tr w:rsidR="001808DF" w:rsidRPr="005B54EE" w14:paraId="219447D7" w14:textId="77777777" w:rsidTr="001808D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528" w:type="dxa"/>
            <w:vMerge/>
            <w:hideMark/>
          </w:tcPr>
          <w:p w14:paraId="544835D7" w14:textId="77777777" w:rsidR="001808DF" w:rsidRPr="005B54EE" w:rsidRDefault="001808DF" w:rsidP="001808DF">
            <w:pPr>
              <w:jc w:val="left"/>
              <w:rPr>
                <w:rFonts w:ascii="Times New Roman" w:hAnsi="Times New Roman"/>
                <w:i/>
                <w:iCs/>
                <w:color w:val="000000"/>
                <w:sz w:val="18"/>
                <w:szCs w:val="18"/>
              </w:rPr>
            </w:pPr>
          </w:p>
        </w:tc>
        <w:tc>
          <w:tcPr>
            <w:tcW w:w="1710" w:type="dxa"/>
            <w:vMerge/>
            <w:hideMark/>
          </w:tcPr>
          <w:p w14:paraId="71466A0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962" w:type="dxa"/>
            <w:hideMark/>
          </w:tcPr>
          <w:p w14:paraId="355E37C1"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Mitigation</w:t>
            </w:r>
          </w:p>
        </w:tc>
        <w:tc>
          <w:tcPr>
            <w:tcW w:w="962" w:type="dxa"/>
            <w:hideMark/>
          </w:tcPr>
          <w:p w14:paraId="7A8DBD5A"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Adaptation</w:t>
            </w:r>
          </w:p>
        </w:tc>
        <w:tc>
          <w:tcPr>
            <w:tcW w:w="962" w:type="dxa"/>
            <w:hideMark/>
          </w:tcPr>
          <w:p w14:paraId="2AA62886"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Cross-cutting</w:t>
            </w:r>
            <w:r w:rsidRPr="005B54EE">
              <w:rPr>
                <w:rFonts w:ascii="Times New Roman" w:hAnsi="Times New Roman"/>
                <w:i/>
                <w:color w:val="000000"/>
                <w:sz w:val="18"/>
                <w:vertAlign w:val="superscript"/>
              </w:rPr>
              <w:t>e</w:t>
            </w:r>
          </w:p>
        </w:tc>
        <w:tc>
          <w:tcPr>
            <w:tcW w:w="982" w:type="dxa"/>
            <w:hideMark/>
          </w:tcPr>
          <w:p w14:paraId="436D55DA"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Other</w:t>
            </w:r>
            <w:r w:rsidRPr="005B54EE">
              <w:rPr>
                <w:rFonts w:ascii="Times New Roman" w:hAnsi="Times New Roman"/>
                <w:i/>
                <w:color w:val="000000"/>
                <w:sz w:val="18"/>
                <w:vertAlign w:val="superscript"/>
              </w:rPr>
              <w:t>f</w:t>
            </w:r>
          </w:p>
        </w:tc>
        <w:tc>
          <w:tcPr>
            <w:tcW w:w="959" w:type="dxa"/>
            <w:vMerge/>
            <w:hideMark/>
          </w:tcPr>
          <w:p w14:paraId="5483566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960" w:type="dxa"/>
            <w:hideMark/>
          </w:tcPr>
          <w:p w14:paraId="4D9573F8"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Mitigation</w:t>
            </w:r>
          </w:p>
        </w:tc>
        <w:tc>
          <w:tcPr>
            <w:tcW w:w="960" w:type="dxa"/>
            <w:hideMark/>
          </w:tcPr>
          <w:p w14:paraId="798EDBCA"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Adaptation</w:t>
            </w:r>
          </w:p>
        </w:tc>
        <w:tc>
          <w:tcPr>
            <w:tcW w:w="958" w:type="dxa"/>
            <w:hideMark/>
          </w:tcPr>
          <w:p w14:paraId="7892C765"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Cross-cutting</w:t>
            </w:r>
            <w:r w:rsidRPr="005B54EE">
              <w:rPr>
                <w:rFonts w:ascii="Times New Roman" w:hAnsi="Times New Roman"/>
                <w:i/>
                <w:color w:val="000000"/>
                <w:sz w:val="18"/>
                <w:vertAlign w:val="superscript"/>
              </w:rPr>
              <w:t>e</w:t>
            </w:r>
          </w:p>
        </w:tc>
        <w:tc>
          <w:tcPr>
            <w:tcW w:w="958" w:type="dxa"/>
            <w:hideMark/>
          </w:tcPr>
          <w:p w14:paraId="31F86700"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Other</w:t>
            </w:r>
            <w:r w:rsidRPr="005B54EE">
              <w:rPr>
                <w:rFonts w:ascii="Times New Roman" w:hAnsi="Times New Roman"/>
                <w:i/>
                <w:color w:val="000000"/>
                <w:sz w:val="18"/>
                <w:vertAlign w:val="superscript"/>
              </w:rPr>
              <w:t>f</w:t>
            </w:r>
          </w:p>
        </w:tc>
      </w:tr>
      <w:tr w:rsidR="001808DF" w:rsidRPr="005B54EE" w14:paraId="71A8038B"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2528" w:type="dxa"/>
            <w:hideMark/>
          </w:tcPr>
          <w:p w14:paraId="5094B89B" w14:textId="77777777" w:rsidR="001808DF" w:rsidRPr="005B54EE" w:rsidRDefault="001808DF" w:rsidP="001808DF">
            <w:pPr>
              <w:jc w:val="left"/>
              <w:rPr>
                <w:rFonts w:ascii="Times New Roman" w:hAnsi="Times New Roman"/>
                <w:i/>
                <w:iCs/>
                <w:color w:val="000000"/>
                <w:sz w:val="18"/>
                <w:szCs w:val="18"/>
              </w:rPr>
            </w:pPr>
            <w:r w:rsidRPr="005B54EE">
              <w:rPr>
                <w:rFonts w:ascii="Times New Roman" w:hAnsi="Times New Roman"/>
                <w:i/>
                <w:color w:val="000000"/>
                <w:sz w:val="18"/>
              </w:rPr>
              <w:t>Total contributions through multilateral channels:</w:t>
            </w:r>
          </w:p>
        </w:tc>
        <w:tc>
          <w:tcPr>
            <w:tcW w:w="1710" w:type="dxa"/>
            <w:hideMark/>
          </w:tcPr>
          <w:p w14:paraId="747AE04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493,530,000.00</w:t>
            </w:r>
          </w:p>
        </w:tc>
        <w:tc>
          <w:tcPr>
            <w:tcW w:w="962" w:type="dxa"/>
            <w:hideMark/>
          </w:tcPr>
          <w:p w14:paraId="28FC13E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11,350,000.00</w:t>
            </w:r>
          </w:p>
        </w:tc>
        <w:tc>
          <w:tcPr>
            <w:tcW w:w="962" w:type="dxa"/>
            <w:hideMark/>
          </w:tcPr>
          <w:p w14:paraId="6994A9F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20,970,000.00</w:t>
            </w:r>
          </w:p>
        </w:tc>
        <w:tc>
          <w:tcPr>
            <w:tcW w:w="962" w:type="dxa"/>
            <w:hideMark/>
          </w:tcPr>
          <w:p w14:paraId="074A084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7,060,000.00</w:t>
            </w:r>
          </w:p>
        </w:tc>
        <w:tc>
          <w:tcPr>
            <w:tcW w:w="982" w:type="dxa"/>
            <w:hideMark/>
          </w:tcPr>
          <w:p w14:paraId="3E2D776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367,770,000.00</w:t>
            </w:r>
          </w:p>
        </w:tc>
        <w:tc>
          <w:tcPr>
            <w:tcW w:w="959" w:type="dxa"/>
            <w:hideMark/>
          </w:tcPr>
          <w:p w14:paraId="714B30F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6CA25F8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2C388CC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107C643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0F1D49E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r w:rsidR="001808DF" w:rsidRPr="005B54EE" w14:paraId="2258AD56" w14:textId="77777777" w:rsidTr="001808D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528" w:type="dxa"/>
            <w:hideMark/>
          </w:tcPr>
          <w:p w14:paraId="559CDE4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color w:val="000000"/>
                <w:sz w:val="18"/>
              </w:rPr>
              <w:t>Multilateral climate change funds</w:t>
            </w:r>
            <w:r w:rsidRPr="005B54EE">
              <w:rPr>
                <w:rFonts w:ascii="Times New Roman" w:hAnsi="Times New Roman"/>
                <w:i/>
                <w:color w:val="000000"/>
                <w:sz w:val="18"/>
                <w:vertAlign w:val="superscript"/>
              </w:rPr>
              <w:t>g</w:t>
            </w:r>
          </w:p>
        </w:tc>
        <w:tc>
          <w:tcPr>
            <w:tcW w:w="1710" w:type="dxa"/>
            <w:hideMark/>
          </w:tcPr>
          <w:p w14:paraId="7E087AD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2" w:type="dxa"/>
            <w:hideMark/>
          </w:tcPr>
          <w:p w14:paraId="265DB8F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11,350,000.00</w:t>
            </w:r>
          </w:p>
        </w:tc>
        <w:tc>
          <w:tcPr>
            <w:tcW w:w="962" w:type="dxa"/>
            <w:hideMark/>
          </w:tcPr>
          <w:p w14:paraId="748E99F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15,960,000.00</w:t>
            </w:r>
          </w:p>
        </w:tc>
        <w:tc>
          <w:tcPr>
            <w:tcW w:w="962" w:type="dxa"/>
            <w:hideMark/>
          </w:tcPr>
          <w:p w14:paraId="1DB4E98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7,060,000.00</w:t>
            </w:r>
          </w:p>
        </w:tc>
        <w:tc>
          <w:tcPr>
            <w:tcW w:w="982" w:type="dxa"/>
            <w:hideMark/>
          </w:tcPr>
          <w:p w14:paraId="406FA96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203,500,000.00</w:t>
            </w:r>
          </w:p>
        </w:tc>
        <w:tc>
          <w:tcPr>
            <w:tcW w:w="959" w:type="dxa"/>
            <w:hideMark/>
          </w:tcPr>
          <w:p w14:paraId="16C2813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3EE4596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5945806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5A5BE90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130783D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r w:rsidR="001808DF" w:rsidRPr="005B54EE" w14:paraId="3618F642"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2528" w:type="dxa"/>
            <w:hideMark/>
          </w:tcPr>
          <w:p w14:paraId="3EFE8FDD" w14:textId="77777777" w:rsidR="001808DF" w:rsidRPr="005B54EE" w:rsidRDefault="001808DF" w:rsidP="001808DF">
            <w:pPr>
              <w:jc w:val="left"/>
              <w:rPr>
                <w:rFonts w:ascii="Times New Roman" w:hAnsi="Times New Roman"/>
                <w:color w:val="000000"/>
                <w:sz w:val="18"/>
                <w:szCs w:val="18"/>
              </w:rPr>
            </w:pPr>
            <w:r w:rsidRPr="005B54EE">
              <w:rPr>
                <w:rFonts w:ascii="Times New Roman" w:hAnsi="Times New Roman"/>
                <w:color w:val="000000"/>
                <w:sz w:val="18"/>
              </w:rPr>
              <w:t xml:space="preserve">         Other multilateral climate change funds</w:t>
            </w:r>
            <w:r w:rsidRPr="005B54EE">
              <w:rPr>
                <w:rFonts w:ascii="Times New Roman" w:hAnsi="Times New Roman"/>
                <w:i/>
                <w:color w:val="000000"/>
                <w:sz w:val="18"/>
                <w:vertAlign w:val="superscript"/>
              </w:rPr>
              <w:t>h</w:t>
            </w:r>
          </w:p>
        </w:tc>
        <w:tc>
          <w:tcPr>
            <w:tcW w:w="1710" w:type="dxa"/>
            <w:hideMark/>
          </w:tcPr>
          <w:p w14:paraId="46E1E00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2" w:type="dxa"/>
            <w:hideMark/>
          </w:tcPr>
          <w:p w14:paraId="625C8F6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11,350,000.00</w:t>
            </w:r>
          </w:p>
        </w:tc>
        <w:tc>
          <w:tcPr>
            <w:tcW w:w="962" w:type="dxa"/>
            <w:hideMark/>
          </w:tcPr>
          <w:p w14:paraId="13F7912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3,460,000.00</w:t>
            </w:r>
          </w:p>
        </w:tc>
        <w:tc>
          <w:tcPr>
            <w:tcW w:w="962" w:type="dxa"/>
            <w:hideMark/>
          </w:tcPr>
          <w:p w14:paraId="1B89753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7,060,000.00</w:t>
            </w:r>
          </w:p>
        </w:tc>
        <w:tc>
          <w:tcPr>
            <w:tcW w:w="982" w:type="dxa"/>
            <w:hideMark/>
          </w:tcPr>
          <w:p w14:paraId="0362A13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9" w:type="dxa"/>
            <w:hideMark/>
          </w:tcPr>
          <w:p w14:paraId="79CF737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268DE78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2CF75E7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28F0A95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339D56D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r w:rsidR="001808DF" w:rsidRPr="005B54EE" w14:paraId="1BF897FA" w14:textId="77777777" w:rsidTr="001808DF">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2528" w:type="dxa"/>
            <w:hideMark/>
          </w:tcPr>
          <w:p w14:paraId="76AC036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color w:val="000000"/>
                <w:sz w:val="18"/>
              </w:rPr>
              <w:t>Multilateral financial institutions, including regional development banks</w:t>
            </w:r>
          </w:p>
        </w:tc>
        <w:tc>
          <w:tcPr>
            <w:tcW w:w="1710" w:type="dxa"/>
            <w:hideMark/>
          </w:tcPr>
          <w:p w14:paraId="400ADCC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493,530,000.00</w:t>
            </w:r>
          </w:p>
        </w:tc>
        <w:tc>
          <w:tcPr>
            <w:tcW w:w="962" w:type="dxa"/>
            <w:hideMark/>
          </w:tcPr>
          <w:p w14:paraId="7BC3D89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2" w:type="dxa"/>
            <w:hideMark/>
          </w:tcPr>
          <w:p w14:paraId="2359EC9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5,010,000.00</w:t>
            </w:r>
          </w:p>
        </w:tc>
        <w:tc>
          <w:tcPr>
            <w:tcW w:w="962" w:type="dxa"/>
            <w:hideMark/>
          </w:tcPr>
          <w:p w14:paraId="4BD5D92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2" w:type="dxa"/>
            <w:hideMark/>
          </w:tcPr>
          <w:p w14:paraId="65F9BDB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164,270,000.00</w:t>
            </w:r>
          </w:p>
        </w:tc>
        <w:tc>
          <w:tcPr>
            <w:tcW w:w="959" w:type="dxa"/>
            <w:hideMark/>
          </w:tcPr>
          <w:p w14:paraId="38F0B11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04C6600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495EA78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4F4D248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5D803ED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r w:rsidR="001808DF" w:rsidRPr="005B54EE" w14:paraId="14262CF2"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2528" w:type="dxa"/>
            <w:hideMark/>
          </w:tcPr>
          <w:p w14:paraId="2AEB16AE" w14:textId="77777777" w:rsidR="001808DF" w:rsidRPr="005B54EE" w:rsidRDefault="001808DF" w:rsidP="001808DF">
            <w:pPr>
              <w:jc w:val="left"/>
              <w:rPr>
                <w:rFonts w:ascii="Times New Roman" w:hAnsi="Times New Roman"/>
                <w:color w:val="000000"/>
                <w:sz w:val="18"/>
                <w:szCs w:val="18"/>
              </w:rPr>
            </w:pPr>
            <w:r w:rsidRPr="005B54EE">
              <w:rPr>
                <w:rFonts w:ascii="Times New Roman" w:hAnsi="Times New Roman"/>
                <w:color w:val="000000"/>
                <w:sz w:val="18"/>
              </w:rPr>
              <w:t xml:space="preserve">   Specialized United Nations bodies</w:t>
            </w:r>
          </w:p>
        </w:tc>
        <w:tc>
          <w:tcPr>
            <w:tcW w:w="1710" w:type="dxa"/>
            <w:hideMark/>
          </w:tcPr>
          <w:p w14:paraId="17D1E84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2" w:type="dxa"/>
            <w:hideMark/>
          </w:tcPr>
          <w:p w14:paraId="6AC8C82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2" w:type="dxa"/>
            <w:hideMark/>
          </w:tcPr>
          <w:p w14:paraId="33B4652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2" w:type="dxa"/>
            <w:hideMark/>
          </w:tcPr>
          <w:p w14:paraId="2A98635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2" w:type="dxa"/>
            <w:hideMark/>
          </w:tcPr>
          <w:p w14:paraId="33284EA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9" w:type="dxa"/>
            <w:hideMark/>
          </w:tcPr>
          <w:p w14:paraId="2C5E708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3E0EC6C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57ED7A5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4C7A591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0CB8447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r w:rsidR="001808DF" w:rsidRPr="005B54EE" w14:paraId="70388491" w14:textId="77777777" w:rsidTr="001808DF">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2528" w:type="dxa"/>
            <w:hideMark/>
          </w:tcPr>
          <w:p w14:paraId="1796F27E" w14:textId="77777777" w:rsidR="001808DF" w:rsidRPr="005B54EE" w:rsidRDefault="001808DF" w:rsidP="001808DF">
            <w:pPr>
              <w:jc w:val="left"/>
              <w:rPr>
                <w:rFonts w:ascii="Times New Roman" w:hAnsi="Times New Roman"/>
                <w:i/>
                <w:iCs/>
                <w:color w:val="000000"/>
                <w:sz w:val="18"/>
                <w:szCs w:val="18"/>
              </w:rPr>
            </w:pPr>
            <w:r w:rsidRPr="005B54EE">
              <w:rPr>
                <w:rFonts w:ascii="Times New Roman" w:hAnsi="Times New Roman"/>
                <w:i/>
                <w:color w:val="000000"/>
                <w:sz w:val="18"/>
              </w:rPr>
              <w:t>Total contributions through bilateral, regional and other channels</w:t>
            </w:r>
          </w:p>
        </w:tc>
        <w:tc>
          <w:tcPr>
            <w:tcW w:w="1710" w:type="dxa"/>
            <w:hideMark/>
          </w:tcPr>
          <w:p w14:paraId="14E1968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2" w:type="dxa"/>
            <w:hideMark/>
          </w:tcPr>
          <w:p w14:paraId="2D5983B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2,610,876.03</w:t>
            </w:r>
          </w:p>
        </w:tc>
        <w:tc>
          <w:tcPr>
            <w:tcW w:w="962" w:type="dxa"/>
            <w:hideMark/>
          </w:tcPr>
          <w:p w14:paraId="5E1E5A1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1,358,523.80</w:t>
            </w:r>
          </w:p>
        </w:tc>
        <w:tc>
          <w:tcPr>
            <w:tcW w:w="962" w:type="dxa"/>
            <w:hideMark/>
          </w:tcPr>
          <w:p w14:paraId="4D7426E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2" w:type="dxa"/>
            <w:hideMark/>
          </w:tcPr>
          <w:p w14:paraId="7C0595B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1,582,252.77</w:t>
            </w:r>
          </w:p>
        </w:tc>
        <w:tc>
          <w:tcPr>
            <w:tcW w:w="959" w:type="dxa"/>
            <w:hideMark/>
          </w:tcPr>
          <w:p w14:paraId="7D4D0B2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0FB1E59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36C250B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579E408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6D1F98D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r w:rsidR="001808DF" w:rsidRPr="005B54EE" w14:paraId="04083D2E"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2528" w:type="dxa"/>
            <w:hideMark/>
          </w:tcPr>
          <w:p w14:paraId="43429BB2" w14:textId="77777777" w:rsidR="001808DF" w:rsidRPr="005B54EE" w:rsidRDefault="001808DF" w:rsidP="001808DF">
            <w:pPr>
              <w:jc w:val="left"/>
              <w:rPr>
                <w:rFonts w:ascii="Times New Roman" w:hAnsi="Times New Roman"/>
                <w:color w:val="000000"/>
                <w:sz w:val="18"/>
                <w:szCs w:val="18"/>
              </w:rPr>
            </w:pPr>
            <w:r w:rsidRPr="005B54EE">
              <w:rPr>
                <w:rFonts w:ascii="Times New Roman" w:hAnsi="Times New Roman"/>
                <w:color w:val="000000"/>
                <w:sz w:val="18"/>
              </w:rPr>
              <w:t>Total</w:t>
            </w:r>
          </w:p>
        </w:tc>
        <w:tc>
          <w:tcPr>
            <w:tcW w:w="1710" w:type="dxa"/>
            <w:hideMark/>
          </w:tcPr>
          <w:p w14:paraId="6D5BE09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493,530,000.00</w:t>
            </w:r>
          </w:p>
        </w:tc>
        <w:tc>
          <w:tcPr>
            <w:tcW w:w="962" w:type="dxa"/>
            <w:hideMark/>
          </w:tcPr>
          <w:p w14:paraId="78C3F46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13,960,876.03</w:t>
            </w:r>
          </w:p>
        </w:tc>
        <w:tc>
          <w:tcPr>
            <w:tcW w:w="962" w:type="dxa"/>
            <w:hideMark/>
          </w:tcPr>
          <w:p w14:paraId="1083A42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22,328,523.80</w:t>
            </w:r>
          </w:p>
        </w:tc>
        <w:tc>
          <w:tcPr>
            <w:tcW w:w="962" w:type="dxa"/>
            <w:hideMark/>
          </w:tcPr>
          <w:p w14:paraId="253C4CF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7,060,000.00</w:t>
            </w:r>
          </w:p>
        </w:tc>
        <w:tc>
          <w:tcPr>
            <w:tcW w:w="982" w:type="dxa"/>
            <w:hideMark/>
          </w:tcPr>
          <w:p w14:paraId="1560BA4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369,352,252.77</w:t>
            </w:r>
          </w:p>
        </w:tc>
        <w:tc>
          <w:tcPr>
            <w:tcW w:w="959" w:type="dxa"/>
            <w:hideMark/>
          </w:tcPr>
          <w:p w14:paraId="3AD711E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67D5C7A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60" w:type="dxa"/>
            <w:hideMark/>
          </w:tcPr>
          <w:p w14:paraId="0F58D5C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5E0E7FD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8" w:type="dxa"/>
            <w:hideMark/>
          </w:tcPr>
          <w:p w14:paraId="6D4B7D0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bl>
    <w:p w14:paraId="288BC3F3" w14:textId="77777777" w:rsidR="001808DF" w:rsidRPr="005B54EE" w:rsidRDefault="001808DF" w:rsidP="001808DF">
      <w:pPr>
        <w:sectPr w:rsidR="001808DF" w:rsidRPr="005B54EE" w:rsidSect="001808DF">
          <w:pgSz w:w="16838" w:h="11906" w:orient="landscape" w:code="9"/>
          <w:pgMar w:top="1049" w:right="1229" w:bottom="907" w:left="1648" w:header="284" w:footer="284" w:gutter="0"/>
          <w:cols w:space="708"/>
          <w:titlePg/>
          <w:docGrid w:linePitch="360"/>
        </w:sectPr>
      </w:pPr>
    </w:p>
    <w:p w14:paraId="12D0C391" w14:textId="35466BA0" w:rsidR="00C430E9" w:rsidRPr="005B54EE" w:rsidRDefault="00C430E9" w:rsidP="00C430E9">
      <w:pPr>
        <w:pStyle w:val="Textedesaisie"/>
      </w:pPr>
    </w:p>
    <w:p w14:paraId="759CC215" w14:textId="12C8F522" w:rsidR="001808DF" w:rsidRPr="005B54EE" w:rsidRDefault="001808DF">
      <w:pPr>
        <w:spacing w:line="240" w:lineRule="atLeast"/>
        <w:jc w:val="left"/>
      </w:pPr>
      <w:r w:rsidRPr="005B54EE">
        <w:br w:type="page"/>
      </w:r>
    </w:p>
    <w:p w14:paraId="25A13578" w14:textId="73BA38E2" w:rsidR="001808DF" w:rsidRPr="005B54EE" w:rsidRDefault="001808DF" w:rsidP="001808DF">
      <w:pPr>
        <w:pStyle w:val="Caption"/>
      </w:pPr>
      <w:bookmarkStart w:id="267" w:name="_Toc124153752"/>
      <w:r w:rsidRPr="005B54EE">
        <w:t xml:space="preserve">Table </w:t>
      </w:r>
      <w:r w:rsidR="00C73940">
        <w:fldChar w:fldCharType="begin"/>
      </w:r>
      <w:r w:rsidR="00C73940">
        <w:instrText xml:space="preserve"> SEQ Tableau \* ARABIC </w:instrText>
      </w:r>
      <w:r w:rsidR="00C73940">
        <w:fldChar w:fldCharType="separate"/>
      </w:r>
      <w:r w:rsidR="005B1C45">
        <w:rPr>
          <w:noProof/>
        </w:rPr>
        <w:t>38</w:t>
      </w:r>
      <w:r w:rsidR="00C73940">
        <w:rPr>
          <w:noProof/>
        </w:rPr>
        <w:fldChar w:fldCharType="end"/>
      </w:r>
      <w:r w:rsidRPr="005B54EE">
        <w:t>: Table CTF 7a - Summary of multilateral financial support to developing countries in 2020</w:t>
      </w:r>
      <w:bookmarkEnd w:id="267"/>
    </w:p>
    <w:p w14:paraId="4270E6D4" w14:textId="72164A62" w:rsidR="001808DF" w:rsidRPr="005B54EE" w:rsidRDefault="001808DF" w:rsidP="001808DF">
      <w:pPr>
        <w:pStyle w:val="Caption"/>
        <w:rPr>
          <w:rFonts w:eastAsiaTheme="majorEastAsia" w:cstheme="majorBidi"/>
          <w:bCs/>
          <w:spacing w:val="-10"/>
          <w:kern w:val="28"/>
          <w:sz w:val="48"/>
          <w:szCs w:val="56"/>
        </w:rPr>
      </w:pPr>
    </w:p>
    <w:tbl>
      <w:tblPr>
        <w:tblStyle w:val="GridTable5Dark-Accent1"/>
        <w:tblW w:w="12905" w:type="dxa"/>
        <w:tblLook w:val="04A0" w:firstRow="1" w:lastRow="0" w:firstColumn="1" w:lastColumn="0" w:noHBand="0" w:noVBand="1"/>
      </w:tblPr>
      <w:tblGrid>
        <w:gridCol w:w="1625"/>
        <w:gridCol w:w="1218"/>
        <w:gridCol w:w="1476"/>
        <w:gridCol w:w="1476"/>
        <w:gridCol w:w="1341"/>
        <w:gridCol w:w="1341"/>
        <w:gridCol w:w="877"/>
        <w:gridCol w:w="976"/>
        <w:gridCol w:w="1016"/>
        <w:gridCol w:w="817"/>
        <w:gridCol w:w="742"/>
      </w:tblGrid>
      <w:tr w:rsidR="001808DF" w:rsidRPr="005B54EE" w14:paraId="31551AF7" w14:textId="77777777" w:rsidTr="001808DF">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19CEA48E" w14:textId="77777777" w:rsidR="001808DF" w:rsidRPr="005B54EE" w:rsidRDefault="001808DF" w:rsidP="001808DF">
            <w:pPr>
              <w:jc w:val="center"/>
              <w:rPr>
                <w:rFonts w:ascii="Times New Roman" w:hAnsi="Times New Roman"/>
                <w:i/>
                <w:iCs/>
                <w:color w:val="000000"/>
                <w:sz w:val="18"/>
                <w:szCs w:val="18"/>
              </w:rPr>
            </w:pPr>
            <w:r w:rsidRPr="005B54EE">
              <w:rPr>
                <w:rFonts w:ascii="Times New Roman" w:hAnsi="Times New Roman"/>
                <w:i/>
                <w:color w:val="000000"/>
                <w:sz w:val="18"/>
              </w:rPr>
              <w:t>Allocation channels</w:t>
            </w:r>
          </w:p>
        </w:tc>
        <w:tc>
          <w:tcPr>
            <w:tcW w:w="11049" w:type="dxa"/>
            <w:gridSpan w:val="10"/>
            <w:hideMark/>
          </w:tcPr>
          <w:p w14:paraId="278B980E" w14:textId="4C79CD6D"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Year 2020</w:t>
            </w:r>
          </w:p>
        </w:tc>
      </w:tr>
      <w:tr w:rsidR="001808DF" w:rsidRPr="005B54EE" w14:paraId="336E8397" w14:textId="77777777" w:rsidTr="001808D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856" w:type="dxa"/>
            <w:vMerge/>
            <w:hideMark/>
          </w:tcPr>
          <w:p w14:paraId="28F85351" w14:textId="77777777" w:rsidR="001808DF" w:rsidRPr="005B54EE" w:rsidRDefault="001808DF" w:rsidP="001808DF">
            <w:pPr>
              <w:jc w:val="left"/>
              <w:rPr>
                <w:rFonts w:ascii="Times New Roman" w:hAnsi="Times New Roman"/>
                <w:i/>
                <w:iCs/>
                <w:color w:val="000000"/>
                <w:sz w:val="18"/>
                <w:szCs w:val="18"/>
              </w:rPr>
            </w:pPr>
          </w:p>
        </w:tc>
        <w:tc>
          <w:tcPr>
            <w:tcW w:w="6508" w:type="dxa"/>
            <w:gridSpan w:val="5"/>
            <w:hideMark/>
          </w:tcPr>
          <w:p w14:paraId="59A11F3E"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European euro - EUR</w:t>
            </w:r>
          </w:p>
        </w:tc>
        <w:tc>
          <w:tcPr>
            <w:tcW w:w="4541" w:type="dxa"/>
            <w:gridSpan w:val="5"/>
            <w:hideMark/>
          </w:tcPr>
          <w:p w14:paraId="15387F0B"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USD</w:t>
            </w:r>
            <w:r w:rsidRPr="005B54EE">
              <w:rPr>
                <w:rFonts w:ascii="Times New Roman" w:hAnsi="Times New Roman"/>
                <w:i/>
                <w:color w:val="000000"/>
                <w:sz w:val="18"/>
                <w:vertAlign w:val="superscript"/>
              </w:rPr>
              <w:t>b</w:t>
            </w:r>
          </w:p>
        </w:tc>
      </w:tr>
      <w:tr w:rsidR="001808DF" w:rsidRPr="005B54EE" w14:paraId="289638A1"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1856" w:type="dxa"/>
            <w:vMerge/>
            <w:hideMark/>
          </w:tcPr>
          <w:p w14:paraId="31BB1358" w14:textId="77777777" w:rsidR="001808DF" w:rsidRPr="005B54EE" w:rsidRDefault="001808DF" w:rsidP="001808DF">
            <w:pPr>
              <w:jc w:val="left"/>
              <w:rPr>
                <w:rFonts w:ascii="Times New Roman" w:hAnsi="Times New Roman"/>
                <w:i/>
                <w:iCs/>
                <w:color w:val="000000"/>
                <w:sz w:val="18"/>
                <w:szCs w:val="18"/>
              </w:rPr>
            </w:pPr>
          </w:p>
        </w:tc>
        <w:tc>
          <w:tcPr>
            <w:tcW w:w="1504" w:type="dxa"/>
            <w:vMerge w:val="restart"/>
            <w:hideMark/>
          </w:tcPr>
          <w:p w14:paraId="70E1E87D"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Core/ general</w:t>
            </w:r>
            <w:r w:rsidRPr="005B54EE">
              <w:rPr>
                <w:rFonts w:ascii="Times New Roman" w:hAnsi="Times New Roman"/>
                <w:i/>
                <w:color w:val="000000"/>
                <w:sz w:val="18"/>
                <w:vertAlign w:val="superscript"/>
              </w:rPr>
              <w:t>c, 1</w:t>
            </w:r>
          </w:p>
        </w:tc>
        <w:tc>
          <w:tcPr>
            <w:tcW w:w="5004" w:type="dxa"/>
            <w:gridSpan w:val="4"/>
            <w:hideMark/>
          </w:tcPr>
          <w:p w14:paraId="25A0F53A"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Climate-specific</w:t>
            </w:r>
            <w:r w:rsidRPr="005B54EE">
              <w:rPr>
                <w:rFonts w:ascii="Times New Roman" w:hAnsi="Times New Roman"/>
                <w:i/>
                <w:color w:val="000000"/>
                <w:sz w:val="18"/>
                <w:vertAlign w:val="superscript"/>
              </w:rPr>
              <w:t>d, 2</w:t>
            </w:r>
          </w:p>
        </w:tc>
        <w:tc>
          <w:tcPr>
            <w:tcW w:w="898" w:type="dxa"/>
            <w:vMerge w:val="restart"/>
            <w:hideMark/>
          </w:tcPr>
          <w:p w14:paraId="2AEC889D"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Core/ general</w:t>
            </w:r>
            <w:r w:rsidRPr="005B54EE">
              <w:rPr>
                <w:rFonts w:ascii="Times New Roman" w:hAnsi="Times New Roman"/>
                <w:i/>
                <w:color w:val="000000"/>
                <w:sz w:val="18"/>
                <w:vertAlign w:val="superscript"/>
              </w:rPr>
              <w:t>c, 1</w:t>
            </w:r>
          </w:p>
        </w:tc>
        <w:tc>
          <w:tcPr>
            <w:tcW w:w="3643" w:type="dxa"/>
            <w:gridSpan w:val="4"/>
            <w:hideMark/>
          </w:tcPr>
          <w:p w14:paraId="4F41C102"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Climate-specific</w:t>
            </w:r>
            <w:r w:rsidRPr="005B54EE">
              <w:rPr>
                <w:rFonts w:ascii="Times New Roman" w:hAnsi="Times New Roman"/>
                <w:i/>
                <w:color w:val="000000"/>
                <w:sz w:val="18"/>
                <w:vertAlign w:val="superscript"/>
              </w:rPr>
              <w:t>d, 2</w:t>
            </w:r>
          </w:p>
        </w:tc>
      </w:tr>
      <w:tr w:rsidR="001808DF" w:rsidRPr="005B54EE" w14:paraId="4F9F76E4" w14:textId="77777777" w:rsidTr="001808D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856" w:type="dxa"/>
            <w:vMerge/>
            <w:hideMark/>
          </w:tcPr>
          <w:p w14:paraId="2607363B" w14:textId="77777777" w:rsidR="001808DF" w:rsidRPr="005B54EE" w:rsidRDefault="001808DF" w:rsidP="001808DF">
            <w:pPr>
              <w:jc w:val="left"/>
              <w:rPr>
                <w:rFonts w:ascii="Times New Roman" w:hAnsi="Times New Roman"/>
                <w:i/>
                <w:iCs/>
                <w:color w:val="000000"/>
                <w:sz w:val="18"/>
                <w:szCs w:val="18"/>
              </w:rPr>
            </w:pPr>
          </w:p>
        </w:tc>
        <w:tc>
          <w:tcPr>
            <w:tcW w:w="1504" w:type="dxa"/>
            <w:vMerge/>
            <w:hideMark/>
          </w:tcPr>
          <w:p w14:paraId="7DB842A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1251" w:type="dxa"/>
            <w:hideMark/>
          </w:tcPr>
          <w:p w14:paraId="20E317D5"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Mitigation</w:t>
            </w:r>
          </w:p>
        </w:tc>
        <w:tc>
          <w:tcPr>
            <w:tcW w:w="1251" w:type="dxa"/>
            <w:hideMark/>
          </w:tcPr>
          <w:p w14:paraId="4315FB5A"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Adaptation</w:t>
            </w:r>
          </w:p>
        </w:tc>
        <w:tc>
          <w:tcPr>
            <w:tcW w:w="1161" w:type="dxa"/>
            <w:hideMark/>
          </w:tcPr>
          <w:p w14:paraId="3D5895A5"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Cross-cutting</w:t>
            </w:r>
            <w:r w:rsidRPr="005B54EE">
              <w:rPr>
                <w:rFonts w:ascii="Times New Roman" w:hAnsi="Times New Roman"/>
                <w:i/>
                <w:color w:val="000000"/>
                <w:sz w:val="18"/>
                <w:vertAlign w:val="superscript"/>
              </w:rPr>
              <w:t>e</w:t>
            </w:r>
          </w:p>
        </w:tc>
        <w:tc>
          <w:tcPr>
            <w:tcW w:w="1341" w:type="dxa"/>
            <w:hideMark/>
          </w:tcPr>
          <w:p w14:paraId="0A71AEA4"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Other</w:t>
            </w:r>
            <w:r w:rsidRPr="005B54EE">
              <w:rPr>
                <w:rFonts w:ascii="Times New Roman" w:hAnsi="Times New Roman"/>
                <w:i/>
                <w:color w:val="000000"/>
                <w:sz w:val="18"/>
                <w:vertAlign w:val="superscript"/>
              </w:rPr>
              <w:t>f</w:t>
            </w:r>
          </w:p>
        </w:tc>
        <w:tc>
          <w:tcPr>
            <w:tcW w:w="898" w:type="dxa"/>
            <w:vMerge/>
            <w:hideMark/>
          </w:tcPr>
          <w:p w14:paraId="464578E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976" w:type="dxa"/>
            <w:hideMark/>
          </w:tcPr>
          <w:p w14:paraId="723D3ADE"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Mitigation</w:t>
            </w:r>
          </w:p>
        </w:tc>
        <w:tc>
          <w:tcPr>
            <w:tcW w:w="1016" w:type="dxa"/>
            <w:hideMark/>
          </w:tcPr>
          <w:p w14:paraId="320852E1"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Adaptation</w:t>
            </w:r>
          </w:p>
        </w:tc>
        <w:tc>
          <w:tcPr>
            <w:tcW w:w="853" w:type="dxa"/>
            <w:hideMark/>
          </w:tcPr>
          <w:p w14:paraId="046061E0"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Cross-cutting</w:t>
            </w:r>
            <w:r w:rsidRPr="005B54EE">
              <w:rPr>
                <w:rFonts w:ascii="Times New Roman" w:hAnsi="Times New Roman"/>
                <w:i/>
                <w:color w:val="000000"/>
                <w:sz w:val="18"/>
                <w:vertAlign w:val="superscript"/>
              </w:rPr>
              <w:t>e</w:t>
            </w:r>
          </w:p>
        </w:tc>
        <w:tc>
          <w:tcPr>
            <w:tcW w:w="798" w:type="dxa"/>
            <w:hideMark/>
          </w:tcPr>
          <w:p w14:paraId="00978394"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Other</w:t>
            </w:r>
            <w:r w:rsidRPr="005B54EE">
              <w:rPr>
                <w:rFonts w:ascii="Times New Roman" w:hAnsi="Times New Roman"/>
                <w:i/>
                <w:color w:val="000000"/>
                <w:sz w:val="18"/>
                <w:vertAlign w:val="superscript"/>
              </w:rPr>
              <w:t>f</w:t>
            </w:r>
          </w:p>
        </w:tc>
      </w:tr>
      <w:tr w:rsidR="001808DF" w:rsidRPr="005B54EE" w14:paraId="24553615"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1856" w:type="dxa"/>
            <w:hideMark/>
          </w:tcPr>
          <w:p w14:paraId="33A0F686" w14:textId="77777777" w:rsidR="001808DF" w:rsidRPr="005B54EE" w:rsidRDefault="001808DF" w:rsidP="001808DF">
            <w:pPr>
              <w:jc w:val="left"/>
              <w:rPr>
                <w:rFonts w:ascii="Times New Roman" w:hAnsi="Times New Roman"/>
                <w:i/>
                <w:iCs/>
                <w:color w:val="000000"/>
                <w:sz w:val="18"/>
                <w:szCs w:val="18"/>
              </w:rPr>
            </w:pPr>
            <w:r w:rsidRPr="005B54EE">
              <w:rPr>
                <w:rFonts w:ascii="Times New Roman" w:hAnsi="Times New Roman"/>
                <w:i/>
                <w:color w:val="000000"/>
                <w:sz w:val="18"/>
              </w:rPr>
              <w:t>Total contributions through multilateral channels:</w:t>
            </w:r>
          </w:p>
        </w:tc>
        <w:tc>
          <w:tcPr>
            <w:tcW w:w="1504" w:type="dxa"/>
            <w:hideMark/>
          </w:tcPr>
          <w:p w14:paraId="411E54FC" w14:textId="69433476"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43AF2D60" w14:textId="0F9C6AA4"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326C8FF2" w14:textId="52BC09AE"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7,332,500.00</w:t>
            </w:r>
          </w:p>
        </w:tc>
        <w:tc>
          <w:tcPr>
            <w:tcW w:w="1161" w:type="dxa"/>
            <w:hideMark/>
          </w:tcPr>
          <w:p w14:paraId="09DB091D" w14:textId="3E52B246"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30,716,000.00</w:t>
            </w:r>
          </w:p>
        </w:tc>
        <w:tc>
          <w:tcPr>
            <w:tcW w:w="1341" w:type="dxa"/>
            <w:hideMark/>
          </w:tcPr>
          <w:p w14:paraId="32F95AFA" w14:textId="3509F7C6"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288,719,733.00</w:t>
            </w:r>
          </w:p>
        </w:tc>
        <w:tc>
          <w:tcPr>
            <w:tcW w:w="898" w:type="dxa"/>
            <w:hideMark/>
          </w:tcPr>
          <w:p w14:paraId="23240090" w14:textId="0F01FFDA"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976" w:type="dxa"/>
            <w:hideMark/>
          </w:tcPr>
          <w:p w14:paraId="373662B0" w14:textId="37CC07C8"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016" w:type="dxa"/>
            <w:hideMark/>
          </w:tcPr>
          <w:p w14:paraId="3C74D3A1" w14:textId="7B1786C2"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53" w:type="dxa"/>
            <w:hideMark/>
          </w:tcPr>
          <w:p w14:paraId="68E78B39" w14:textId="34A72ECA"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798" w:type="dxa"/>
            <w:hideMark/>
          </w:tcPr>
          <w:p w14:paraId="15D4EB57" w14:textId="72BE897A"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r>
      <w:tr w:rsidR="001808DF" w:rsidRPr="005B54EE" w14:paraId="00ED173B" w14:textId="77777777" w:rsidTr="001808D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856" w:type="dxa"/>
            <w:hideMark/>
          </w:tcPr>
          <w:p w14:paraId="7408966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color w:val="000000"/>
                <w:sz w:val="18"/>
              </w:rPr>
              <w:t>Multilateral climate change funds</w:t>
            </w:r>
            <w:r w:rsidRPr="005B54EE">
              <w:rPr>
                <w:rFonts w:ascii="Times New Roman" w:hAnsi="Times New Roman"/>
                <w:i/>
                <w:color w:val="000000"/>
                <w:sz w:val="18"/>
                <w:vertAlign w:val="superscript"/>
              </w:rPr>
              <w:t>g</w:t>
            </w:r>
          </w:p>
        </w:tc>
        <w:tc>
          <w:tcPr>
            <w:tcW w:w="1504" w:type="dxa"/>
            <w:hideMark/>
          </w:tcPr>
          <w:p w14:paraId="087FA26D" w14:textId="11BC1893"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2386E65F" w14:textId="507017AD"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09409BE3" w14:textId="4EB1CB2C"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4,340,000.00</w:t>
            </w:r>
          </w:p>
        </w:tc>
        <w:tc>
          <w:tcPr>
            <w:tcW w:w="1161" w:type="dxa"/>
            <w:hideMark/>
          </w:tcPr>
          <w:p w14:paraId="0EA910FC" w14:textId="58AA3B98"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30,716,000.00</w:t>
            </w:r>
          </w:p>
        </w:tc>
        <w:tc>
          <w:tcPr>
            <w:tcW w:w="1341" w:type="dxa"/>
            <w:hideMark/>
          </w:tcPr>
          <w:p w14:paraId="06FD4BE6" w14:textId="13E1014F"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87,682,000.00</w:t>
            </w:r>
          </w:p>
        </w:tc>
        <w:tc>
          <w:tcPr>
            <w:tcW w:w="898" w:type="dxa"/>
            <w:hideMark/>
          </w:tcPr>
          <w:p w14:paraId="3E555A72" w14:textId="131C55C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976" w:type="dxa"/>
            <w:hideMark/>
          </w:tcPr>
          <w:p w14:paraId="6B7BA17A" w14:textId="20A521E1"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016" w:type="dxa"/>
            <w:hideMark/>
          </w:tcPr>
          <w:p w14:paraId="00EEABE7" w14:textId="09F74AB9"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53" w:type="dxa"/>
            <w:hideMark/>
          </w:tcPr>
          <w:p w14:paraId="5F4563A8" w14:textId="151950B2"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798" w:type="dxa"/>
            <w:hideMark/>
          </w:tcPr>
          <w:p w14:paraId="040CFA5B" w14:textId="42F456B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r>
      <w:tr w:rsidR="001808DF" w:rsidRPr="005B54EE" w14:paraId="443C2DB2"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1856" w:type="dxa"/>
            <w:hideMark/>
          </w:tcPr>
          <w:p w14:paraId="22A0DF51" w14:textId="77777777" w:rsidR="001808DF" w:rsidRPr="005B54EE" w:rsidRDefault="001808DF" w:rsidP="001808DF">
            <w:pPr>
              <w:jc w:val="left"/>
              <w:rPr>
                <w:rFonts w:ascii="Times New Roman" w:hAnsi="Times New Roman"/>
                <w:color w:val="000000"/>
                <w:sz w:val="18"/>
                <w:szCs w:val="18"/>
              </w:rPr>
            </w:pPr>
            <w:r w:rsidRPr="005B54EE">
              <w:rPr>
                <w:rFonts w:ascii="Times New Roman" w:hAnsi="Times New Roman"/>
                <w:color w:val="000000"/>
                <w:sz w:val="18"/>
              </w:rPr>
              <w:t xml:space="preserve">         Other multilateral climate change funds</w:t>
            </w:r>
            <w:r w:rsidRPr="005B54EE">
              <w:rPr>
                <w:rFonts w:ascii="Times New Roman" w:hAnsi="Times New Roman"/>
                <w:i/>
                <w:color w:val="000000"/>
                <w:sz w:val="18"/>
                <w:vertAlign w:val="superscript"/>
              </w:rPr>
              <w:t>h</w:t>
            </w:r>
          </w:p>
        </w:tc>
        <w:tc>
          <w:tcPr>
            <w:tcW w:w="1504" w:type="dxa"/>
            <w:hideMark/>
          </w:tcPr>
          <w:p w14:paraId="10A3F8B4" w14:textId="108B6573"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7D88BAEF" w14:textId="29E39EBC"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01786B76" w14:textId="5CD93ED3"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4,340,000.00</w:t>
            </w:r>
          </w:p>
        </w:tc>
        <w:tc>
          <w:tcPr>
            <w:tcW w:w="1161" w:type="dxa"/>
            <w:hideMark/>
          </w:tcPr>
          <w:p w14:paraId="03BF36B5" w14:textId="1EC28135"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30,716,000.00</w:t>
            </w:r>
          </w:p>
        </w:tc>
        <w:tc>
          <w:tcPr>
            <w:tcW w:w="1341" w:type="dxa"/>
            <w:hideMark/>
          </w:tcPr>
          <w:p w14:paraId="59A27101" w14:textId="0372D7E6"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11,350,000.00</w:t>
            </w:r>
          </w:p>
        </w:tc>
        <w:tc>
          <w:tcPr>
            <w:tcW w:w="898" w:type="dxa"/>
            <w:hideMark/>
          </w:tcPr>
          <w:p w14:paraId="47D621FD" w14:textId="63476944"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976" w:type="dxa"/>
            <w:hideMark/>
          </w:tcPr>
          <w:p w14:paraId="7CE2D3B4" w14:textId="6208685B"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016" w:type="dxa"/>
            <w:hideMark/>
          </w:tcPr>
          <w:p w14:paraId="24E096B4" w14:textId="27BA7BAD"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53" w:type="dxa"/>
            <w:hideMark/>
          </w:tcPr>
          <w:p w14:paraId="57024A09" w14:textId="5B25C644"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798" w:type="dxa"/>
            <w:hideMark/>
          </w:tcPr>
          <w:p w14:paraId="0DDF2286" w14:textId="0DA46938"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r>
      <w:tr w:rsidR="001808DF" w:rsidRPr="005B54EE" w14:paraId="5D0BD1F8" w14:textId="77777777" w:rsidTr="001808DF">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856" w:type="dxa"/>
            <w:hideMark/>
          </w:tcPr>
          <w:p w14:paraId="53B1D64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color w:val="000000"/>
                <w:sz w:val="18"/>
              </w:rPr>
              <w:t>Multilateral financial institutions, including regional development banks</w:t>
            </w:r>
          </w:p>
        </w:tc>
        <w:tc>
          <w:tcPr>
            <w:tcW w:w="1504" w:type="dxa"/>
            <w:hideMark/>
          </w:tcPr>
          <w:p w14:paraId="68769971" w14:textId="05396F2B"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28E9659C" w14:textId="1935384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1CEBD82F" w14:textId="45EA83C2"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2,992,500.00</w:t>
            </w:r>
          </w:p>
        </w:tc>
        <w:tc>
          <w:tcPr>
            <w:tcW w:w="1161" w:type="dxa"/>
            <w:hideMark/>
          </w:tcPr>
          <w:p w14:paraId="1ED133A1" w14:textId="752E2360"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341" w:type="dxa"/>
            <w:hideMark/>
          </w:tcPr>
          <w:p w14:paraId="5AB675F0" w14:textId="2EE2AFC3"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201,037,733.00</w:t>
            </w:r>
          </w:p>
        </w:tc>
        <w:tc>
          <w:tcPr>
            <w:tcW w:w="898" w:type="dxa"/>
            <w:hideMark/>
          </w:tcPr>
          <w:p w14:paraId="24D758D9" w14:textId="707B61B9"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976" w:type="dxa"/>
            <w:hideMark/>
          </w:tcPr>
          <w:p w14:paraId="74783C71" w14:textId="476D3369"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016" w:type="dxa"/>
            <w:hideMark/>
          </w:tcPr>
          <w:p w14:paraId="43B3C36C" w14:textId="73C05996"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53" w:type="dxa"/>
            <w:hideMark/>
          </w:tcPr>
          <w:p w14:paraId="625CD030" w14:textId="03DF287D"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798" w:type="dxa"/>
            <w:hideMark/>
          </w:tcPr>
          <w:p w14:paraId="1DABA5FE" w14:textId="43EB45C8"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r>
      <w:tr w:rsidR="001808DF" w:rsidRPr="005B54EE" w14:paraId="32DD3096"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1856" w:type="dxa"/>
            <w:hideMark/>
          </w:tcPr>
          <w:p w14:paraId="298308FD" w14:textId="77777777" w:rsidR="001808DF" w:rsidRPr="005B54EE" w:rsidRDefault="001808DF" w:rsidP="001808DF">
            <w:pPr>
              <w:jc w:val="left"/>
              <w:rPr>
                <w:rFonts w:ascii="Times New Roman" w:hAnsi="Times New Roman"/>
                <w:color w:val="000000"/>
                <w:sz w:val="18"/>
                <w:szCs w:val="18"/>
              </w:rPr>
            </w:pPr>
            <w:r w:rsidRPr="005B54EE">
              <w:rPr>
                <w:rFonts w:ascii="Times New Roman" w:hAnsi="Times New Roman"/>
                <w:color w:val="000000"/>
                <w:sz w:val="18"/>
              </w:rPr>
              <w:t xml:space="preserve">   Specialized United Nations bodies</w:t>
            </w:r>
          </w:p>
        </w:tc>
        <w:tc>
          <w:tcPr>
            <w:tcW w:w="1504" w:type="dxa"/>
            <w:hideMark/>
          </w:tcPr>
          <w:p w14:paraId="22FC88FC" w14:textId="55E32C8A"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4D1FF26E" w14:textId="6DD03BC5"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5DA4395B" w14:textId="4020757E"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161" w:type="dxa"/>
            <w:hideMark/>
          </w:tcPr>
          <w:p w14:paraId="00393845" w14:textId="451C5249"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341" w:type="dxa"/>
            <w:hideMark/>
          </w:tcPr>
          <w:p w14:paraId="2E306B3C" w14:textId="560B2D60"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98" w:type="dxa"/>
            <w:hideMark/>
          </w:tcPr>
          <w:p w14:paraId="128EB12C" w14:textId="6283ED2D"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976" w:type="dxa"/>
            <w:hideMark/>
          </w:tcPr>
          <w:p w14:paraId="072F94B8" w14:textId="6CA3AC5B"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016" w:type="dxa"/>
            <w:hideMark/>
          </w:tcPr>
          <w:p w14:paraId="4768FF01" w14:textId="5DBC275D"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53" w:type="dxa"/>
            <w:hideMark/>
          </w:tcPr>
          <w:p w14:paraId="220BB0FE" w14:textId="087D8CD3"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798" w:type="dxa"/>
            <w:hideMark/>
          </w:tcPr>
          <w:p w14:paraId="3591BBC4" w14:textId="60403763"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r>
      <w:tr w:rsidR="001808DF" w:rsidRPr="005B54EE" w14:paraId="31D17DAB" w14:textId="77777777" w:rsidTr="001808DF">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856" w:type="dxa"/>
            <w:hideMark/>
          </w:tcPr>
          <w:p w14:paraId="6A9DB0EC" w14:textId="77777777" w:rsidR="001808DF" w:rsidRPr="005B54EE" w:rsidRDefault="001808DF" w:rsidP="001808DF">
            <w:pPr>
              <w:jc w:val="left"/>
              <w:rPr>
                <w:rFonts w:ascii="Times New Roman" w:hAnsi="Times New Roman"/>
                <w:i/>
                <w:iCs/>
                <w:color w:val="000000"/>
                <w:sz w:val="18"/>
                <w:szCs w:val="18"/>
              </w:rPr>
            </w:pPr>
            <w:r w:rsidRPr="005B54EE">
              <w:rPr>
                <w:rFonts w:ascii="Times New Roman" w:hAnsi="Times New Roman"/>
                <w:i/>
                <w:color w:val="000000"/>
                <w:sz w:val="18"/>
              </w:rPr>
              <w:t>Total contributions through bilateral, regional and other channels</w:t>
            </w:r>
          </w:p>
        </w:tc>
        <w:tc>
          <w:tcPr>
            <w:tcW w:w="1504" w:type="dxa"/>
            <w:hideMark/>
          </w:tcPr>
          <w:p w14:paraId="3E99440C" w14:textId="1739EFFB"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18D452EF" w14:textId="490027C3"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2,821,914,779.30</w:t>
            </w:r>
          </w:p>
        </w:tc>
        <w:tc>
          <w:tcPr>
            <w:tcW w:w="1251" w:type="dxa"/>
            <w:hideMark/>
          </w:tcPr>
          <w:p w14:paraId="247E54BF" w14:textId="3FBA25BC"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1,840,040,308.01</w:t>
            </w:r>
          </w:p>
        </w:tc>
        <w:tc>
          <w:tcPr>
            <w:tcW w:w="1161" w:type="dxa"/>
            <w:hideMark/>
          </w:tcPr>
          <w:p w14:paraId="1D85E686" w14:textId="229A1CC6"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108,177,150.00</w:t>
            </w:r>
          </w:p>
        </w:tc>
        <w:tc>
          <w:tcPr>
            <w:tcW w:w="1341" w:type="dxa"/>
            <w:hideMark/>
          </w:tcPr>
          <w:p w14:paraId="34E972EE" w14:textId="1E294E33"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sz w:val="18"/>
              </w:rPr>
              <w:t>210,000.00</w:t>
            </w:r>
          </w:p>
        </w:tc>
        <w:tc>
          <w:tcPr>
            <w:tcW w:w="898" w:type="dxa"/>
            <w:hideMark/>
          </w:tcPr>
          <w:p w14:paraId="7AEADC8A" w14:textId="57037CD5"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976" w:type="dxa"/>
            <w:hideMark/>
          </w:tcPr>
          <w:p w14:paraId="1F1B904C" w14:textId="0BE7149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016" w:type="dxa"/>
            <w:hideMark/>
          </w:tcPr>
          <w:p w14:paraId="7F7B7851" w14:textId="16098A7D"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53" w:type="dxa"/>
            <w:hideMark/>
          </w:tcPr>
          <w:p w14:paraId="3EC3AAEB" w14:textId="72329942"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798" w:type="dxa"/>
            <w:hideMark/>
          </w:tcPr>
          <w:p w14:paraId="7380DDFF" w14:textId="02451E66"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r>
      <w:tr w:rsidR="001808DF" w:rsidRPr="005B54EE" w14:paraId="50FCC1A5" w14:textId="77777777" w:rsidTr="001808DF">
        <w:trPr>
          <w:trHeight w:val="364"/>
        </w:trPr>
        <w:tc>
          <w:tcPr>
            <w:cnfStyle w:val="001000000000" w:firstRow="0" w:lastRow="0" w:firstColumn="1" w:lastColumn="0" w:oddVBand="0" w:evenVBand="0" w:oddHBand="0" w:evenHBand="0" w:firstRowFirstColumn="0" w:firstRowLastColumn="0" w:lastRowFirstColumn="0" w:lastRowLastColumn="0"/>
            <w:tcW w:w="1856" w:type="dxa"/>
            <w:hideMark/>
          </w:tcPr>
          <w:p w14:paraId="4CCED0AD" w14:textId="77777777" w:rsidR="001808DF" w:rsidRPr="005B54EE" w:rsidRDefault="001808DF" w:rsidP="001808DF">
            <w:pPr>
              <w:jc w:val="left"/>
              <w:rPr>
                <w:rFonts w:ascii="Times New Roman" w:hAnsi="Times New Roman"/>
                <w:color w:val="000000"/>
                <w:sz w:val="18"/>
                <w:szCs w:val="18"/>
              </w:rPr>
            </w:pPr>
            <w:r w:rsidRPr="005B54EE">
              <w:rPr>
                <w:rFonts w:ascii="Times New Roman" w:hAnsi="Times New Roman"/>
                <w:color w:val="000000"/>
                <w:sz w:val="18"/>
              </w:rPr>
              <w:t>Total</w:t>
            </w:r>
          </w:p>
        </w:tc>
        <w:tc>
          <w:tcPr>
            <w:tcW w:w="1504" w:type="dxa"/>
            <w:hideMark/>
          </w:tcPr>
          <w:p w14:paraId="35286898" w14:textId="4BD97BB2"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251" w:type="dxa"/>
            <w:hideMark/>
          </w:tcPr>
          <w:p w14:paraId="6A4170B3" w14:textId="375DF9A4"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2,821,914,779.30</w:t>
            </w:r>
          </w:p>
        </w:tc>
        <w:tc>
          <w:tcPr>
            <w:tcW w:w="1251" w:type="dxa"/>
            <w:hideMark/>
          </w:tcPr>
          <w:p w14:paraId="6B8D68ED" w14:textId="26AEF27A"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1,847,372,808.01</w:t>
            </w:r>
          </w:p>
        </w:tc>
        <w:tc>
          <w:tcPr>
            <w:tcW w:w="1161" w:type="dxa"/>
            <w:hideMark/>
          </w:tcPr>
          <w:p w14:paraId="2AFF4D80" w14:textId="264142F0"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138,893,150.00</w:t>
            </w:r>
          </w:p>
        </w:tc>
        <w:tc>
          <w:tcPr>
            <w:tcW w:w="1341" w:type="dxa"/>
            <w:hideMark/>
          </w:tcPr>
          <w:p w14:paraId="1F4CF5A7" w14:textId="2AF85491"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sz w:val="18"/>
              </w:rPr>
              <w:t>288,929,733.00</w:t>
            </w:r>
          </w:p>
        </w:tc>
        <w:tc>
          <w:tcPr>
            <w:tcW w:w="898" w:type="dxa"/>
            <w:hideMark/>
          </w:tcPr>
          <w:p w14:paraId="6678CC73" w14:textId="577293F4"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976" w:type="dxa"/>
            <w:hideMark/>
          </w:tcPr>
          <w:p w14:paraId="43484E3D" w14:textId="3DD8328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1016" w:type="dxa"/>
            <w:hideMark/>
          </w:tcPr>
          <w:p w14:paraId="47EE5AAB" w14:textId="5A77E2E4"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853" w:type="dxa"/>
            <w:hideMark/>
          </w:tcPr>
          <w:p w14:paraId="1E192A2A" w14:textId="1F8DC39F"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c>
          <w:tcPr>
            <w:tcW w:w="798" w:type="dxa"/>
            <w:hideMark/>
          </w:tcPr>
          <w:p w14:paraId="46735125" w14:textId="50FD4C92"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color w:val="000000"/>
                <w:sz w:val="18"/>
              </w:rPr>
              <w:t> </w:t>
            </w:r>
          </w:p>
        </w:tc>
      </w:tr>
    </w:tbl>
    <w:p w14:paraId="44C57E2E" w14:textId="7FEAAF8D" w:rsidR="001808DF" w:rsidRPr="005B54EE" w:rsidRDefault="001808DF">
      <w:pPr>
        <w:spacing w:line="240" w:lineRule="atLeast"/>
        <w:jc w:val="left"/>
        <w:rPr>
          <w:rFonts w:eastAsiaTheme="majorEastAsia" w:cstheme="majorBidi"/>
          <w:bCs/>
          <w:spacing w:val="-10"/>
          <w:kern w:val="28"/>
          <w:sz w:val="48"/>
          <w:szCs w:val="56"/>
        </w:rPr>
      </w:pPr>
    </w:p>
    <w:p w14:paraId="695DA06B" w14:textId="77777777" w:rsidR="001808DF" w:rsidRPr="005B54EE" w:rsidRDefault="001808DF">
      <w:pPr>
        <w:spacing w:line="240" w:lineRule="atLeast"/>
        <w:jc w:val="left"/>
        <w:rPr>
          <w:rFonts w:eastAsiaTheme="majorEastAsia" w:cstheme="majorBidi"/>
          <w:bCs/>
          <w:spacing w:val="-10"/>
          <w:kern w:val="28"/>
          <w:sz w:val="48"/>
          <w:szCs w:val="56"/>
        </w:rPr>
      </w:pPr>
      <w:r w:rsidRPr="005B54EE">
        <w:br w:type="page"/>
      </w:r>
    </w:p>
    <w:p w14:paraId="00C0CFA5" w14:textId="7B3319A8" w:rsidR="001808DF" w:rsidRPr="005B54EE" w:rsidRDefault="001808DF" w:rsidP="001808DF">
      <w:pPr>
        <w:pStyle w:val="Caption"/>
      </w:pPr>
      <w:bookmarkStart w:id="268" w:name="_Toc124153753"/>
      <w:r w:rsidRPr="005B54EE">
        <w:t xml:space="preserve">Table </w:t>
      </w:r>
      <w:r w:rsidR="00C73940">
        <w:fldChar w:fldCharType="begin"/>
      </w:r>
      <w:r w:rsidR="00C73940">
        <w:instrText xml:space="preserve"> SEQ Tableau \* ARABIC </w:instrText>
      </w:r>
      <w:r w:rsidR="00C73940">
        <w:fldChar w:fldCharType="separate"/>
      </w:r>
      <w:r w:rsidR="005B1C45">
        <w:rPr>
          <w:noProof/>
        </w:rPr>
        <w:t>39</w:t>
      </w:r>
      <w:r w:rsidR="00C73940">
        <w:rPr>
          <w:noProof/>
        </w:rPr>
        <w:fldChar w:fldCharType="end"/>
      </w:r>
      <w:r w:rsidRPr="005B54EE">
        <w:t>: Table CTF 7b - Bilateral, regional and other contributions in 2019</w:t>
      </w:r>
      <w:bookmarkEnd w:id="268"/>
    </w:p>
    <w:p w14:paraId="510EF95B" w14:textId="77777777" w:rsidR="001808DF" w:rsidRPr="005B54EE" w:rsidRDefault="001808DF" w:rsidP="001808DF"/>
    <w:tbl>
      <w:tblPr>
        <w:tblStyle w:val="ListTable4-Accent1"/>
        <w:tblW w:w="12420" w:type="dxa"/>
        <w:tblLook w:val="04A0" w:firstRow="1" w:lastRow="0" w:firstColumn="1" w:lastColumn="0" w:noHBand="0" w:noVBand="1"/>
      </w:tblPr>
      <w:tblGrid>
        <w:gridCol w:w="2566"/>
        <w:gridCol w:w="1161"/>
        <w:gridCol w:w="897"/>
        <w:gridCol w:w="1026"/>
        <w:gridCol w:w="912"/>
        <w:gridCol w:w="1176"/>
        <w:gridCol w:w="1246"/>
        <w:gridCol w:w="1316"/>
        <w:gridCol w:w="2120"/>
      </w:tblGrid>
      <w:tr w:rsidR="001808DF" w:rsidRPr="005B54EE" w14:paraId="797E591A" w14:textId="77777777" w:rsidTr="00927E59">
        <w:trPr>
          <w:cnfStyle w:val="100000000000" w:firstRow="1" w:lastRow="0" w:firstColumn="0" w:lastColumn="0" w:oddVBand="0" w:evenVBand="0" w:oddHBand="0"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vMerge w:val="restart"/>
            <w:hideMark/>
          </w:tcPr>
          <w:p w14:paraId="78CC0804" w14:textId="77777777" w:rsidR="001808DF" w:rsidRPr="005B54EE" w:rsidRDefault="001808DF" w:rsidP="001808DF">
            <w:pPr>
              <w:jc w:val="center"/>
              <w:rPr>
                <w:rFonts w:ascii="Times New Roman" w:hAnsi="Times New Roman"/>
                <w:i/>
                <w:iCs/>
                <w:color w:val="000000"/>
                <w:sz w:val="18"/>
                <w:szCs w:val="18"/>
              </w:rPr>
            </w:pPr>
            <w:r w:rsidRPr="005B54EE">
              <w:rPr>
                <w:rFonts w:ascii="Times New Roman" w:hAnsi="Times New Roman"/>
                <w:i/>
                <w:color w:val="000000"/>
                <w:sz w:val="18"/>
              </w:rPr>
              <w:t>Recipient country/ region/project/programme</w:t>
            </w:r>
            <w:r w:rsidRPr="005B54EE">
              <w:rPr>
                <w:rFonts w:ascii="Times New Roman" w:hAnsi="Times New Roman"/>
                <w:i/>
                <w:color w:val="000000"/>
                <w:sz w:val="18"/>
                <w:vertAlign w:val="superscript"/>
              </w:rPr>
              <w:t>b</w:t>
            </w:r>
          </w:p>
        </w:tc>
        <w:tc>
          <w:tcPr>
            <w:tcW w:w="1934" w:type="dxa"/>
            <w:gridSpan w:val="2"/>
            <w:noWrap/>
            <w:hideMark/>
          </w:tcPr>
          <w:p w14:paraId="465C6C9A"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Total amount</w:t>
            </w:r>
          </w:p>
        </w:tc>
        <w:tc>
          <w:tcPr>
            <w:tcW w:w="950" w:type="dxa"/>
            <w:vMerge w:val="restart"/>
            <w:hideMark/>
          </w:tcPr>
          <w:p w14:paraId="62BF2031"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Status</w:t>
            </w:r>
            <w:r w:rsidRPr="005B54EE">
              <w:rPr>
                <w:rFonts w:ascii="Times New Roman" w:hAnsi="Times New Roman"/>
                <w:i/>
                <w:color w:val="000000"/>
                <w:sz w:val="18"/>
                <w:vertAlign w:val="superscript"/>
              </w:rPr>
              <w:t>c, 3</w:t>
            </w:r>
          </w:p>
        </w:tc>
        <w:tc>
          <w:tcPr>
            <w:tcW w:w="935" w:type="dxa"/>
            <w:vMerge w:val="restart"/>
            <w:hideMark/>
          </w:tcPr>
          <w:p w14:paraId="5942E63E"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Funding source</w:t>
            </w:r>
            <w:r w:rsidRPr="005B54EE">
              <w:rPr>
                <w:rFonts w:ascii="Times New Roman" w:hAnsi="Times New Roman"/>
                <w:i/>
                <w:color w:val="000000"/>
                <w:sz w:val="18"/>
                <w:vertAlign w:val="superscript"/>
              </w:rPr>
              <w:t>g, 4</w:t>
            </w:r>
          </w:p>
        </w:tc>
        <w:tc>
          <w:tcPr>
            <w:tcW w:w="1073" w:type="dxa"/>
            <w:vMerge w:val="restart"/>
            <w:hideMark/>
          </w:tcPr>
          <w:p w14:paraId="7687CEAF"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Financial instrument</w:t>
            </w:r>
            <w:r w:rsidRPr="005B54EE">
              <w:rPr>
                <w:rFonts w:ascii="Times New Roman" w:hAnsi="Times New Roman"/>
                <w:i/>
                <w:color w:val="000000"/>
                <w:sz w:val="18"/>
                <w:vertAlign w:val="superscript"/>
              </w:rPr>
              <w:t>g, 5</w:t>
            </w:r>
          </w:p>
        </w:tc>
        <w:tc>
          <w:tcPr>
            <w:tcW w:w="1060" w:type="dxa"/>
            <w:vMerge w:val="restart"/>
            <w:hideMark/>
          </w:tcPr>
          <w:p w14:paraId="5310FA92"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Type of support</w:t>
            </w:r>
            <w:r w:rsidRPr="005B54EE">
              <w:rPr>
                <w:rFonts w:ascii="Times New Roman" w:hAnsi="Times New Roman"/>
                <w:i/>
                <w:color w:val="000000"/>
                <w:sz w:val="18"/>
                <w:vertAlign w:val="superscript"/>
              </w:rPr>
              <w:t>g, h, 6</w:t>
            </w:r>
          </w:p>
        </w:tc>
        <w:tc>
          <w:tcPr>
            <w:tcW w:w="1130" w:type="dxa"/>
            <w:vMerge w:val="restart"/>
            <w:noWrap/>
            <w:hideMark/>
          </w:tcPr>
          <w:p w14:paraId="4D699B90"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Sector</w:t>
            </w:r>
            <w:r w:rsidRPr="005B54EE">
              <w:rPr>
                <w:rFonts w:ascii="Times New Roman" w:hAnsi="Times New Roman"/>
                <w:i/>
                <w:color w:val="000000"/>
                <w:sz w:val="18"/>
                <w:vertAlign w:val="superscript"/>
              </w:rPr>
              <w:t>d, g, 7</w:t>
            </w:r>
          </w:p>
        </w:tc>
        <w:tc>
          <w:tcPr>
            <w:tcW w:w="2601" w:type="dxa"/>
            <w:vMerge w:val="restart"/>
            <w:hideMark/>
          </w:tcPr>
          <w:p w14:paraId="6781CC0F"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Additional information</w:t>
            </w:r>
            <w:r w:rsidRPr="005B54EE">
              <w:rPr>
                <w:rFonts w:ascii="Times New Roman" w:hAnsi="Times New Roman"/>
                <w:i/>
                <w:color w:val="000000"/>
                <w:sz w:val="18"/>
                <w:vertAlign w:val="superscript"/>
              </w:rPr>
              <w:t>e</w:t>
            </w:r>
          </w:p>
        </w:tc>
      </w:tr>
      <w:tr w:rsidR="001808DF" w:rsidRPr="005B54EE" w14:paraId="0E6F1B7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vMerge/>
            <w:hideMark/>
          </w:tcPr>
          <w:p w14:paraId="7F2D2BBC" w14:textId="77777777" w:rsidR="001808DF" w:rsidRPr="005B54EE" w:rsidRDefault="001808DF" w:rsidP="001808DF">
            <w:pPr>
              <w:jc w:val="left"/>
              <w:rPr>
                <w:rFonts w:ascii="Times New Roman" w:hAnsi="Times New Roman"/>
                <w:i/>
                <w:iCs/>
                <w:color w:val="000000"/>
                <w:sz w:val="18"/>
                <w:szCs w:val="18"/>
              </w:rPr>
            </w:pPr>
          </w:p>
        </w:tc>
        <w:tc>
          <w:tcPr>
            <w:tcW w:w="1934" w:type="dxa"/>
            <w:gridSpan w:val="2"/>
            <w:hideMark/>
          </w:tcPr>
          <w:p w14:paraId="02F3BDB7"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Climate-specific</w:t>
            </w:r>
            <w:r w:rsidRPr="005B54EE">
              <w:rPr>
                <w:rFonts w:ascii="Times New Roman" w:hAnsi="Times New Roman"/>
                <w:i/>
                <w:color w:val="000000"/>
                <w:sz w:val="18"/>
                <w:vertAlign w:val="superscript"/>
              </w:rPr>
              <w:t>f, 2</w:t>
            </w:r>
          </w:p>
        </w:tc>
        <w:tc>
          <w:tcPr>
            <w:tcW w:w="950" w:type="dxa"/>
            <w:vMerge/>
            <w:hideMark/>
          </w:tcPr>
          <w:p w14:paraId="5BC1D70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935" w:type="dxa"/>
            <w:vMerge/>
            <w:hideMark/>
          </w:tcPr>
          <w:p w14:paraId="3663985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1073" w:type="dxa"/>
            <w:vMerge/>
            <w:hideMark/>
          </w:tcPr>
          <w:p w14:paraId="25D910B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1060" w:type="dxa"/>
            <w:vMerge/>
            <w:hideMark/>
          </w:tcPr>
          <w:p w14:paraId="1361EEC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1130" w:type="dxa"/>
            <w:vMerge/>
            <w:hideMark/>
          </w:tcPr>
          <w:p w14:paraId="2F13178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2601" w:type="dxa"/>
            <w:vMerge/>
            <w:hideMark/>
          </w:tcPr>
          <w:p w14:paraId="0A7A3C7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r>
      <w:tr w:rsidR="001808DF" w:rsidRPr="005B54EE" w14:paraId="5E2BA74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vMerge/>
            <w:hideMark/>
          </w:tcPr>
          <w:p w14:paraId="577E7E53" w14:textId="77777777" w:rsidR="001808DF" w:rsidRPr="005B54EE" w:rsidRDefault="001808DF" w:rsidP="001808DF">
            <w:pPr>
              <w:jc w:val="left"/>
              <w:rPr>
                <w:rFonts w:ascii="Times New Roman" w:hAnsi="Times New Roman"/>
                <w:i/>
                <w:iCs/>
                <w:color w:val="000000"/>
                <w:sz w:val="18"/>
                <w:szCs w:val="18"/>
              </w:rPr>
            </w:pPr>
          </w:p>
        </w:tc>
        <w:tc>
          <w:tcPr>
            <w:tcW w:w="975" w:type="dxa"/>
            <w:hideMark/>
          </w:tcPr>
          <w:p w14:paraId="2AC10FEB"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European euro - EUR</w:t>
            </w:r>
          </w:p>
        </w:tc>
        <w:tc>
          <w:tcPr>
            <w:tcW w:w="959" w:type="dxa"/>
            <w:hideMark/>
          </w:tcPr>
          <w:p w14:paraId="4B8C7513"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USD</w:t>
            </w:r>
          </w:p>
        </w:tc>
        <w:tc>
          <w:tcPr>
            <w:tcW w:w="950" w:type="dxa"/>
            <w:vMerge/>
            <w:hideMark/>
          </w:tcPr>
          <w:p w14:paraId="6674376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935" w:type="dxa"/>
            <w:vMerge/>
            <w:hideMark/>
          </w:tcPr>
          <w:p w14:paraId="137EAB5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1073" w:type="dxa"/>
            <w:vMerge/>
            <w:hideMark/>
          </w:tcPr>
          <w:p w14:paraId="7D80B7B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1060" w:type="dxa"/>
            <w:vMerge/>
            <w:hideMark/>
          </w:tcPr>
          <w:p w14:paraId="4E14083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1130" w:type="dxa"/>
            <w:vMerge/>
            <w:hideMark/>
          </w:tcPr>
          <w:p w14:paraId="718D37F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2601" w:type="dxa"/>
            <w:vMerge/>
            <w:hideMark/>
          </w:tcPr>
          <w:p w14:paraId="51A9123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r>
      <w:tr w:rsidR="001808DF" w:rsidRPr="005B54EE" w14:paraId="7E815B6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BBC776D" w14:textId="77777777" w:rsidR="001808DF" w:rsidRPr="005B54EE" w:rsidRDefault="001808DF" w:rsidP="001808DF">
            <w:pPr>
              <w:jc w:val="left"/>
              <w:rPr>
                <w:rFonts w:ascii="Times New Roman" w:hAnsi="Times New Roman"/>
                <w:color w:val="000000"/>
                <w:sz w:val="18"/>
                <w:szCs w:val="18"/>
              </w:rPr>
            </w:pPr>
            <w:r w:rsidRPr="005B54EE">
              <w:rPr>
                <w:rFonts w:ascii="Times New Roman" w:hAnsi="Times New Roman"/>
                <w:sz w:val="18"/>
              </w:rPr>
              <w:t>Total contributions through bilateral, regional and other channels</w:t>
            </w:r>
          </w:p>
        </w:tc>
        <w:tc>
          <w:tcPr>
            <w:tcW w:w="975" w:type="dxa"/>
            <w:hideMark/>
          </w:tcPr>
          <w:p w14:paraId="183E726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5,551,652.60</w:t>
            </w:r>
          </w:p>
        </w:tc>
        <w:tc>
          <w:tcPr>
            <w:tcW w:w="959" w:type="dxa"/>
            <w:hideMark/>
          </w:tcPr>
          <w:p w14:paraId="2EB6CEA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622A7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35" w:type="dxa"/>
            <w:hideMark/>
          </w:tcPr>
          <w:p w14:paraId="6A76054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1073" w:type="dxa"/>
            <w:hideMark/>
          </w:tcPr>
          <w:p w14:paraId="4CB5714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1060" w:type="dxa"/>
            <w:hideMark/>
          </w:tcPr>
          <w:p w14:paraId="67C672C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1130" w:type="dxa"/>
            <w:hideMark/>
          </w:tcPr>
          <w:p w14:paraId="432DFD8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2601" w:type="dxa"/>
            <w:hideMark/>
          </w:tcPr>
          <w:p w14:paraId="5665127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r>
      <w:tr w:rsidR="001808DF" w:rsidRPr="005B54EE" w14:paraId="2CE6A94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39D77C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South Africa / Regeneration of city centres, including energy efficiency</w:t>
            </w:r>
          </w:p>
        </w:tc>
        <w:tc>
          <w:tcPr>
            <w:tcW w:w="975" w:type="dxa"/>
            <w:hideMark/>
          </w:tcPr>
          <w:p w14:paraId="0B081D6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63,169.20</w:t>
            </w:r>
          </w:p>
        </w:tc>
        <w:tc>
          <w:tcPr>
            <w:tcW w:w="959" w:type="dxa"/>
            <w:hideMark/>
          </w:tcPr>
          <w:p w14:paraId="515DB12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2629EE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C76ED6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97EF21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61B576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1F57AA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216EA61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638758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7F807D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Angola / Improving resilience of the agricultural sector</w:t>
            </w:r>
          </w:p>
        </w:tc>
        <w:tc>
          <w:tcPr>
            <w:tcW w:w="975" w:type="dxa"/>
            <w:hideMark/>
          </w:tcPr>
          <w:p w14:paraId="7151AC2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38,073.00</w:t>
            </w:r>
          </w:p>
        </w:tc>
        <w:tc>
          <w:tcPr>
            <w:tcW w:w="959" w:type="dxa"/>
            <w:hideMark/>
          </w:tcPr>
          <w:p w14:paraId="6546475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42B68C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05ED55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12C001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00B574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E1F32C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DEADD4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F67E57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F0118A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Benin / "Reinventing Ganvié" - promotion of sustainable tourism for the development of the city of Ganvié</w:t>
            </w:r>
          </w:p>
        </w:tc>
        <w:tc>
          <w:tcPr>
            <w:tcW w:w="975" w:type="dxa"/>
            <w:hideMark/>
          </w:tcPr>
          <w:p w14:paraId="381C88E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10,005.00</w:t>
            </w:r>
          </w:p>
        </w:tc>
        <w:tc>
          <w:tcPr>
            <w:tcW w:w="959" w:type="dxa"/>
            <w:hideMark/>
          </w:tcPr>
          <w:p w14:paraId="39BBE60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874363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D4FD0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A02F69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EBA093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2007C7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27B2BF7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3D1EB9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FDBBB2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Benin / "Reinventing Ganvié" - promotion of sustainable tourism for the development of the city of Ganvié</w:t>
            </w:r>
          </w:p>
        </w:tc>
        <w:tc>
          <w:tcPr>
            <w:tcW w:w="975" w:type="dxa"/>
            <w:hideMark/>
          </w:tcPr>
          <w:p w14:paraId="4BA7EA1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1,015.00</w:t>
            </w:r>
          </w:p>
        </w:tc>
        <w:tc>
          <w:tcPr>
            <w:tcW w:w="959" w:type="dxa"/>
            <w:hideMark/>
          </w:tcPr>
          <w:p w14:paraId="03CB3D4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6FBBCD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288665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5CAD01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09E4DA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415380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7D13989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E923E7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746E65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Benin / Sanitation of a river basin in Cotonou</w:t>
            </w:r>
          </w:p>
        </w:tc>
        <w:tc>
          <w:tcPr>
            <w:tcW w:w="975" w:type="dxa"/>
            <w:hideMark/>
          </w:tcPr>
          <w:p w14:paraId="55FEF77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w:t>
            </w:r>
          </w:p>
        </w:tc>
        <w:tc>
          <w:tcPr>
            <w:tcW w:w="959" w:type="dxa"/>
            <w:hideMark/>
          </w:tcPr>
          <w:p w14:paraId="316846A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86A63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47378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CEB2E0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55237E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E38A0C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D7D64D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B846E0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B72EAB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Benin / Supporting the transition to agroecology in the cotton sector</w:t>
            </w:r>
          </w:p>
        </w:tc>
        <w:tc>
          <w:tcPr>
            <w:tcW w:w="975" w:type="dxa"/>
            <w:hideMark/>
          </w:tcPr>
          <w:p w14:paraId="72A4458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w:t>
            </w:r>
          </w:p>
        </w:tc>
        <w:tc>
          <w:tcPr>
            <w:tcW w:w="959" w:type="dxa"/>
            <w:hideMark/>
          </w:tcPr>
          <w:p w14:paraId="230B2E7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F028BE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FBD32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83C755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26F8DF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CA6D98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7F420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0ED641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27D087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Burkina Faso / Yeleen projet: building solar power plants and rural electrification</w:t>
            </w:r>
          </w:p>
        </w:tc>
        <w:tc>
          <w:tcPr>
            <w:tcW w:w="975" w:type="dxa"/>
            <w:hideMark/>
          </w:tcPr>
          <w:p w14:paraId="21BB5B1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w:t>
            </w:r>
          </w:p>
        </w:tc>
        <w:tc>
          <w:tcPr>
            <w:tcW w:w="959" w:type="dxa"/>
            <w:hideMark/>
          </w:tcPr>
          <w:p w14:paraId="2BA20CE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2D585F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481D1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34AAFB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342D2E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5A2755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47D2B2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BD4EA9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E268A6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Burkina Faso / Yeleen projet: building solar power plants and rural electrification</w:t>
            </w:r>
          </w:p>
        </w:tc>
        <w:tc>
          <w:tcPr>
            <w:tcW w:w="975" w:type="dxa"/>
            <w:hideMark/>
          </w:tcPr>
          <w:p w14:paraId="47991B9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57C3445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921C66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FC6110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C86F8E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1078FD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A25B70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3EB101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A43FB1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238917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Burkina Faso / Ohango project - improve water and sanitation through a market-based approach</w:t>
            </w:r>
          </w:p>
        </w:tc>
        <w:tc>
          <w:tcPr>
            <w:tcW w:w="975" w:type="dxa"/>
            <w:hideMark/>
          </w:tcPr>
          <w:p w14:paraId="0F30C68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2,460.00</w:t>
            </w:r>
          </w:p>
        </w:tc>
        <w:tc>
          <w:tcPr>
            <w:tcW w:w="959" w:type="dxa"/>
            <w:hideMark/>
          </w:tcPr>
          <w:p w14:paraId="5D3C725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2FB833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5E6C33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0DC82E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695C06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A0371D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133C61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4BE6A0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D0354F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Burkina Faso / Improve access to water and sanitation in 32 communities</w:t>
            </w:r>
          </w:p>
        </w:tc>
        <w:tc>
          <w:tcPr>
            <w:tcW w:w="975" w:type="dxa"/>
            <w:hideMark/>
          </w:tcPr>
          <w:p w14:paraId="63DEE62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3,350.00</w:t>
            </w:r>
          </w:p>
        </w:tc>
        <w:tc>
          <w:tcPr>
            <w:tcW w:w="959" w:type="dxa"/>
            <w:hideMark/>
          </w:tcPr>
          <w:p w14:paraId="7930A4B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A2BB09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92235A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070DBE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4B0E20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0DC91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8C766C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A513D3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7F6A64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Burkina Faso / Supporting sustainable waste management</w:t>
            </w:r>
          </w:p>
        </w:tc>
        <w:tc>
          <w:tcPr>
            <w:tcW w:w="975" w:type="dxa"/>
            <w:hideMark/>
          </w:tcPr>
          <w:p w14:paraId="0C559E7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510.00</w:t>
            </w:r>
          </w:p>
        </w:tc>
        <w:tc>
          <w:tcPr>
            <w:tcW w:w="959" w:type="dxa"/>
            <w:hideMark/>
          </w:tcPr>
          <w:p w14:paraId="4BAC858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48A9D0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4B5DB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FB2707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B90D96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EF0EDE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BE48F1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46759C3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9A6501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Cameroon / Supporting sustainable waste management</w:t>
            </w:r>
          </w:p>
        </w:tc>
        <w:tc>
          <w:tcPr>
            <w:tcW w:w="975" w:type="dxa"/>
            <w:hideMark/>
          </w:tcPr>
          <w:p w14:paraId="3C5BEF9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225.00</w:t>
            </w:r>
          </w:p>
        </w:tc>
        <w:tc>
          <w:tcPr>
            <w:tcW w:w="959" w:type="dxa"/>
            <w:hideMark/>
          </w:tcPr>
          <w:p w14:paraId="2E02DD7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EF6791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08F576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619805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B5D1C4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E1218F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5753D74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619B559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8F62439" w14:textId="77777777" w:rsidR="001808DF" w:rsidRPr="005B54EE" w:rsidRDefault="001808DF" w:rsidP="001808DF">
            <w:pPr>
              <w:ind w:firstLineChars="100" w:firstLine="181"/>
              <w:jc w:val="left"/>
              <w:rPr>
                <w:rFonts w:ascii="Times New Roman" w:hAnsi="Times New Roman"/>
                <w:color w:val="000000"/>
                <w:sz w:val="18"/>
                <w:szCs w:val="18"/>
              </w:rPr>
            </w:pPr>
            <w:bookmarkStart w:id="269" w:name="RANGE!A20"/>
            <w:r w:rsidRPr="005B54EE">
              <w:rPr>
                <w:rFonts w:ascii="Times New Roman" w:hAnsi="Times New Roman"/>
                <w:sz w:val="18"/>
              </w:rPr>
              <w:t>Central African Republic / Renovation works for Baoli hydroelectric power plant</w:t>
            </w:r>
            <w:bookmarkEnd w:id="269"/>
          </w:p>
        </w:tc>
        <w:tc>
          <w:tcPr>
            <w:tcW w:w="975" w:type="dxa"/>
            <w:hideMark/>
          </w:tcPr>
          <w:p w14:paraId="05D8746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w:t>
            </w:r>
          </w:p>
        </w:tc>
        <w:tc>
          <w:tcPr>
            <w:tcW w:w="959" w:type="dxa"/>
            <w:hideMark/>
          </w:tcPr>
          <w:p w14:paraId="5BF74BA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91DCEC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793BB2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980C7B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C79FE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F2F456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3871E1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C57386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F2F62E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Central African Republic / Promoting local initiatives for sustainable flood management</w:t>
            </w:r>
          </w:p>
        </w:tc>
        <w:tc>
          <w:tcPr>
            <w:tcW w:w="975" w:type="dxa"/>
            <w:hideMark/>
          </w:tcPr>
          <w:p w14:paraId="77F180E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06EBAB2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11299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F766C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D2611B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881FBA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DA050F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5A500ED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EE08D6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91AEA5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Central African Republic / Local development taking into account adaptation issues in North-West of Central African Republic</w:t>
            </w:r>
          </w:p>
        </w:tc>
        <w:tc>
          <w:tcPr>
            <w:tcW w:w="975" w:type="dxa"/>
            <w:hideMark/>
          </w:tcPr>
          <w:p w14:paraId="289D8E5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4,950.00</w:t>
            </w:r>
          </w:p>
        </w:tc>
        <w:tc>
          <w:tcPr>
            <w:tcW w:w="959" w:type="dxa"/>
            <w:hideMark/>
          </w:tcPr>
          <w:p w14:paraId="3F6A349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87032E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35EEFD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C24C07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8F92EA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A7FEC8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8A1B66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C2ADB3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79E64F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Comoros / Support to rural export food chains</w:t>
            </w:r>
          </w:p>
        </w:tc>
        <w:tc>
          <w:tcPr>
            <w:tcW w:w="975" w:type="dxa"/>
            <w:hideMark/>
          </w:tcPr>
          <w:p w14:paraId="5295286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w:t>
            </w:r>
          </w:p>
        </w:tc>
        <w:tc>
          <w:tcPr>
            <w:tcW w:w="959" w:type="dxa"/>
            <w:hideMark/>
          </w:tcPr>
          <w:p w14:paraId="3F3B15B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8BCC65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D123F5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015B65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C01F6F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26CFC4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A17552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571555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32988B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Comoros / Support to rural export food chains</w:t>
            </w:r>
          </w:p>
        </w:tc>
        <w:tc>
          <w:tcPr>
            <w:tcW w:w="975" w:type="dxa"/>
            <w:hideMark/>
          </w:tcPr>
          <w:p w14:paraId="0B6F320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w:t>
            </w:r>
          </w:p>
        </w:tc>
        <w:tc>
          <w:tcPr>
            <w:tcW w:w="959" w:type="dxa"/>
            <w:hideMark/>
          </w:tcPr>
          <w:p w14:paraId="43DFAE1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727210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32B77A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59A987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6D8C42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4EB119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90DE75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1E450D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7E2D44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Comoros / Supporting the setting up of a broad healthcare system</w:t>
            </w:r>
          </w:p>
        </w:tc>
        <w:tc>
          <w:tcPr>
            <w:tcW w:w="975" w:type="dxa"/>
            <w:hideMark/>
          </w:tcPr>
          <w:p w14:paraId="63F7599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w:t>
            </w:r>
          </w:p>
        </w:tc>
        <w:tc>
          <w:tcPr>
            <w:tcW w:w="959" w:type="dxa"/>
            <w:hideMark/>
          </w:tcPr>
          <w:p w14:paraId="233440C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6A707F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0E93C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EB4E76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D1E286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9016E1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56E8F3F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BD5CB5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EFE9A4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Comoros / Strenghtening community health </w:t>
            </w:r>
          </w:p>
        </w:tc>
        <w:tc>
          <w:tcPr>
            <w:tcW w:w="975" w:type="dxa"/>
            <w:hideMark/>
          </w:tcPr>
          <w:p w14:paraId="387182E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w:t>
            </w:r>
          </w:p>
        </w:tc>
        <w:tc>
          <w:tcPr>
            <w:tcW w:w="959" w:type="dxa"/>
            <w:hideMark/>
          </w:tcPr>
          <w:p w14:paraId="75B72A4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EDE1AF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9BD7E0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598958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9AD44D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737D6F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43F4F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B815B5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3E6361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Comoros / Sustainable production of ylang-ylang essential oil, by increasing energy efficiency of the production processes</w:t>
            </w:r>
          </w:p>
        </w:tc>
        <w:tc>
          <w:tcPr>
            <w:tcW w:w="975" w:type="dxa"/>
            <w:hideMark/>
          </w:tcPr>
          <w:p w14:paraId="51B63C1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288.00</w:t>
            </w:r>
          </w:p>
        </w:tc>
        <w:tc>
          <w:tcPr>
            <w:tcW w:w="959" w:type="dxa"/>
            <w:hideMark/>
          </w:tcPr>
          <w:p w14:paraId="572C247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38072A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1BA4C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30A25D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75A260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87206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98196C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254DC42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C9990F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Biomass power plant</w:t>
            </w:r>
          </w:p>
        </w:tc>
        <w:tc>
          <w:tcPr>
            <w:tcW w:w="975" w:type="dxa"/>
            <w:hideMark/>
          </w:tcPr>
          <w:p w14:paraId="2A5B195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135,000.00</w:t>
            </w:r>
          </w:p>
        </w:tc>
        <w:tc>
          <w:tcPr>
            <w:tcW w:w="959" w:type="dxa"/>
            <w:hideMark/>
          </w:tcPr>
          <w:p w14:paraId="03E7EEB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3BD4FE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0AF029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5036B8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F4183A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F651E9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7553A78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4BAA1F8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369C56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Resilient buildings for the marketplaces of Bouake and Yopongon</w:t>
            </w:r>
          </w:p>
        </w:tc>
        <w:tc>
          <w:tcPr>
            <w:tcW w:w="975" w:type="dxa"/>
            <w:hideMark/>
          </w:tcPr>
          <w:p w14:paraId="7BC61E8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15,300.00</w:t>
            </w:r>
          </w:p>
        </w:tc>
        <w:tc>
          <w:tcPr>
            <w:tcW w:w="959" w:type="dxa"/>
            <w:hideMark/>
          </w:tcPr>
          <w:p w14:paraId="7A8F4B9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6547CA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23F22E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B2AEB0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886859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BBEDD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643E78B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A87CBC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88790F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Côte D'ivoire / Rehabilitation of the road between Bouaké and Ferkessédougou </w:t>
            </w:r>
          </w:p>
        </w:tc>
        <w:tc>
          <w:tcPr>
            <w:tcW w:w="975" w:type="dxa"/>
            <w:hideMark/>
          </w:tcPr>
          <w:p w14:paraId="63D0822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33,000.00</w:t>
            </w:r>
          </w:p>
        </w:tc>
        <w:tc>
          <w:tcPr>
            <w:tcW w:w="959" w:type="dxa"/>
            <w:hideMark/>
          </w:tcPr>
          <w:p w14:paraId="511D339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851B8A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2265F8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52B64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CC0633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BABBA1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660F78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306E31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6A2C53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Innovative monitoring of rainfall</w:t>
            </w:r>
          </w:p>
        </w:tc>
        <w:tc>
          <w:tcPr>
            <w:tcW w:w="975" w:type="dxa"/>
            <w:hideMark/>
          </w:tcPr>
          <w:p w14:paraId="6D7513D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28,000.00</w:t>
            </w:r>
          </w:p>
        </w:tc>
        <w:tc>
          <w:tcPr>
            <w:tcW w:w="959" w:type="dxa"/>
            <w:hideMark/>
          </w:tcPr>
          <w:p w14:paraId="3F86194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684CFC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023B8F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57CCED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0184E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F7DBE7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25FFD7C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A66F30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A438AE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ACE Impact: high-level education in relation to mitigation, climate risk management and agroecology</w:t>
            </w:r>
          </w:p>
        </w:tc>
        <w:tc>
          <w:tcPr>
            <w:tcW w:w="975" w:type="dxa"/>
            <w:hideMark/>
          </w:tcPr>
          <w:p w14:paraId="2C33AE2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6,171.00</w:t>
            </w:r>
          </w:p>
        </w:tc>
        <w:tc>
          <w:tcPr>
            <w:tcW w:w="959" w:type="dxa"/>
            <w:hideMark/>
          </w:tcPr>
          <w:p w14:paraId="55AE0FB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19F07F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D00CEE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30DE3F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6EF13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CD5C69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502FF21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4AEDD0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A8761B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Côte D'ivoire / Access to solar energy </w:t>
            </w:r>
          </w:p>
        </w:tc>
        <w:tc>
          <w:tcPr>
            <w:tcW w:w="975" w:type="dxa"/>
            <w:hideMark/>
          </w:tcPr>
          <w:p w14:paraId="76BC661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98,000.00</w:t>
            </w:r>
          </w:p>
        </w:tc>
        <w:tc>
          <w:tcPr>
            <w:tcW w:w="959" w:type="dxa"/>
            <w:hideMark/>
          </w:tcPr>
          <w:p w14:paraId="34A5A4E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1B3E0E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CC7AD1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34968B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243D27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EEE9EE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3523B0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AABD60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362F1F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Urban mobility in Abidjan</w:t>
            </w:r>
          </w:p>
        </w:tc>
        <w:tc>
          <w:tcPr>
            <w:tcW w:w="975" w:type="dxa"/>
            <w:hideMark/>
          </w:tcPr>
          <w:p w14:paraId="65E9A46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77,400.00</w:t>
            </w:r>
          </w:p>
        </w:tc>
        <w:tc>
          <w:tcPr>
            <w:tcW w:w="959" w:type="dxa"/>
            <w:hideMark/>
          </w:tcPr>
          <w:p w14:paraId="4F5550D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70C57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F763CF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60E86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65499F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6A287B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443E721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AF13F0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D3F16E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Biomass power plant</w:t>
            </w:r>
          </w:p>
        </w:tc>
        <w:tc>
          <w:tcPr>
            <w:tcW w:w="975" w:type="dxa"/>
            <w:hideMark/>
          </w:tcPr>
          <w:p w14:paraId="185D4FA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4EC600C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D17B7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E16C8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00D74C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F45A1D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D5E09F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1BB0712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4067165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40BDE4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Djibouti / Extending the sanitation network in Djibouti</w:t>
            </w:r>
          </w:p>
        </w:tc>
        <w:tc>
          <w:tcPr>
            <w:tcW w:w="975" w:type="dxa"/>
            <w:hideMark/>
          </w:tcPr>
          <w:p w14:paraId="065B823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7,370.00</w:t>
            </w:r>
          </w:p>
        </w:tc>
        <w:tc>
          <w:tcPr>
            <w:tcW w:w="959" w:type="dxa"/>
            <w:hideMark/>
          </w:tcPr>
          <w:p w14:paraId="7F9E6C6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BB102F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0CB478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18497E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6C4752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9CF12C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8109D1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DEBD59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DD07D5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Djibouti / Integrated urban development in Balbala</w:t>
            </w:r>
          </w:p>
        </w:tc>
        <w:tc>
          <w:tcPr>
            <w:tcW w:w="975" w:type="dxa"/>
            <w:hideMark/>
          </w:tcPr>
          <w:p w14:paraId="526550D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210.00</w:t>
            </w:r>
          </w:p>
        </w:tc>
        <w:tc>
          <w:tcPr>
            <w:tcW w:w="959" w:type="dxa"/>
            <w:hideMark/>
          </w:tcPr>
          <w:p w14:paraId="13DC1B7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E1623E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26D45C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51B389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057BDE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11CD2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29BFCB6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1A4F8B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B6CBB4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Financial intermediation to support climate finance</w:t>
            </w:r>
          </w:p>
        </w:tc>
        <w:tc>
          <w:tcPr>
            <w:tcW w:w="975" w:type="dxa"/>
            <w:hideMark/>
          </w:tcPr>
          <w:p w14:paraId="355A1F1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72,000.00</w:t>
            </w:r>
          </w:p>
        </w:tc>
        <w:tc>
          <w:tcPr>
            <w:tcW w:w="959" w:type="dxa"/>
            <w:hideMark/>
          </w:tcPr>
          <w:p w14:paraId="5D68607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849B9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F632DC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ADF1DE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C8B0A2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D1033F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01A7138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4E4E9A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0E7243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Financial intermediation to support climate finance</w:t>
            </w:r>
          </w:p>
        </w:tc>
        <w:tc>
          <w:tcPr>
            <w:tcW w:w="975" w:type="dxa"/>
            <w:hideMark/>
          </w:tcPr>
          <w:p w14:paraId="2E64D76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6DA8B3A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C0090A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CB93DE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9881FB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63622D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5E3B77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4C02723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2D685B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CE533B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Supporting the development of public policies related to the energy sector</w:t>
            </w:r>
          </w:p>
        </w:tc>
        <w:tc>
          <w:tcPr>
            <w:tcW w:w="975" w:type="dxa"/>
            <w:hideMark/>
          </w:tcPr>
          <w:p w14:paraId="6FFDD13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50,250.00</w:t>
            </w:r>
          </w:p>
        </w:tc>
        <w:tc>
          <w:tcPr>
            <w:tcW w:w="959" w:type="dxa"/>
            <w:hideMark/>
          </w:tcPr>
          <w:p w14:paraId="77500DB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52BCE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CA6589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4A05F7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77BE35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6CDBC3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7DBAD05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104EFC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AD3E89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Supporting the development of public policies related to the energy sector</w:t>
            </w:r>
          </w:p>
        </w:tc>
        <w:tc>
          <w:tcPr>
            <w:tcW w:w="975" w:type="dxa"/>
            <w:hideMark/>
          </w:tcPr>
          <w:p w14:paraId="2E8EA40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670.00</w:t>
            </w:r>
          </w:p>
        </w:tc>
        <w:tc>
          <w:tcPr>
            <w:tcW w:w="959" w:type="dxa"/>
            <w:hideMark/>
          </w:tcPr>
          <w:p w14:paraId="3138644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B6CFF8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F935C7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34F48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39F24D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B55EB6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1A33D1D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6A86D5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56F8F9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Financial intermediation to support climate finance</w:t>
            </w:r>
          </w:p>
        </w:tc>
        <w:tc>
          <w:tcPr>
            <w:tcW w:w="975" w:type="dxa"/>
            <w:hideMark/>
          </w:tcPr>
          <w:p w14:paraId="63E5709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36,200.00</w:t>
            </w:r>
          </w:p>
        </w:tc>
        <w:tc>
          <w:tcPr>
            <w:tcW w:w="959" w:type="dxa"/>
            <w:hideMark/>
          </w:tcPr>
          <w:p w14:paraId="741C788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34833E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3FADCA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9EF1EE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5814B8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C3BD08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1DBCFFA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2586C5D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6770A2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Water recycling for re-use in production processes</w:t>
            </w:r>
          </w:p>
        </w:tc>
        <w:tc>
          <w:tcPr>
            <w:tcW w:w="975" w:type="dxa"/>
            <w:hideMark/>
          </w:tcPr>
          <w:p w14:paraId="0FCE587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542.35</w:t>
            </w:r>
          </w:p>
        </w:tc>
        <w:tc>
          <w:tcPr>
            <w:tcW w:w="959" w:type="dxa"/>
            <w:hideMark/>
          </w:tcPr>
          <w:p w14:paraId="7A2460D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0A4C86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CA8708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54F1E0D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5E4B138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139458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D2D7FA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1DC5156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E60B9D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Ethiopia / Budgetary programme</w:t>
            </w:r>
          </w:p>
        </w:tc>
        <w:tc>
          <w:tcPr>
            <w:tcW w:w="975" w:type="dxa"/>
            <w:hideMark/>
          </w:tcPr>
          <w:p w14:paraId="1FC6181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11,900.00</w:t>
            </w:r>
          </w:p>
        </w:tc>
        <w:tc>
          <w:tcPr>
            <w:tcW w:w="959" w:type="dxa"/>
            <w:hideMark/>
          </w:tcPr>
          <w:p w14:paraId="0D96847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263C05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7D6828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B5B36D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2554756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427F3F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BC7098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26B393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CD2BB0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Ethiopia / Public policies directed towards sustainable development</w:t>
            </w:r>
          </w:p>
        </w:tc>
        <w:tc>
          <w:tcPr>
            <w:tcW w:w="975" w:type="dxa"/>
            <w:hideMark/>
          </w:tcPr>
          <w:p w14:paraId="2B5EC92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910.00</w:t>
            </w:r>
          </w:p>
        </w:tc>
        <w:tc>
          <w:tcPr>
            <w:tcW w:w="959" w:type="dxa"/>
            <w:hideMark/>
          </w:tcPr>
          <w:p w14:paraId="6E569D9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BE7FF2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E341A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FE064C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E877B2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E8CD5A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1BEDF20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00B30A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67E7C5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Ethiopia / Public policies directed towards sustainable development</w:t>
            </w:r>
          </w:p>
        </w:tc>
        <w:tc>
          <w:tcPr>
            <w:tcW w:w="975" w:type="dxa"/>
            <w:hideMark/>
          </w:tcPr>
          <w:p w14:paraId="2D7530D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770.00</w:t>
            </w:r>
          </w:p>
        </w:tc>
        <w:tc>
          <w:tcPr>
            <w:tcW w:w="959" w:type="dxa"/>
            <w:hideMark/>
          </w:tcPr>
          <w:p w14:paraId="03E0293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998D1E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6BA79D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AE119E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8AB82D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6C8513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1DE0B1A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458595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8553A5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Ethiopia / Public policies directed towards sustainable development</w:t>
            </w:r>
          </w:p>
        </w:tc>
        <w:tc>
          <w:tcPr>
            <w:tcW w:w="975" w:type="dxa"/>
            <w:hideMark/>
          </w:tcPr>
          <w:p w14:paraId="58AD3CF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420.00</w:t>
            </w:r>
          </w:p>
        </w:tc>
        <w:tc>
          <w:tcPr>
            <w:tcW w:w="959" w:type="dxa"/>
            <w:hideMark/>
          </w:tcPr>
          <w:p w14:paraId="090852C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F5D6D7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E3D7D1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7F5D0A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C52479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B91839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4871E48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A0B2DE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C676F8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Ethiopia / Sanitation for clean water</w:t>
            </w:r>
          </w:p>
        </w:tc>
        <w:tc>
          <w:tcPr>
            <w:tcW w:w="975" w:type="dxa"/>
            <w:hideMark/>
          </w:tcPr>
          <w:p w14:paraId="072FB9D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w:t>
            </w:r>
          </w:p>
        </w:tc>
        <w:tc>
          <w:tcPr>
            <w:tcW w:w="959" w:type="dxa"/>
            <w:hideMark/>
          </w:tcPr>
          <w:p w14:paraId="4CF8138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411763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CF0C5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BD53E6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EC6CD4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BBE05E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3F5DC2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AC48D3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9ED45D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Gabon / Investments for the development of sustainable agriculture</w:t>
            </w:r>
          </w:p>
        </w:tc>
        <w:tc>
          <w:tcPr>
            <w:tcW w:w="975" w:type="dxa"/>
            <w:hideMark/>
          </w:tcPr>
          <w:p w14:paraId="0E9E4A0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w:t>
            </w:r>
          </w:p>
        </w:tc>
        <w:tc>
          <w:tcPr>
            <w:tcW w:w="959" w:type="dxa"/>
            <w:hideMark/>
          </w:tcPr>
          <w:p w14:paraId="698A324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5B88C4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3EBB8D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51E2F8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211FC5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70AC5E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35764D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2F8B29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16A02E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Gambia / Water supply in Banjul</w:t>
            </w:r>
          </w:p>
        </w:tc>
        <w:tc>
          <w:tcPr>
            <w:tcW w:w="975" w:type="dxa"/>
            <w:hideMark/>
          </w:tcPr>
          <w:p w14:paraId="3AFDE08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6,600.00</w:t>
            </w:r>
          </w:p>
        </w:tc>
        <w:tc>
          <w:tcPr>
            <w:tcW w:w="959" w:type="dxa"/>
            <w:hideMark/>
          </w:tcPr>
          <w:p w14:paraId="389BBD5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9BB76B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7C6289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81008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A132F0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CFFDC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EC4E7A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C36683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9E7FD0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Guinea / Hydrolectrical power plan</w:t>
            </w:r>
          </w:p>
        </w:tc>
        <w:tc>
          <w:tcPr>
            <w:tcW w:w="975" w:type="dxa"/>
            <w:hideMark/>
          </w:tcPr>
          <w:p w14:paraId="13E3F6C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w:t>
            </w:r>
          </w:p>
        </w:tc>
        <w:tc>
          <w:tcPr>
            <w:tcW w:w="959" w:type="dxa"/>
            <w:hideMark/>
          </w:tcPr>
          <w:p w14:paraId="2B7DF67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6547D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A80D7D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BE4644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3E82BE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CE9C9A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FEB2D5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E33C2B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E4A215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Energy-efficient building of the Nairobi university</w:t>
            </w:r>
          </w:p>
        </w:tc>
        <w:tc>
          <w:tcPr>
            <w:tcW w:w="975" w:type="dxa"/>
            <w:hideMark/>
          </w:tcPr>
          <w:p w14:paraId="7CEDC22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16,800.00</w:t>
            </w:r>
          </w:p>
        </w:tc>
        <w:tc>
          <w:tcPr>
            <w:tcW w:w="959" w:type="dxa"/>
            <w:hideMark/>
          </w:tcPr>
          <w:p w14:paraId="483EFB6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33FB48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DFC65A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46D542C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7E7007E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AEC6F4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B74E2F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E21C60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2C2E8E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Accounting for environmental issues within university education in Nairobi</w:t>
            </w:r>
          </w:p>
        </w:tc>
        <w:tc>
          <w:tcPr>
            <w:tcW w:w="975" w:type="dxa"/>
            <w:hideMark/>
          </w:tcPr>
          <w:p w14:paraId="0A6D1B9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2,800.00</w:t>
            </w:r>
          </w:p>
        </w:tc>
        <w:tc>
          <w:tcPr>
            <w:tcW w:w="959" w:type="dxa"/>
            <w:hideMark/>
          </w:tcPr>
          <w:p w14:paraId="16C8428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BAC26B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6573A7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B6A33C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451C50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000153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E3B25B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65C7EB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0B7B6F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Sustainable forestry in Mau</w:t>
            </w:r>
          </w:p>
        </w:tc>
        <w:tc>
          <w:tcPr>
            <w:tcW w:w="975" w:type="dxa"/>
            <w:hideMark/>
          </w:tcPr>
          <w:p w14:paraId="42F2FE4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1,300.00</w:t>
            </w:r>
          </w:p>
        </w:tc>
        <w:tc>
          <w:tcPr>
            <w:tcW w:w="959" w:type="dxa"/>
            <w:hideMark/>
          </w:tcPr>
          <w:p w14:paraId="7F115D0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82BC09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1877CD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5CC980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4F1E5B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F058F4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1356072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F831B0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5750FE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Ecological continuities in Nothern Kenya</w:t>
            </w:r>
          </w:p>
        </w:tc>
        <w:tc>
          <w:tcPr>
            <w:tcW w:w="975" w:type="dxa"/>
            <w:hideMark/>
          </w:tcPr>
          <w:p w14:paraId="76EF4B2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3,700.00</w:t>
            </w:r>
          </w:p>
        </w:tc>
        <w:tc>
          <w:tcPr>
            <w:tcW w:w="959" w:type="dxa"/>
            <w:hideMark/>
          </w:tcPr>
          <w:p w14:paraId="5523399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3660E1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D37117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4A7152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8E213E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421CC3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0FA3871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D94269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3B1D8C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Wind power plant</w:t>
            </w:r>
          </w:p>
        </w:tc>
        <w:tc>
          <w:tcPr>
            <w:tcW w:w="975" w:type="dxa"/>
            <w:hideMark/>
          </w:tcPr>
          <w:p w14:paraId="48D62B5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24,274.03</w:t>
            </w:r>
          </w:p>
        </w:tc>
        <w:tc>
          <w:tcPr>
            <w:tcW w:w="959" w:type="dxa"/>
            <w:hideMark/>
          </w:tcPr>
          <w:p w14:paraId="5B48F19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869BB1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B3A93B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01423FE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659977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B8A3E6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1188864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112E07C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79A202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Financial intermediation for agriculture</w:t>
            </w:r>
          </w:p>
        </w:tc>
        <w:tc>
          <w:tcPr>
            <w:tcW w:w="975" w:type="dxa"/>
            <w:hideMark/>
          </w:tcPr>
          <w:p w14:paraId="6ED1B26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3,687.97</w:t>
            </w:r>
          </w:p>
        </w:tc>
        <w:tc>
          <w:tcPr>
            <w:tcW w:w="959" w:type="dxa"/>
            <w:hideMark/>
          </w:tcPr>
          <w:p w14:paraId="7DB5A85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D077E0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37B82F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45C8AE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3D48E6A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0C66E3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77FE98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78C79B9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DED382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Liberia / Supporting youth integration</w:t>
            </w:r>
          </w:p>
        </w:tc>
        <w:tc>
          <w:tcPr>
            <w:tcW w:w="975" w:type="dxa"/>
            <w:hideMark/>
          </w:tcPr>
          <w:p w14:paraId="0091233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1,100.00</w:t>
            </w:r>
          </w:p>
        </w:tc>
        <w:tc>
          <w:tcPr>
            <w:tcW w:w="959" w:type="dxa"/>
            <w:hideMark/>
          </w:tcPr>
          <w:p w14:paraId="5B00BB0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614421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238D2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8E06C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4AAD60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8E0952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0AC6697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CBDFFC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CA9E38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Madagascar / Support the Sectorial Education Plan          </w:t>
            </w:r>
          </w:p>
        </w:tc>
        <w:tc>
          <w:tcPr>
            <w:tcW w:w="975" w:type="dxa"/>
            <w:hideMark/>
          </w:tcPr>
          <w:p w14:paraId="3C897CF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1,144.00</w:t>
            </w:r>
          </w:p>
        </w:tc>
        <w:tc>
          <w:tcPr>
            <w:tcW w:w="959" w:type="dxa"/>
            <w:hideMark/>
          </w:tcPr>
          <w:p w14:paraId="018B026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CE886A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F83A9D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916656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B3C2BC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E676C1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0A9CA2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1EDFC4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00B6B8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Madagascar / Support the Sectorial Education Plan          </w:t>
            </w:r>
          </w:p>
        </w:tc>
        <w:tc>
          <w:tcPr>
            <w:tcW w:w="975" w:type="dxa"/>
            <w:hideMark/>
          </w:tcPr>
          <w:p w14:paraId="312A321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w:t>
            </w:r>
          </w:p>
        </w:tc>
        <w:tc>
          <w:tcPr>
            <w:tcW w:w="959" w:type="dxa"/>
            <w:hideMark/>
          </w:tcPr>
          <w:p w14:paraId="3AD0F18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CCE98F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CCF1C2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078486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17E8CC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EEAB32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CE9019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699835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1F5141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Madagascar / Public policy reform to support disaster-risk management </w:t>
            </w:r>
          </w:p>
        </w:tc>
        <w:tc>
          <w:tcPr>
            <w:tcW w:w="975" w:type="dxa"/>
            <w:hideMark/>
          </w:tcPr>
          <w:p w14:paraId="121011A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w:t>
            </w:r>
          </w:p>
        </w:tc>
        <w:tc>
          <w:tcPr>
            <w:tcW w:w="959" w:type="dxa"/>
            <w:hideMark/>
          </w:tcPr>
          <w:p w14:paraId="0D819A4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0080CC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FDFF61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DF1374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9E2BE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AABF84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525F8C6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7FDA25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A505E1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Madagascar / Public policy reform to support disaster-risk management </w:t>
            </w:r>
          </w:p>
        </w:tc>
        <w:tc>
          <w:tcPr>
            <w:tcW w:w="975" w:type="dxa"/>
            <w:hideMark/>
          </w:tcPr>
          <w:p w14:paraId="3837A9F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4A807FB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EB0432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B0E224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8463DE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9C1E2F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E2E11D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86EA6B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F3B337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84B210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Madagascar / Organisation of agricultural producers in northern Antananarivo</w:t>
            </w:r>
          </w:p>
        </w:tc>
        <w:tc>
          <w:tcPr>
            <w:tcW w:w="975" w:type="dxa"/>
            <w:hideMark/>
          </w:tcPr>
          <w:p w14:paraId="553FEA6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495.00</w:t>
            </w:r>
          </w:p>
        </w:tc>
        <w:tc>
          <w:tcPr>
            <w:tcW w:w="959" w:type="dxa"/>
            <w:hideMark/>
          </w:tcPr>
          <w:p w14:paraId="100F725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BA24B0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C25E4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4B148E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045C85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0237AF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C31028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33FC4BE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D31183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Madagascar / Contribution to the Foundation for Biodiversity and Protected Areas, aiming to support the creation of at least two new protected areas, in regions vulnerable to deforestation</w:t>
            </w:r>
          </w:p>
        </w:tc>
        <w:tc>
          <w:tcPr>
            <w:tcW w:w="975" w:type="dxa"/>
            <w:hideMark/>
          </w:tcPr>
          <w:p w14:paraId="0F7AEF9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w:t>
            </w:r>
          </w:p>
        </w:tc>
        <w:tc>
          <w:tcPr>
            <w:tcW w:w="959" w:type="dxa"/>
            <w:hideMark/>
          </w:tcPr>
          <w:p w14:paraId="7A46463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500044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CB09A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E2C3B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1F7EDC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F69827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6DBE2E1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4F658D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0F7D0E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Madagascar / Women Solar Entrepreneurs</w:t>
            </w:r>
          </w:p>
        </w:tc>
        <w:tc>
          <w:tcPr>
            <w:tcW w:w="975" w:type="dxa"/>
            <w:hideMark/>
          </w:tcPr>
          <w:p w14:paraId="6E150EE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w:t>
            </w:r>
          </w:p>
        </w:tc>
        <w:tc>
          <w:tcPr>
            <w:tcW w:w="959" w:type="dxa"/>
            <w:hideMark/>
          </w:tcPr>
          <w:p w14:paraId="38EA3CC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D2AEF1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32434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F04D3F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743A64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94E066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1592BE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30B7E63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9BB301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Madagascar / Access to clean drinking water</w:t>
            </w:r>
          </w:p>
        </w:tc>
        <w:tc>
          <w:tcPr>
            <w:tcW w:w="975" w:type="dxa"/>
            <w:hideMark/>
          </w:tcPr>
          <w:p w14:paraId="0D3078C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w:t>
            </w:r>
          </w:p>
        </w:tc>
        <w:tc>
          <w:tcPr>
            <w:tcW w:w="959" w:type="dxa"/>
            <w:hideMark/>
          </w:tcPr>
          <w:p w14:paraId="1795903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FCAF48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81402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2A0E96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227AF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7847E1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0E733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3A74743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A06E98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Mali / Agriculture &amp; rural development</w:t>
            </w:r>
          </w:p>
        </w:tc>
        <w:tc>
          <w:tcPr>
            <w:tcW w:w="975" w:type="dxa"/>
            <w:hideMark/>
          </w:tcPr>
          <w:p w14:paraId="16399FF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4,745.00</w:t>
            </w:r>
          </w:p>
        </w:tc>
        <w:tc>
          <w:tcPr>
            <w:tcW w:w="959" w:type="dxa"/>
            <w:hideMark/>
          </w:tcPr>
          <w:p w14:paraId="3BBA518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5D63B2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6A806D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71BE8A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4BA55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B68ED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37213F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AC9CA2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09C715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Mali / Drinking water supply</w:t>
            </w:r>
          </w:p>
        </w:tc>
        <w:tc>
          <w:tcPr>
            <w:tcW w:w="975" w:type="dxa"/>
            <w:hideMark/>
          </w:tcPr>
          <w:p w14:paraId="2CB542B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w:t>
            </w:r>
          </w:p>
        </w:tc>
        <w:tc>
          <w:tcPr>
            <w:tcW w:w="959" w:type="dxa"/>
            <w:hideMark/>
          </w:tcPr>
          <w:p w14:paraId="40CD491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E79AC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CD4FC7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1E634E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7893DD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7154CF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736C2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61D4D2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A5C6E5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Mali / Electricity distribution grid</w:t>
            </w:r>
          </w:p>
        </w:tc>
        <w:tc>
          <w:tcPr>
            <w:tcW w:w="975" w:type="dxa"/>
            <w:hideMark/>
          </w:tcPr>
          <w:p w14:paraId="5701E05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27,500.00</w:t>
            </w:r>
          </w:p>
        </w:tc>
        <w:tc>
          <w:tcPr>
            <w:tcW w:w="959" w:type="dxa"/>
            <w:hideMark/>
          </w:tcPr>
          <w:p w14:paraId="7E08302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B2D7F5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B7A5D8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063F89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64470D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AA942C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0A742E3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087146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D26410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Mali / Sustainable production of cotton</w:t>
            </w:r>
          </w:p>
        </w:tc>
        <w:tc>
          <w:tcPr>
            <w:tcW w:w="975" w:type="dxa"/>
            <w:hideMark/>
          </w:tcPr>
          <w:p w14:paraId="4F98FA7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9,250.00</w:t>
            </w:r>
          </w:p>
        </w:tc>
        <w:tc>
          <w:tcPr>
            <w:tcW w:w="959" w:type="dxa"/>
            <w:hideMark/>
          </w:tcPr>
          <w:p w14:paraId="3ACE648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F4589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AF6FA1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FE3F88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7C310A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16322A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33417E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BD879C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92762F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Mali / Water in northern Mali</w:t>
            </w:r>
          </w:p>
        </w:tc>
        <w:tc>
          <w:tcPr>
            <w:tcW w:w="975" w:type="dxa"/>
            <w:hideMark/>
          </w:tcPr>
          <w:p w14:paraId="070BFDD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630.00</w:t>
            </w:r>
          </w:p>
        </w:tc>
        <w:tc>
          <w:tcPr>
            <w:tcW w:w="959" w:type="dxa"/>
            <w:hideMark/>
          </w:tcPr>
          <w:p w14:paraId="7214DFD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5DD10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CC287F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DE6944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1D32C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D539A8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B5B625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3BEBA4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AC4769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Mali / Water management in Menaka Region</w:t>
            </w:r>
          </w:p>
        </w:tc>
        <w:tc>
          <w:tcPr>
            <w:tcW w:w="975" w:type="dxa"/>
            <w:hideMark/>
          </w:tcPr>
          <w:p w14:paraId="1E05B08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1,680.00</w:t>
            </w:r>
          </w:p>
        </w:tc>
        <w:tc>
          <w:tcPr>
            <w:tcW w:w="959" w:type="dxa"/>
            <w:hideMark/>
          </w:tcPr>
          <w:p w14:paraId="5B53188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DE167F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B5F001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6927DF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CF84FD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D1AD6E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19B3047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554833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6FBD02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Mali / Social protection mechanism</w:t>
            </w:r>
          </w:p>
        </w:tc>
        <w:tc>
          <w:tcPr>
            <w:tcW w:w="975" w:type="dxa"/>
            <w:hideMark/>
          </w:tcPr>
          <w:p w14:paraId="456CB2F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761AAF4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8C3392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475028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7EFFCF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CC97C6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8B67D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BF3717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D8A4BB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63A125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Extension of the Rabat tramway</w:t>
            </w:r>
          </w:p>
        </w:tc>
        <w:tc>
          <w:tcPr>
            <w:tcW w:w="975" w:type="dxa"/>
            <w:hideMark/>
          </w:tcPr>
          <w:p w14:paraId="1CDF8DF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w:t>
            </w:r>
          </w:p>
        </w:tc>
        <w:tc>
          <w:tcPr>
            <w:tcW w:w="959" w:type="dxa"/>
            <w:hideMark/>
          </w:tcPr>
          <w:p w14:paraId="47572E0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68E8E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5F6EBA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CBC50D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F76581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A1F553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7F15AC9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8B7F64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D87438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Agroecology</w:t>
            </w:r>
          </w:p>
        </w:tc>
        <w:tc>
          <w:tcPr>
            <w:tcW w:w="975" w:type="dxa"/>
            <w:hideMark/>
          </w:tcPr>
          <w:p w14:paraId="09369E1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w:t>
            </w:r>
          </w:p>
        </w:tc>
        <w:tc>
          <w:tcPr>
            <w:tcW w:w="959" w:type="dxa"/>
            <w:hideMark/>
          </w:tcPr>
          <w:p w14:paraId="0F5B782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31C3E1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D85CED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15DF97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D36E8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E8418C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CB862E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14FCCC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46ED6E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Agroecology</w:t>
            </w:r>
          </w:p>
        </w:tc>
        <w:tc>
          <w:tcPr>
            <w:tcW w:w="975" w:type="dxa"/>
            <w:hideMark/>
          </w:tcPr>
          <w:p w14:paraId="3B36699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w:t>
            </w:r>
          </w:p>
        </w:tc>
        <w:tc>
          <w:tcPr>
            <w:tcW w:w="959" w:type="dxa"/>
            <w:hideMark/>
          </w:tcPr>
          <w:p w14:paraId="317D259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916D42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BD51FD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A33BF9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E4901B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1D3430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0BF98A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43FDCF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D6EE7A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Rehabilitation of regional ports</w:t>
            </w:r>
          </w:p>
        </w:tc>
        <w:tc>
          <w:tcPr>
            <w:tcW w:w="975" w:type="dxa"/>
            <w:hideMark/>
          </w:tcPr>
          <w:p w14:paraId="72B9957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w:t>
            </w:r>
          </w:p>
        </w:tc>
        <w:tc>
          <w:tcPr>
            <w:tcW w:w="959" w:type="dxa"/>
            <w:hideMark/>
          </w:tcPr>
          <w:p w14:paraId="54A8892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0A214D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506C2D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F6C9AA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476B50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90B2F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0D3B3A7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5F1C4D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10D173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Rehabilitation of regional ports</w:t>
            </w:r>
          </w:p>
        </w:tc>
        <w:tc>
          <w:tcPr>
            <w:tcW w:w="975" w:type="dxa"/>
            <w:hideMark/>
          </w:tcPr>
          <w:p w14:paraId="3E3FB1B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w:t>
            </w:r>
          </w:p>
        </w:tc>
        <w:tc>
          <w:tcPr>
            <w:tcW w:w="959" w:type="dxa"/>
            <w:hideMark/>
          </w:tcPr>
          <w:p w14:paraId="2C92213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D11CD8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F062F2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B4C8C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2AFD76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EE6FA9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4E28FFF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22B0C3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71A02F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Improving sustainable management of local governments</w:t>
            </w:r>
          </w:p>
        </w:tc>
        <w:tc>
          <w:tcPr>
            <w:tcW w:w="975" w:type="dxa"/>
            <w:hideMark/>
          </w:tcPr>
          <w:p w14:paraId="3BF1804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29,000.00</w:t>
            </w:r>
          </w:p>
        </w:tc>
        <w:tc>
          <w:tcPr>
            <w:tcW w:w="959" w:type="dxa"/>
            <w:hideMark/>
          </w:tcPr>
          <w:p w14:paraId="3AD3BC1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7E3F8C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FCBC12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6BD233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0FC19F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27C182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5DB775B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1FA280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880C96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Support to NGOs in the area of migrations</w:t>
            </w:r>
          </w:p>
        </w:tc>
        <w:tc>
          <w:tcPr>
            <w:tcW w:w="975" w:type="dxa"/>
            <w:hideMark/>
          </w:tcPr>
          <w:p w14:paraId="6FBABD4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w:t>
            </w:r>
          </w:p>
        </w:tc>
        <w:tc>
          <w:tcPr>
            <w:tcW w:w="959" w:type="dxa"/>
            <w:hideMark/>
          </w:tcPr>
          <w:p w14:paraId="69FBE5E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FAF56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48FFA6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28647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47638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6528CF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7F6CBE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854DB1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4DE61C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Gender &amp; climate</w:t>
            </w:r>
          </w:p>
        </w:tc>
        <w:tc>
          <w:tcPr>
            <w:tcW w:w="975" w:type="dxa"/>
            <w:hideMark/>
          </w:tcPr>
          <w:p w14:paraId="625A8D0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380.00</w:t>
            </w:r>
          </w:p>
        </w:tc>
        <w:tc>
          <w:tcPr>
            <w:tcW w:w="959" w:type="dxa"/>
            <w:hideMark/>
          </w:tcPr>
          <w:p w14:paraId="46E0143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D73517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C0884B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DD8357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A87560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04FBBE1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48B8E5C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53CB472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A64DCB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Mauritius / Sunref project: financial intermediation for the fight against climate change</w:t>
            </w:r>
          </w:p>
        </w:tc>
        <w:tc>
          <w:tcPr>
            <w:tcW w:w="975" w:type="dxa"/>
            <w:hideMark/>
          </w:tcPr>
          <w:p w14:paraId="3A75161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w:t>
            </w:r>
          </w:p>
        </w:tc>
        <w:tc>
          <w:tcPr>
            <w:tcW w:w="959" w:type="dxa"/>
            <w:hideMark/>
          </w:tcPr>
          <w:p w14:paraId="38DDBC5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D8E0CE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D90AF9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2ADE3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3F9468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5D1267F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262AD21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4524DF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8765C5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Mauritius / Renewable energy</w:t>
            </w:r>
          </w:p>
        </w:tc>
        <w:tc>
          <w:tcPr>
            <w:tcW w:w="975" w:type="dxa"/>
            <w:hideMark/>
          </w:tcPr>
          <w:p w14:paraId="2FC265E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w:t>
            </w:r>
          </w:p>
        </w:tc>
        <w:tc>
          <w:tcPr>
            <w:tcW w:w="959" w:type="dxa"/>
            <w:hideMark/>
          </w:tcPr>
          <w:p w14:paraId="4FCB398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26A291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DB70A4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72133FF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60" w:type="dxa"/>
            <w:hideMark/>
          </w:tcPr>
          <w:p w14:paraId="678969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DB2884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5233FC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18392A9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4850D8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Support to local development and community initiatives in regions of Gorgol, Assaba and Guidimakha</w:t>
            </w:r>
          </w:p>
        </w:tc>
        <w:tc>
          <w:tcPr>
            <w:tcW w:w="975" w:type="dxa"/>
            <w:hideMark/>
          </w:tcPr>
          <w:p w14:paraId="6F652BB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2,904.50</w:t>
            </w:r>
          </w:p>
        </w:tc>
        <w:tc>
          <w:tcPr>
            <w:tcW w:w="959" w:type="dxa"/>
            <w:hideMark/>
          </w:tcPr>
          <w:p w14:paraId="174A06D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DF5EC9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E81CE9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4E06FF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1345E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11A337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6534088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000234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424DE7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Support to local development and community initiatives in regions of Gorgol, Assaba and Guidimakha</w:t>
            </w:r>
          </w:p>
        </w:tc>
        <w:tc>
          <w:tcPr>
            <w:tcW w:w="975" w:type="dxa"/>
            <w:hideMark/>
          </w:tcPr>
          <w:p w14:paraId="7576763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55.50</w:t>
            </w:r>
          </w:p>
        </w:tc>
        <w:tc>
          <w:tcPr>
            <w:tcW w:w="959" w:type="dxa"/>
            <w:hideMark/>
          </w:tcPr>
          <w:p w14:paraId="5CA2A5D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6C07B2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14239E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4B5050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F8DAAE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8E2B71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C97A0C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210EEA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0560F9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Support to local development and community initiatives in regions of Gorgol, Assaba and Guidimakha</w:t>
            </w:r>
          </w:p>
        </w:tc>
        <w:tc>
          <w:tcPr>
            <w:tcW w:w="975" w:type="dxa"/>
            <w:hideMark/>
          </w:tcPr>
          <w:p w14:paraId="40A1FC6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370.00</w:t>
            </w:r>
          </w:p>
        </w:tc>
        <w:tc>
          <w:tcPr>
            <w:tcW w:w="959" w:type="dxa"/>
            <w:hideMark/>
          </w:tcPr>
          <w:p w14:paraId="215D241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D3E0E9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0C2DCA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E988B3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D20FF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600CCC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07BBFE2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A5DC6E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EA1A05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Support to local development and community initiatives in regions of Gorgol, Assaba and Guidimakha</w:t>
            </w:r>
          </w:p>
        </w:tc>
        <w:tc>
          <w:tcPr>
            <w:tcW w:w="975" w:type="dxa"/>
            <w:hideMark/>
          </w:tcPr>
          <w:p w14:paraId="4991119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370.00</w:t>
            </w:r>
          </w:p>
        </w:tc>
        <w:tc>
          <w:tcPr>
            <w:tcW w:w="959" w:type="dxa"/>
            <w:hideMark/>
          </w:tcPr>
          <w:p w14:paraId="5D5D45A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E4598B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F00932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419FD8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41F42D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E54DB9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08784E3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060104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AA4A93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Professional training related to energy</w:t>
            </w:r>
          </w:p>
        </w:tc>
        <w:tc>
          <w:tcPr>
            <w:tcW w:w="975" w:type="dxa"/>
            <w:hideMark/>
          </w:tcPr>
          <w:p w14:paraId="29FBA0C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3,940.00</w:t>
            </w:r>
          </w:p>
        </w:tc>
        <w:tc>
          <w:tcPr>
            <w:tcW w:w="959" w:type="dxa"/>
            <w:hideMark/>
          </w:tcPr>
          <w:p w14:paraId="3552F1C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A12BEE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C31982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5A7D96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34C23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AEF531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1A54557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27659B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05D16E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Professional training related to energy</w:t>
            </w:r>
          </w:p>
        </w:tc>
        <w:tc>
          <w:tcPr>
            <w:tcW w:w="975" w:type="dxa"/>
            <w:hideMark/>
          </w:tcPr>
          <w:p w14:paraId="3E45AFE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w:t>
            </w:r>
          </w:p>
        </w:tc>
        <w:tc>
          <w:tcPr>
            <w:tcW w:w="959" w:type="dxa"/>
            <w:hideMark/>
          </w:tcPr>
          <w:p w14:paraId="127B26E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98F9BB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556BA9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B41024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8014C4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4D96FD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4A3FEE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4C3647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15D19C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Access to clean drinking water</w:t>
            </w:r>
          </w:p>
        </w:tc>
        <w:tc>
          <w:tcPr>
            <w:tcW w:w="975" w:type="dxa"/>
            <w:hideMark/>
          </w:tcPr>
          <w:p w14:paraId="0BB3902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7,939.50</w:t>
            </w:r>
          </w:p>
        </w:tc>
        <w:tc>
          <w:tcPr>
            <w:tcW w:w="959" w:type="dxa"/>
            <w:hideMark/>
          </w:tcPr>
          <w:p w14:paraId="02AE41B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21B2A7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739318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82D38F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9F0504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3446BC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12E70BF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8618C5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6F2F41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Access to clean drinking water</w:t>
            </w:r>
          </w:p>
        </w:tc>
        <w:tc>
          <w:tcPr>
            <w:tcW w:w="975" w:type="dxa"/>
            <w:hideMark/>
          </w:tcPr>
          <w:p w14:paraId="018BDB2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100.50</w:t>
            </w:r>
          </w:p>
        </w:tc>
        <w:tc>
          <w:tcPr>
            <w:tcW w:w="959" w:type="dxa"/>
            <w:hideMark/>
          </w:tcPr>
          <w:p w14:paraId="6D63EA4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D1F374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197841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CB256A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0B2C2F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4ED90F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8DE04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26DBB7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152781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Preservation of natural capital</w:t>
            </w:r>
          </w:p>
        </w:tc>
        <w:tc>
          <w:tcPr>
            <w:tcW w:w="975" w:type="dxa"/>
            <w:hideMark/>
          </w:tcPr>
          <w:p w14:paraId="63D50B8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7F2719D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17665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EBDB64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F059A4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4FB83C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FFA82A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3872AD4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5EB8D9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6BD425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Mauritania / Food security</w:t>
            </w:r>
          </w:p>
        </w:tc>
        <w:tc>
          <w:tcPr>
            <w:tcW w:w="975" w:type="dxa"/>
            <w:hideMark/>
          </w:tcPr>
          <w:p w14:paraId="05A7888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850.00</w:t>
            </w:r>
          </w:p>
        </w:tc>
        <w:tc>
          <w:tcPr>
            <w:tcW w:w="959" w:type="dxa"/>
            <w:hideMark/>
          </w:tcPr>
          <w:p w14:paraId="072CA8D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755E9C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5F5DDB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4489E3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0E95A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352E90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2EC1A5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1C950F9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8A2A6B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Mozambique / Guarantee for the Dondo solar project</w:t>
            </w:r>
          </w:p>
        </w:tc>
        <w:tc>
          <w:tcPr>
            <w:tcW w:w="975" w:type="dxa"/>
            <w:hideMark/>
          </w:tcPr>
          <w:p w14:paraId="22E2159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6,370.00</w:t>
            </w:r>
          </w:p>
        </w:tc>
        <w:tc>
          <w:tcPr>
            <w:tcW w:w="959" w:type="dxa"/>
            <w:hideMark/>
          </w:tcPr>
          <w:p w14:paraId="56641A2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94C162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6FA6A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FCDC6A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44B8A2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0FEDF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1CC0695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8C3523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D849C9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Mozambique / Chimanimani natural reserve</w:t>
            </w:r>
          </w:p>
        </w:tc>
        <w:tc>
          <w:tcPr>
            <w:tcW w:w="975" w:type="dxa"/>
            <w:hideMark/>
          </w:tcPr>
          <w:p w14:paraId="0377A97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w:t>
            </w:r>
          </w:p>
        </w:tc>
        <w:tc>
          <w:tcPr>
            <w:tcW w:w="959" w:type="dxa"/>
            <w:hideMark/>
          </w:tcPr>
          <w:p w14:paraId="20AE047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EED295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B578A4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85FBA6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B7FC7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0072D8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1E6A8D8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FF479A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8353B2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(africa)) / Infrastructures for sustainable cities</w:t>
            </w:r>
          </w:p>
        </w:tc>
        <w:tc>
          <w:tcPr>
            <w:tcW w:w="975" w:type="dxa"/>
            <w:hideMark/>
          </w:tcPr>
          <w:p w14:paraId="2D2C26A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13,322.68</w:t>
            </w:r>
          </w:p>
        </w:tc>
        <w:tc>
          <w:tcPr>
            <w:tcW w:w="959" w:type="dxa"/>
            <w:hideMark/>
          </w:tcPr>
          <w:p w14:paraId="11D3D7D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70D3B8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1B0DE9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95824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60" w:type="dxa"/>
            <w:hideMark/>
          </w:tcPr>
          <w:p w14:paraId="656C788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D583FB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0D9108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1C96871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0EAB49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 / Professional training for sustainable development</w:t>
            </w:r>
          </w:p>
        </w:tc>
        <w:tc>
          <w:tcPr>
            <w:tcW w:w="975" w:type="dxa"/>
            <w:hideMark/>
          </w:tcPr>
          <w:p w14:paraId="371EA09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2D032F8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E43E94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E58ECF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4884F3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C530E3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95591A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2C076B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D4DA78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5CA7EC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 / Sustainable pastoral livestock and land management</w:t>
            </w:r>
          </w:p>
        </w:tc>
        <w:tc>
          <w:tcPr>
            <w:tcW w:w="975" w:type="dxa"/>
            <w:hideMark/>
          </w:tcPr>
          <w:p w14:paraId="546ECCA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9,800.00</w:t>
            </w:r>
          </w:p>
        </w:tc>
        <w:tc>
          <w:tcPr>
            <w:tcW w:w="959" w:type="dxa"/>
            <w:hideMark/>
          </w:tcPr>
          <w:p w14:paraId="39ADB7C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870EF7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FA07B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AA370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B144D8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54EF680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F766D5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2C5AC5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720C8E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 / Sustainable pastoral livestock and land management</w:t>
            </w:r>
          </w:p>
        </w:tc>
        <w:tc>
          <w:tcPr>
            <w:tcW w:w="975" w:type="dxa"/>
            <w:hideMark/>
          </w:tcPr>
          <w:p w14:paraId="2FC7035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w:t>
            </w:r>
          </w:p>
        </w:tc>
        <w:tc>
          <w:tcPr>
            <w:tcW w:w="959" w:type="dxa"/>
            <w:hideMark/>
          </w:tcPr>
          <w:p w14:paraId="00D7921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90B8D3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B3628B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7C3D0D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E2F86F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059C12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6E53753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A2B91E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471066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 / Sustainable pastoral livestock and land management</w:t>
            </w:r>
          </w:p>
        </w:tc>
        <w:tc>
          <w:tcPr>
            <w:tcW w:w="975" w:type="dxa"/>
            <w:hideMark/>
          </w:tcPr>
          <w:p w14:paraId="3F1083B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w:t>
            </w:r>
          </w:p>
        </w:tc>
        <w:tc>
          <w:tcPr>
            <w:tcW w:w="959" w:type="dxa"/>
            <w:hideMark/>
          </w:tcPr>
          <w:p w14:paraId="779A414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3C6F7F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322A6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3568CC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A6322C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0839210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2B3E38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8C0543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489DE3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 / Food security</w:t>
            </w:r>
          </w:p>
        </w:tc>
        <w:tc>
          <w:tcPr>
            <w:tcW w:w="975" w:type="dxa"/>
            <w:hideMark/>
          </w:tcPr>
          <w:p w14:paraId="081E581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w:t>
            </w:r>
          </w:p>
        </w:tc>
        <w:tc>
          <w:tcPr>
            <w:tcW w:w="959" w:type="dxa"/>
            <w:hideMark/>
          </w:tcPr>
          <w:p w14:paraId="0F25629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843E93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0578D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9D64E0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D7CFD7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F14DFF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EE2400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73A530B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56AC65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 / Water</w:t>
            </w:r>
          </w:p>
        </w:tc>
        <w:tc>
          <w:tcPr>
            <w:tcW w:w="975" w:type="dxa"/>
            <w:hideMark/>
          </w:tcPr>
          <w:p w14:paraId="1C48296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355.00</w:t>
            </w:r>
          </w:p>
        </w:tc>
        <w:tc>
          <w:tcPr>
            <w:tcW w:w="959" w:type="dxa"/>
            <w:hideMark/>
          </w:tcPr>
          <w:p w14:paraId="17697C5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4D3A4E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6699AC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C63262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2BC3F1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ACC94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56E4DA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5F4997C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349E54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Nigeria / ACE Impact: high-level education in relation to mitigation, climate risk management and agroecology</w:t>
            </w:r>
          </w:p>
        </w:tc>
        <w:tc>
          <w:tcPr>
            <w:tcW w:w="975" w:type="dxa"/>
            <w:hideMark/>
          </w:tcPr>
          <w:p w14:paraId="64ED625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6,836.38</w:t>
            </w:r>
          </w:p>
        </w:tc>
        <w:tc>
          <w:tcPr>
            <w:tcW w:w="959" w:type="dxa"/>
            <w:hideMark/>
          </w:tcPr>
          <w:p w14:paraId="01E3122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F3D2F5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94F465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14AB86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A90E26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349FF2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8CE596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20CF08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5502CF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Nigeria / Renewable energy</w:t>
            </w:r>
          </w:p>
        </w:tc>
        <w:tc>
          <w:tcPr>
            <w:tcW w:w="975" w:type="dxa"/>
            <w:hideMark/>
          </w:tcPr>
          <w:p w14:paraId="0FDAF09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2,665.48</w:t>
            </w:r>
          </w:p>
        </w:tc>
        <w:tc>
          <w:tcPr>
            <w:tcW w:w="959" w:type="dxa"/>
            <w:hideMark/>
          </w:tcPr>
          <w:p w14:paraId="5D4D261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3BB8B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CDD3E8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4EB59F0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60" w:type="dxa"/>
            <w:hideMark/>
          </w:tcPr>
          <w:p w14:paraId="28A2E0D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B98069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240FBE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7D924A1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57592C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Access to clean drinking water</w:t>
            </w:r>
          </w:p>
        </w:tc>
        <w:tc>
          <w:tcPr>
            <w:tcW w:w="975" w:type="dxa"/>
            <w:hideMark/>
          </w:tcPr>
          <w:p w14:paraId="3A8C239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35,190.00</w:t>
            </w:r>
          </w:p>
        </w:tc>
        <w:tc>
          <w:tcPr>
            <w:tcW w:w="959" w:type="dxa"/>
            <w:hideMark/>
          </w:tcPr>
          <w:p w14:paraId="2D3D851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C26754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A6EF78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E1B70E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2DC72CD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D10866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E01FEA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853208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030575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Access to clean drinking water</w:t>
            </w:r>
          </w:p>
        </w:tc>
        <w:tc>
          <w:tcPr>
            <w:tcW w:w="975" w:type="dxa"/>
            <w:hideMark/>
          </w:tcPr>
          <w:p w14:paraId="0994D89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765.00</w:t>
            </w:r>
          </w:p>
        </w:tc>
        <w:tc>
          <w:tcPr>
            <w:tcW w:w="959" w:type="dxa"/>
            <w:hideMark/>
          </w:tcPr>
          <w:p w14:paraId="2E46D7A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ECCDD1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44B968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2D974C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B62E78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C5977C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F5483D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EB7320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813CF2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Access to clean drinking water</w:t>
            </w:r>
          </w:p>
        </w:tc>
        <w:tc>
          <w:tcPr>
            <w:tcW w:w="975" w:type="dxa"/>
            <w:hideMark/>
          </w:tcPr>
          <w:p w14:paraId="4B00066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510.00</w:t>
            </w:r>
          </w:p>
        </w:tc>
        <w:tc>
          <w:tcPr>
            <w:tcW w:w="959" w:type="dxa"/>
            <w:hideMark/>
          </w:tcPr>
          <w:p w14:paraId="5B019BF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7C84B2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9F933B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8421E6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B94C88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5DDD9F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5AFF499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0E4A4E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507CA6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Rural development</w:t>
            </w:r>
          </w:p>
        </w:tc>
        <w:tc>
          <w:tcPr>
            <w:tcW w:w="975" w:type="dxa"/>
            <w:hideMark/>
          </w:tcPr>
          <w:p w14:paraId="36EDB02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w:t>
            </w:r>
          </w:p>
        </w:tc>
        <w:tc>
          <w:tcPr>
            <w:tcW w:w="959" w:type="dxa"/>
            <w:hideMark/>
          </w:tcPr>
          <w:p w14:paraId="578BD25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A1104F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9F905E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165086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C0101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D9CFB8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0A699E2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B7E003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E979D0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Rural development</w:t>
            </w:r>
          </w:p>
        </w:tc>
        <w:tc>
          <w:tcPr>
            <w:tcW w:w="975" w:type="dxa"/>
            <w:hideMark/>
          </w:tcPr>
          <w:p w14:paraId="0970886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w:t>
            </w:r>
          </w:p>
        </w:tc>
        <w:tc>
          <w:tcPr>
            <w:tcW w:w="959" w:type="dxa"/>
            <w:hideMark/>
          </w:tcPr>
          <w:p w14:paraId="3D2D0C3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4397F8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CDF369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A3D133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641639A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3AFC43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907636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A9432D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BDB6A5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Access to financial services in rural areas</w:t>
            </w:r>
          </w:p>
        </w:tc>
        <w:tc>
          <w:tcPr>
            <w:tcW w:w="975" w:type="dxa"/>
            <w:hideMark/>
          </w:tcPr>
          <w:p w14:paraId="5B8A769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w:t>
            </w:r>
          </w:p>
        </w:tc>
        <w:tc>
          <w:tcPr>
            <w:tcW w:w="959" w:type="dxa"/>
            <w:hideMark/>
          </w:tcPr>
          <w:p w14:paraId="69F3B47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55E91D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80CEA4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2854A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E8C3D2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513E6E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78D161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B8F72E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27013F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Democratic Republic Of The Congo / Clean water to fight against cholera epidemics</w:t>
            </w:r>
          </w:p>
        </w:tc>
        <w:tc>
          <w:tcPr>
            <w:tcW w:w="975" w:type="dxa"/>
            <w:hideMark/>
          </w:tcPr>
          <w:p w14:paraId="60BAAFB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w:t>
            </w:r>
          </w:p>
        </w:tc>
        <w:tc>
          <w:tcPr>
            <w:tcW w:w="959" w:type="dxa"/>
            <w:hideMark/>
          </w:tcPr>
          <w:p w14:paraId="74F4CAA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E0FAFE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ADC0A2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67E87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F17CA0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EADC98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C19243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E39B3B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938CE3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Democratic Republic Of The Congo / Supporting resilience in outlying districts of Kinshasa                       </w:t>
            </w:r>
          </w:p>
        </w:tc>
        <w:tc>
          <w:tcPr>
            <w:tcW w:w="975" w:type="dxa"/>
            <w:hideMark/>
          </w:tcPr>
          <w:p w14:paraId="634C88F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w:t>
            </w:r>
          </w:p>
        </w:tc>
        <w:tc>
          <w:tcPr>
            <w:tcW w:w="959" w:type="dxa"/>
            <w:hideMark/>
          </w:tcPr>
          <w:p w14:paraId="0A30772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056F4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2E7C4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06F425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750AA0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C9848C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692DD46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5173B6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6B0D7A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Promoting integrated management of solid waste</w:t>
            </w:r>
          </w:p>
        </w:tc>
        <w:tc>
          <w:tcPr>
            <w:tcW w:w="975" w:type="dxa"/>
            <w:hideMark/>
          </w:tcPr>
          <w:p w14:paraId="694D65B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w:t>
            </w:r>
          </w:p>
        </w:tc>
        <w:tc>
          <w:tcPr>
            <w:tcW w:w="959" w:type="dxa"/>
            <w:hideMark/>
          </w:tcPr>
          <w:p w14:paraId="59445E6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EE7248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4706FC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87E373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D18D26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C4BC3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018BA3C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F3D799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74E88A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Ecological transition of the Senegal river</w:t>
            </w:r>
          </w:p>
        </w:tc>
        <w:tc>
          <w:tcPr>
            <w:tcW w:w="975" w:type="dxa"/>
            <w:hideMark/>
          </w:tcPr>
          <w:p w14:paraId="2ADE4B3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w:t>
            </w:r>
          </w:p>
        </w:tc>
        <w:tc>
          <w:tcPr>
            <w:tcW w:w="959" w:type="dxa"/>
            <w:hideMark/>
          </w:tcPr>
          <w:p w14:paraId="2CF9165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ADABD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4A1024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FE1C40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632AE12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F0CFC2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032FDC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0121C8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46EF46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Ecological transition of the Senegal river</w:t>
            </w:r>
          </w:p>
        </w:tc>
        <w:tc>
          <w:tcPr>
            <w:tcW w:w="975" w:type="dxa"/>
            <w:hideMark/>
          </w:tcPr>
          <w:p w14:paraId="0FA28C4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w:t>
            </w:r>
          </w:p>
        </w:tc>
        <w:tc>
          <w:tcPr>
            <w:tcW w:w="959" w:type="dxa"/>
            <w:hideMark/>
          </w:tcPr>
          <w:p w14:paraId="69ED35F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C3D512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760078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A0CF01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D63E22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BE88BD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348EF5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33232F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1DDCEB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Decontamination of the Hann Bay</w:t>
            </w:r>
          </w:p>
        </w:tc>
        <w:tc>
          <w:tcPr>
            <w:tcW w:w="975" w:type="dxa"/>
            <w:hideMark/>
          </w:tcPr>
          <w:p w14:paraId="55505AF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11,270.00</w:t>
            </w:r>
          </w:p>
        </w:tc>
        <w:tc>
          <w:tcPr>
            <w:tcW w:w="959" w:type="dxa"/>
            <w:hideMark/>
          </w:tcPr>
          <w:p w14:paraId="06BE5B5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FC31FD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BA9C2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A9FBC2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2D00E2B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605ED6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C7081D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165DFB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7DA963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Gender &amp; climate</w:t>
            </w:r>
          </w:p>
        </w:tc>
        <w:tc>
          <w:tcPr>
            <w:tcW w:w="975" w:type="dxa"/>
            <w:hideMark/>
          </w:tcPr>
          <w:p w14:paraId="57C2477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3,250.00</w:t>
            </w:r>
          </w:p>
        </w:tc>
        <w:tc>
          <w:tcPr>
            <w:tcW w:w="959" w:type="dxa"/>
            <w:hideMark/>
          </w:tcPr>
          <w:p w14:paraId="533CEF5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3B66BD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85305E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415FB4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A55D1D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961343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211E45B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4AC740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C434B1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Rural entrepreneurship</w:t>
            </w:r>
          </w:p>
        </w:tc>
        <w:tc>
          <w:tcPr>
            <w:tcW w:w="975" w:type="dxa"/>
            <w:hideMark/>
          </w:tcPr>
          <w:p w14:paraId="1CA4774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233.86</w:t>
            </w:r>
          </w:p>
        </w:tc>
        <w:tc>
          <w:tcPr>
            <w:tcW w:w="959" w:type="dxa"/>
            <w:hideMark/>
          </w:tcPr>
          <w:p w14:paraId="6C80313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CEDBA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70DAD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2CE283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9EA6F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1B3E73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DBB475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0249DCF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6EB01F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Food security</w:t>
            </w:r>
          </w:p>
        </w:tc>
        <w:tc>
          <w:tcPr>
            <w:tcW w:w="975" w:type="dxa"/>
            <w:hideMark/>
          </w:tcPr>
          <w:p w14:paraId="10B70BA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w:t>
            </w:r>
          </w:p>
        </w:tc>
        <w:tc>
          <w:tcPr>
            <w:tcW w:w="959" w:type="dxa"/>
            <w:hideMark/>
          </w:tcPr>
          <w:p w14:paraId="594755A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0AE63F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D3D51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46D38E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D2CCAB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A6A7FC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62B62F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5051DDC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6AE5C1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Solar power plant</w:t>
            </w:r>
          </w:p>
        </w:tc>
        <w:tc>
          <w:tcPr>
            <w:tcW w:w="975" w:type="dxa"/>
            <w:hideMark/>
          </w:tcPr>
          <w:p w14:paraId="4A1014A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21,800.00</w:t>
            </w:r>
          </w:p>
        </w:tc>
        <w:tc>
          <w:tcPr>
            <w:tcW w:w="959" w:type="dxa"/>
            <w:hideMark/>
          </w:tcPr>
          <w:p w14:paraId="65F55F4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153FB8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DE47B3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2158211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4CFAFC1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3A7200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D83B20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46ABC9F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FB62BA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Solar power plant</w:t>
            </w:r>
          </w:p>
        </w:tc>
        <w:tc>
          <w:tcPr>
            <w:tcW w:w="975" w:type="dxa"/>
            <w:hideMark/>
          </w:tcPr>
          <w:p w14:paraId="3AB68CE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18,200.00</w:t>
            </w:r>
          </w:p>
        </w:tc>
        <w:tc>
          <w:tcPr>
            <w:tcW w:w="959" w:type="dxa"/>
            <w:hideMark/>
          </w:tcPr>
          <w:p w14:paraId="08473F2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04D689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4B365D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157C1C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6EB1B7B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2E30D0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B779C1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24F8727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76FD7A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(tanzania) / Solar power plant</w:t>
            </w:r>
          </w:p>
        </w:tc>
        <w:tc>
          <w:tcPr>
            <w:tcW w:w="975" w:type="dxa"/>
            <w:hideMark/>
          </w:tcPr>
          <w:p w14:paraId="28B01F9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78,000.00</w:t>
            </w:r>
          </w:p>
        </w:tc>
        <w:tc>
          <w:tcPr>
            <w:tcW w:w="959" w:type="dxa"/>
            <w:hideMark/>
          </w:tcPr>
          <w:p w14:paraId="07B8D77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92EFAD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A5A320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13DC5D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69DB31F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91832B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505D43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0370F0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A4B5C0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(tanzania) / Building climate-resilient facilities for a cancer treatment center</w:t>
            </w:r>
          </w:p>
        </w:tc>
        <w:tc>
          <w:tcPr>
            <w:tcW w:w="975" w:type="dxa"/>
            <w:hideMark/>
          </w:tcPr>
          <w:p w14:paraId="68163F7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1,800.00</w:t>
            </w:r>
          </w:p>
        </w:tc>
        <w:tc>
          <w:tcPr>
            <w:tcW w:w="959" w:type="dxa"/>
            <w:hideMark/>
          </w:tcPr>
          <w:p w14:paraId="388EEBD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DFB595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EA0746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C9EFDB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A78554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56D8CE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6C2F4D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FFEFF6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B4776B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Chad / Sustainable development of local governments in Northern Chad</w:t>
            </w:r>
          </w:p>
        </w:tc>
        <w:tc>
          <w:tcPr>
            <w:tcW w:w="975" w:type="dxa"/>
            <w:hideMark/>
          </w:tcPr>
          <w:p w14:paraId="1FA27D7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5,100.00</w:t>
            </w:r>
          </w:p>
        </w:tc>
        <w:tc>
          <w:tcPr>
            <w:tcW w:w="959" w:type="dxa"/>
            <w:hideMark/>
          </w:tcPr>
          <w:p w14:paraId="37B4D59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F71D52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D0AD2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33A14B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63ACF9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93A6C0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15048A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C46166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4993E7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Chad / Support to small businesses</w:t>
            </w:r>
          </w:p>
        </w:tc>
        <w:tc>
          <w:tcPr>
            <w:tcW w:w="975" w:type="dxa"/>
            <w:hideMark/>
          </w:tcPr>
          <w:p w14:paraId="25FDC3C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w:t>
            </w:r>
          </w:p>
        </w:tc>
        <w:tc>
          <w:tcPr>
            <w:tcW w:w="959" w:type="dxa"/>
            <w:hideMark/>
          </w:tcPr>
          <w:p w14:paraId="134C88C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A27175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8B6A25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17FDA7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0ED242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48FED7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0095C22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2E8693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7D73FA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Chad / Management of runoff water from rainfall</w:t>
            </w:r>
          </w:p>
        </w:tc>
        <w:tc>
          <w:tcPr>
            <w:tcW w:w="975" w:type="dxa"/>
            <w:hideMark/>
          </w:tcPr>
          <w:p w14:paraId="17B17F7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w:t>
            </w:r>
          </w:p>
        </w:tc>
        <w:tc>
          <w:tcPr>
            <w:tcW w:w="959" w:type="dxa"/>
            <w:hideMark/>
          </w:tcPr>
          <w:p w14:paraId="0F72A98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CDD8E1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AA09BC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E84636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7E63EE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70837F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15848A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74A72F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91A2DF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Chad / Inclusive development for areas hosting refugees</w:t>
            </w:r>
          </w:p>
        </w:tc>
        <w:tc>
          <w:tcPr>
            <w:tcW w:w="975" w:type="dxa"/>
            <w:hideMark/>
          </w:tcPr>
          <w:p w14:paraId="2C6135C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845.00</w:t>
            </w:r>
          </w:p>
        </w:tc>
        <w:tc>
          <w:tcPr>
            <w:tcW w:w="959" w:type="dxa"/>
            <w:hideMark/>
          </w:tcPr>
          <w:p w14:paraId="28596BE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98DA83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A7AB59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09484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CA609C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8D2AB4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2500B5C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6ABDEE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E29B8E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Chad / Inclusive development for areas hosting refugees</w:t>
            </w:r>
          </w:p>
        </w:tc>
        <w:tc>
          <w:tcPr>
            <w:tcW w:w="975" w:type="dxa"/>
            <w:hideMark/>
          </w:tcPr>
          <w:p w14:paraId="51A89A0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845.00</w:t>
            </w:r>
          </w:p>
        </w:tc>
        <w:tc>
          <w:tcPr>
            <w:tcW w:w="959" w:type="dxa"/>
            <w:hideMark/>
          </w:tcPr>
          <w:p w14:paraId="4C2A5D2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044941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F2C21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90C2CD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320269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3745DF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244DBA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5E7A34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A93FF9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Chad / Supporting the sustainable seed sector</w:t>
            </w:r>
          </w:p>
        </w:tc>
        <w:tc>
          <w:tcPr>
            <w:tcW w:w="975" w:type="dxa"/>
            <w:hideMark/>
          </w:tcPr>
          <w:p w14:paraId="5AC1276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3F12B68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BF10D6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99C9A6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7DD88F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8DD24B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6D6029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B2DC4E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7DA58C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27031C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Togo / Middle school reform</w:t>
            </w:r>
          </w:p>
        </w:tc>
        <w:tc>
          <w:tcPr>
            <w:tcW w:w="975" w:type="dxa"/>
            <w:hideMark/>
          </w:tcPr>
          <w:p w14:paraId="7531E48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w:t>
            </w:r>
          </w:p>
        </w:tc>
        <w:tc>
          <w:tcPr>
            <w:tcW w:w="959" w:type="dxa"/>
            <w:hideMark/>
          </w:tcPr>
          <w:p w14:paraId="1619BF7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4D3857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1B3C70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8E806C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858DE0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44A954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5C4E6DE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A2AC25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E8DD1A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Togo / National water management plan</w:t>
            </w:r>
          </w:p>
        </w:tc>
        <w:tc>
          <w:tcPr>
            <w:tcW w:w="975" w:type="dxa"/>
            <w:hideMark/>
          </w:tcPr>
          <w:p w14:paraId="41B0759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w:t>
            </w:r>
          </w:p>
        </w:tc>
        <w:tc>
          <w:tcPr>
            <w:tcW w:w="959" w:type="dxa"/>
            <w:hideMark/>
          </w:tcPr>
          <w:p w14:paraId="299CFD9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6B9B03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CA9514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6A0900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8C11D1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38644C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108D04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E163C5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56DF3A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Rural sanitation program</w:t>
            </w:r>
          </w:p>
        </w:tc>
        <w:tc>
          <w:tcPr>
            <w:tcW w:w="975" w:type="dxa"/>
            <w:hideMark/>
          </w:tcPr>
          <w:p w14:paraId="7628E6C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49,000.00</w:t>
            </w:r>
          </w:p>
        </w:tc>
        <w:tc>
          <w:tcPr>
            <w:tcW w:w="959" w:type="dxa"/>
            <w:hideMark/>
          </w:tcPr>
          <w:p w14:paraId="1A29E7A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4A82A8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275A1B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5C8D2C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44BD19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BB4AD3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D6671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DC84CD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614CDF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Rural sanitation program</w:t>
            </w:r>
          </w:p>
        </w:tc>
        <w:tc>
          <w:tcPr>
            <w:tcW w:w="975" w:type="dxa"/>
            <w:hideMark/>
          </w:tcPr>
          <w:p w14:paraId="072F1F3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980.00</w:t>
            </w:r>
          </w:p>
        </w:tc>
        <w:tc>
          <w:tcPr>
            <w:tcW w:w="959" w:type="dxa"/>
            <w:hideMark/>
          </w:tcPr>
          <w:p w14:paraId="35CDD66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4A606B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05BFB7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3CAB01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1D1399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29C3A2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1E6F457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1D483B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8384B1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Human rights</w:t>
            </w:r>
          </w:p>
        </w:tc>
        <w:tc>
          <w:tcPr>
            <w:tcW w:w="975" w:type="dxa"/>
            <w:hideMark/>
          </w:tcPr>
          <w:p w14:paraId="22A6792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3,100.00</w:t>
            </w:r>
          </w:p>
        </w:tc>
        <w:tc>
          <w:tcPr>
            <w:tcW w:w="959" w:type="dxa"/>
            <w:hideMark/>
          </w:tcPr>
          <w:p w14:paraId="6783342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F7555C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367717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2784CA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C21708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9E66DA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1809FA5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4327B3B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0CEB7B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Food security &amp; access to water</w:t>
            </w:r>
          </w:p>
        </w:tc>
        <w:tc>
          <w:tcPr>
            <w:tcW w:w="975" w:type="dxa"/>
            <w:hideMark/>
          </w:tcPr>
          <w:p w14:paraId="756B8B7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w:t>
            </w:r>
          </w:p>
        </w:tc>
        <w:tc>
          <w:tcPr>
            <w:tcW w:w="959" w:type="dxa"/>
            <w:hideMark/>
          </w:tcPr>
          <w:p w14:paraId="39D29B8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FA5DD4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92655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EA1EA3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4A2479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0A089D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9D5338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DE90DE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5273BB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Bejaoua pumping station</w:t>
            </w:r>
          </w:p>
        </w:tc>
        <w:tc>
          <w:tcPr>
            <w:tcW w:w="975" w:type="dxa"/>
            <w:hideMark/>
          </w:tcPr>
          <w:p w14:paraId="2D2BB8F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w:t>
            </w:r>
          </w:p>
        </w:tc>
        <w:tc>
          <w:tcPr>
            <w:tcW w:w="959" w:type="dxa"/>
            <w:hideMark/>
          </w:tcPr>
          <w:p w14:paraId="0162FC5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D77B3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42A64C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9696DA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CA16CF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7DD7D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72CD4B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9C5EDB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0C825C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Food security &amp; access to water</w:t>
            </w:r>
          </w:p>
        </w:tc>
        <w:tc>
          <w:tcPr>
            <w:tcW w:w="975" w:type="dxa"/>
            <w:hideMark/>
          </w:tcPr>
          <w:p w14:paraId="595DED4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w:t>
            </w:r>
          </w:p>
        </w:tc>
        <w:tc>
          <w:tcPr>
            <w:tcW w:w="959" w:type="dxa"/>
            <w:hideMark/>
          </w:tcPr>
          <w:p w14:paraId="0363A5A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0D7367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B502BB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DA930A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6EBCE4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F8DDDD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60856D7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37D8E9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93E2E4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Loans for SMEs</w:t>
            </w:r>
          </w:p>
        </w:tc>
        <w:tc>
          <w:tcPr>
            <w:tcW w:w="975" w:type="dxa"/>
            <w:hideMark/>
          </w:tcPr>
          <w:p w14:paraId="2181F95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w:t>
            </w:r>
          </w:p>
        </w:tc>
        <w:tc>
          <w:tcPr>
            <w:tcW w:w="959" w:type="dxa"/>
            <w:hideMark/>
          </w:tcPr>
          <w:p w14:paraId="1247442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30DE22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6A9100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2ED81EE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342564C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997BAE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6CE9E18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67657B7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2D450F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Zimbabwe / Pathosystem Coordination, MAnagement of animal and humans’ Networks</w:t>
            </w:r>
          </w:p>
        </w:tc>
        <w:tc>
          <w:tcPr>
            <w:tcW w:w="975" w:type="dxa"/>
            <w:hideMark/>
          </w:tcPr>
          <w:p w14:paraId="06339F6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w:t>
            </w:r>
          </w:p>
        </w:tc>
        <w:tc>
          <w:tcPr>
            <w:tcW w:w="959" w:type="dxa"/>
            <w:hideMark/>
          </w:tcPr>
          <w:p w14:paraId="0575F8D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9D76D0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87F609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9AA5F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81F4E2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4060A0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06BBA2E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A39D01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B3F691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Preparatory studies for line 1 of the Abidjan metro</w:t>
            </w:r>
          </w:p>
        </w:tc>
        <w:tc>
          <w:tcPr>
            <w:tcW w:w="975" w:type="dxa"/>
            <w:hideMark/>
          </w:tcPr>
          <w:p w14:paraId="0AB05D4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19,200.00</w:t>
            </w:r>
          </w:p>
        </w:tc>
        <w:tc>
          <w:tcPr>
            <w:tcW w:w="959" w:type="dxa"/>
            <w:hideMark/>
          </w:tcPr>
          <w:p w14:paraId="2AF7E55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325B4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88EB07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515BA3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D96157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1C3551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1DA551A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Treasury loan</w:t>
            </w:r>
          </w:p>
        </w:tc>
      </w:tr>
      <w:tr w:rsidR="001808DF" w:rsidRPr="005B54EE" w14:paraId="40184AA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6F05E6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Rehabilitation and upgrade of hybrid pumps</w:t>
            </w:r>
          </w:p>
        </w:tc>
        <w:tc>
          <w:tcPr>
            <w:tcW w:w="975" w:type="dxa"/>
            <w:hideMark/>
          </w:tcPr>
          <w:p w14:paraId="0E61F4F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19,000.00</w:t>
            </w:r>
          </w:p>
        </w:tc>
        <w:tc>
          <w:tcPr>
            <w:tcW w:w="959" w:type="dxa"/>
            <w:hideMark/>
          </w:tcPr>
          <w:p w14:paraId="5EFFDBB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89C94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9EBACF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157B7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D22E5C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ED689C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1770090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Treasury loan</w:t>
            </w:r>
          </w:p>
        </w:tc>
      </w:tr>
      <w:tr w:rsidR="001808DF" w:rsidRPr="005B54EE" w14:paraId="6761505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EF4F06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Security and performance diagnosis of the egyptian railway service</w:t>
            </w:r>
          </w:p>
        </w:tc>
        <w:tc>
          <w:tcPr>
            <w:tcW w:w="975" w:type="dxa"/>
            <w:hideMark/>
          </w:tcPr>
          <w:p w14:paraId="15B8D7A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269.28</w:t>
            </w:r>
          </w:p>
        </w:tc>
        <w:tc>
          <w:tcPr>
            <w:tcW w:w="959" w:type="dxa"/>
            <w:hideMark/>
          </w:tcPr>
          <w:p w14:paraId="6F34CDF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7CF844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F13881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B57C4F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12B70C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A92353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0611792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78C3C9B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B52FF0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Support to the CETUD bus network</w:t>
            </w:r>
          </w:p>
        </w:tc>
        <w:tc>
          <w:tcPr>
            <w:tcW w:w="975" w:type="dxa"/>
            <w:hideMark/>
          </w:tcPr>
          <w:p w14:paraId="5A0E93F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399.85</w:t>
            </w:r>
          </w:p>
        </w:tc>
        <w:tc>
          <w:tcPr>
            <w:tcW w:w="959" w:type="dxa"/>
            <w:hideMark/>
          </w:tcPr>
          <w:p w14:paraId="7C4E940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D92176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898A74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35544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933AA3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E14F2E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04B6ED8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275B9AE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A1EFBC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Experimental smart solar public lighting</w:t>
            </w:r>
          </w:p>
        </w:tc>
        <w:tc>
          <w:tcPr>
            <w:tcW w:w="975" w:type="dxa"/>
            <w:hideMark/>
          </w:tcPr>
          <w:p w14:paraId="61ADCA0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791.83</w:t>
            </w:r>
          </w:p>
        </w:tc>
        <w:tc>
          <w:tcPr>
            <w:tcW w:w="959" w:type="dxa"/>
            <w:hideMark/>
          </w:tcPr>
          <w:p w14:paraId="632D168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3C565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6D3A50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06F135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04534D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A07EB5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CDCA2B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23164E2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05267E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South Africa / Energy supply for the SKA telescope</w:t>
            </w:r>
          </w:p>
        </w:tc>
        <w:tc>
          <w:tcPr>
            <w:tcW w:w="975" w:type="dxa"/>
            <w:hideMark/>
          </w:tcPr>
          <w:p w14:paraId="74682C6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152.82</w:t>
            </w:r>
          </w:p>
        </w:tc>
        <w:tc>
          <w:tcPr>
            <w:tcW w:w="959" w:type="dxa"/>
            <w:hideMark/>
          </w:tcPr>
          <w:p w14:paraId="5B7B78E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ADB15B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DC930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60137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7CC5F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66F5C1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592CB48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69DB7AE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9C1D17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Ghana / Urbain train between Accra and Kasoa</w:t>
            </w:r>
          </w:p>
        </w:tc>
        <w:tc>
          <w:tcPr>
            <w:tcW w:w="975" w:type="dxa"/>
            <w:hideMark/>
          </w:tcPr>
          <w:p w14:paraId="0B8E8AA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277.52</w:t>
            </w:r>
          </w:p>
        </w:tc>
        <w:tc>
          <w:tcPr>
            <w:tcW w:w="959" w:type="dxa"/>
            <w:hideMark/>
          </w:tcPr>
          <w:p w14:paraId="7669946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B7064E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DADDA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4757E2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A7539A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E32220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044F1B6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0678770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408235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Cameroon / Demonstrator for a modular waste treatment system</w:t>
            </w:r>
          </w:p>
        </w:tc>
        <w:tc>
          <w:tcPr>
            <w:tcW w:w="975" w:type="dxa"/>
            <w:hideMark/>
          </w:tcPr>
          <w:p w14:paraId="674014B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899.97</w:t>
            </w:r>
          </w:p>
        </w:tc>
        <w:tc>
          <w:tcPr>
            <w:tcW w:w="959" w:type="dxa"/>
            <w:hideMark/>
          </w:tcPr>
          <w:p w14:paraId="2066DFE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5A9A3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7F415E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9F8921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00A24B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02EA96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(waste Management)</w:t>
            </w:r>
          </w:p>
        </w:tc>
        <w:tc>
          <w:tcPr>
            <w:tcW w:w="2601" w:type="dxa"/>
            <w:hideMark/>
          </w:tcPr>
          <w:p w14:paraId="39261EC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6357AA8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67B88E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Experimental system for reducing water loss</w:t>
            </w:r>
          </w:p>
        </w:tc>
        <w:tc>
          <w:tcPr>
            <w:tcW w:w="975" w:type="dxa"/>
            <w:hideMark/>
          </w:tcPr>
          <w:p w14:paraId="5C410B8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413.64</w:t>
            </w:r>
          </w:p>
        </w:tc>
        <w:tc>
          <w:tcPr>
            <w:tcW w:w="959" w:type="dxa"/>
            <w:hideMark/>
          </w:tcPr>
          <w:p w14:paraId="4664C1B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2686AB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AD3A5A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487056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AE8404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AF6AC2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437FFA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780CC55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536808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Teleprocessing of public lighting</w:t>
            </w:r>
          </w:p>
        </w:tc>
        <w:tc>
          <w:tcPr>
            <w:tcW w:w="975" w:type="dxa"/>
            <w:hideMark/>
          </w:tcPr>
          <w:p w14:paraId="06ED48F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w:t>
            </w:r>
          </w:p>
        </w:tc>
        <w:tc>
          <w:tcPr>
            <w:tcW w:w="959" w:type="dxa"/>
            <w:hideMark/>
          </w:tcPr>
          <w:p w14:paraId="581596C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F46491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66E569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1FD906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79A020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A4BD5D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5A57DED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73F793E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CFC197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Togo /  Solar public lighting network</w:t>
            </w:r>
          </w:p>
        </w:tc>
        <w:tc>
          <w:tcPr>
            <w:tcW w:w="975" w:type="dxa"/>
            <w:hideMark/>
          </w:tcPr>
          <w:p w14:paraId="0E68AE6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401.80</w:t>
            </w:r>
          </w:p>
        </w:tc>
        <w:tc>
          <w:tcPr>
            <w:tcW w:w="959" w:type="dxa"/>
            <w:hideMark/>
          </w:tcPr>
          <w:p w14:paraId="60F6D77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8B5DA3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381107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962D20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F20DE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AF9C53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B10862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2DD815B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BF304C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Using white paint on roofs as a cooling system</w:t>
            </w:r>
          </w:p>
        </w:tc>
        <w:tc>
          <w:tcPr>
            <w:tcW w:w="975" w:type="dxa"/>
            <w:hideMark/>
          </w:tcPr>
          <w:p w14:paraId="350B0EC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481.00</w:t>
            </w:r>
          </w:p>
        </w:tc>
        <w:tc>
          <w:tcPr>
            <w:tcW w:w="959" w:type="dxa"/>
            <w:hideMark/>
          </w:tcPr>
          <w:p w14:paraId="0441A81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5DACAC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5A3271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F205B0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751E18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B46EAA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1AA4583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13D88F7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5C5ACA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Treatment unit for electronic and eletric waste in Dakar</w:t>
            </w:r>
          </w:p>
        </w:tc>
        <w:tc>
          <w:tcPr>
            <w:tcW w:w="975" w:type="dxa"/>
            <w:hideMark/>
          </w:tcPr>
          <w:p w14:paraId="1B7D4BB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w:t>
            </w:r>
          </w:p>
        </w:tc>
        <w:tc>
          <w:tcPr>
            <w:tcW w:w="959" w:type="dxa"/>
            <w:hideMark/>
          </w:tcPr>
          <w:p w14:paraId="30CED5D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9EF817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4456C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668B02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93B865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B9C8E5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(waste Management)</w:t>
            </w:r>
          </w:p>
        </w:tc>
        <w:tc>
          <w:tcPr>
            <w:tcW w:w="2601" w:type="dxa"/>
            <w:hideMark/>
          </w:tcPr>
          <w:p w14:paraId="300D934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68C63A4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604C5A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South Africa / Using artificial intelligence for high-performance water network management</w:t>
            </w:r>
          </w:p>
        </w:tc>
        <w:tc>
          <w:tcPr>
            <w:tcW w:w="975" w:type="dxa"/>
            <w:hideMark/>
          </w:tcPr>
          <w:p w14:paraId="301FC0C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358.96</w:t>
            </w:r>
          </w:p>
        </w:tc>
        <w:tc>
          <w:tcPr>
            <w:tcW w:w="959" w:type="dxa"/>
            <w:hideMark/>
          </w:tcPr>
          <w:p w14:paraId="4D33912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E54262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D47E38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9F1AC6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770DCB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FD124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56903D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5AE3D9F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7B6C5C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Senegal / Solar micro-grid for the Diamniadio industrial park</w:t>
            </w:r>
          </w:p>
        </w:tc>
        <w:tc>
          <w:tcPr>
            <w:tcW w:w="975" w:type="dxa"/>
            <w:hideMark/>
          </w:tcPr>
          <w:p w14:paraId="59CF4E0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492.25</w:t>
            </w:r>
          </w:p>
        </w:tc>
        <w:tc>
          <w:tcPr>
            <w:tcW w:w="959" w:type="dxa"/>
            <w:hideMark/>
          </w:tcPr>
          <w:p w14:paraId="00F0FC0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8011C5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DA9FFB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DC4E6C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5D72AF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A979C5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3556B82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7998226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22D566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Tunisia / Pilot project for a floating solar farm on Tunis Lake</w:t>
            </w:r>
          </w:p>
        </w:tc>
        <w:tc>
          <w:tcPr>
            <w:tcW w:w="975" w:type="dxa"/>
            <w:hideMark/>
          </w:tcPr>
          <w:p w14:paraId="5058BBC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496.38</w:t>
            </w:r>
          </w:p>
        </w:tc>
        <w:tc>
          <w:tcPr>
            <w:tcW w:w="959" w:type="dxa"/>
            <w:hideMark/>
          </w:tcPr>
          <w:p w14:paraId="7728C5F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2406F0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CF10E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6B9C71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0168E2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C5914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106B25D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599DAEF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C6C3C6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Rainfall tracking in Abidjan</w:t>
            </w:r>
          </w:p>
        </w:tc>
        <w:tc>
          <w:tcPr>
            <w:tcW w:w="975" w:type="dxa"/>
            <w:hideMark/>
          </w:tcPr>
          <w:p w14:paraId="3F553E5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498.90</w:t>
            </w:r>
          </w:p>
        </w:tc>
        <w:tc>
          <w:tcPr>
            <w:tcW w:w="959" w:type="dxa"/>
            <w:hideMark/>
          </w:tcPr>
          <w:p w14:paraId="4446498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780A94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DEAB05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F7C694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2E08B8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B54E09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52386C4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4F5F6F7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14DF9C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South Africa / Hydroelectric micro-turbine in Umhlanga</w:t>
            </w:r>
          </w:p>
        </w:tc>
        <w:tc>
          <w:tcPr>
            <w:tcW w:w="975" w:type="dxa"/>
            <w:hideMark/>
          </w:tcPr>
          <w:p w14:paraId="7774C63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494.38</w:t>
            </w:r>
          </w:p>
        </w:tc>
        <w:tc>
          <w:tcPr>
            <w:tcW w:w="959" w:type="dxa"/>
            <w:hideMark/>
          </w:tcPr>
          <w:p w14:paraId="55E46A1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6C7E7C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E137FD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D1BCD3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E9DAC9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1F250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37FBBBC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328C0A3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B43646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Cameroon / Decarbonation of the Pasteur Health Center in Cameroon</w:t>
            </w:r>
          </w:p>
        </w:tc>
        <w:tc>
          <w:tcPr>
            <w:tcW w:w="975" w:type="dxa"/>
            <w:hideMark/>
          </w:tcPr>
          <w:p w14:paraId="03704E5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527.69</w:t>
            </w:r>
          </w:p>
        </w:tc>
        <w:tc>
          <w:tcPr>
            <w:tcW w:w="959" w:type="dxa"/>
            <w:hideMark/>
          </w:tcPr>
          <w:p w14:paraId="06792D0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1C22B5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1052D0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E9D349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FF776E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3991AB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3A2AB2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0AD8857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171028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Guinea / Energy self-sufficient system for a dialysis room</w:t>
            </w:r>
          </w:p>
        </w:tc>
        <w:tc>
          <w:tcPr>
            <w:tcW w:w="975" w:type="dxa"/>
            <w:hideMark/>
          </w:tcPr>
          <w:p w14:paraId="2779C18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199.00</w:t>
            </w:r>
          </w:p>
        </w:tc>
        <w:tc>
          <w:tcPr>
            <w:tcW w:w="959" w:type="dxa"/>
            <w:hideMark/>
          </w:tcPr>
          <w:p w14:paraId="0501B6B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DCAD16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8CF8D1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D63B7A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589E39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5EC710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0AB9896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1FB1AFE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F83F7C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Togo / Solar-powered cooling system for a storage warehouse</w:t>
            </w:r>
          </w:p>
        </w:tc>
        <w:tc>
          <w:tcPr>
            <w:tcW w:w="975" w:type="dxa"/>
            <w:hideMark/>
          </w:tcPr>
          <w:p w14:paraId="74C62C5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w:t>
            </w:r>
          </w:p>
        </w:tc>
        <w:tc>
          <w:tcPr>
            <w:tcW w:w="959" w:type="dxa"/>
            <w:hideMark/>
          </w:tcPr>
          <w:p w14:paraId="71A000A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24550F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83F24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972264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B34538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175500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C8C5BF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555A4FB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EB63D8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Morocco / Smart camera to support flooding risk management</w:t>
            </w:r>
          </w:p>
        </w:tc>
        <w:tc>
          <w:tcPr>
            <w:tcW w:w="975" w:type="dxa"/>
            <w:hideMark/>
          </w:tcPr>
          <w:p w14:paraId="30646E7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412.00</w:t>
            </w:r>
          </w:p>
        </w:tc>
        <w:tc>
          <w:tcPr>
            <w:tcW w:w="959" w:type="dxa"/>
            <w:hideMark/>
          </w:tcPr>
          <w:p w14:paraId="17EEAB1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A256AD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881894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C7B952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C169DE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AB4E73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915D35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2BDF048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4B1949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Mali / Draining waste management in Bamako </w:t>
            </w:r>
          </w:p>
        </w:tc>
        <w:tc>
          <w:tcPr>
            <w:tcW w:w="975" w:type="dxa"/>
            <w:hideMark/>
          </w:tcPr>
          <w:p w14:paraId="2B9D848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186.00</w:t>
            </w:r>
          </w:p>
        </w:tc>
        <w:tc>
          <w:tcPr>
            <w:tcW w:w="959" w:type="dxa"/>
            <w:hideMark/>
          </w:tcPr>
          <w:p w14:paraId="54F0E5B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8A94E5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22EFD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FB4841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B3B414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B4487E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(waste Management)</w:t>
            </w:r>
          </w:p>
        </w:tc>
        <w:tc>
          <w:tcPr>
            <w:tcW w:w="2601" w:type="dxa"/>
            <w:hideMark/>
          </w:tcPr>
          <w:p w14:paraId="7F1D8E0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0639A52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5BD824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Egypt / Commercial electric bikes</w:t>
            </w:r>
          </w:p>
        </w:tc>
        <w:tc>
          <w:tcPr>
            <w:tcW w:w="975" w:type="dxa"/>
            <w:hideMark/>
          </w:tcPr>
          <w:p w14:paraId="723C232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w:t>
            </w:r>
          </w:p>
        </w:tc>
        <w:tc>
          <w:tcPr>
            <w:tcW w:w="959" w:type="dxa"/>
            <w:hideMark/>
          </w:tcPr>
          <w:p w14:paraId="081D79F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DDBE63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81CD49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515105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42148E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BF78C3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72CB8EF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1A9EC29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C80AA6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Burkina Faso / Demonstrator for low-voltage electric network optimisation</w:t>
            </w:r>
          </w:p>
        </w:tc>
        <w:tc>
          <w:tcPr>
            <w:tcW w:w="975" w:type="dxa"/>
            <w:hideMark/>
          </w:tcPr>
          <w:p w14:paraId="1F15C28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203.00</w:t>
            </w:r>
          </w:p>
        </w:tc>
        <w:tc>
          <w:tcPr>
            <w:tcW w:w="959" w:type="dxa"/>
            <w:hideMark/>
          </w:tcPr>
          <w:p w14:paraId="20D3923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F9D79D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758CF0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50A2A5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207F2D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5FB559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360FE3B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0CB6953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79CB52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Ethiopia / PUR Project</w:t>
            </w:r>
          </w:p>
        </w:tc>
        <w:tc>
          <w:tcPr>
            <w:tcW w:w="975" w:type="dxa"/>
            <w:hideMark/>
          </w:tcPr>
          <w:p w14:paraId="31DFB61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499.00</w:t>
            </w:r>
          </w:p>
        </w:tc>
        <w:tc>
          <w:tcPr>
            <w:tcW w:w="959" w:type="dxa"/>
            <w:hideMark/>
          </w:tcPr>
          <w:p w14:paraId="6E59B7B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2EAEBF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96BF50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DA480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ADB5B4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C4AE9F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0FF499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07CAAC1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387794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Uganda / Zembo (solar powered moto-taxis)</w:t>
            </w:r>
          </w:p>
        </w:tc>
        <w:tc>
          <w:tcPr>
            <w:tcW w:w="975" w:type="dxa"/>
            <w:hideMark/>
          </w:tcPr>
          <w:p w14:paraId="0F43B2B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w:t>
            </w:r>
          </w:p>
        </w:tc>
        <w:tc>
          <w:tcPr>
            <w:tcW w:w="959" w:type="dxa"/>
            <w:hideMark/>
          </w:tcPr>
          <w:p w14:paraId="332CEDB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DA8D61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29B17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78A8AF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w:t>
            </w:r>
          </w:p>
        </w:tc>
        <w:tc>
          <w:tcPr>
            <w:tcW w:w="1060" w:type="dxa"/>
            <w:hideMark/>
          </w:tcPr>
          <w:p w14:paraId="0901B99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2398E8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151CAAA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22E7D2F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537F04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(benin - Ivory Coast) / Agro gazélec - recycling agricultural waste to produce biogas</w:t>
            </w:r>
          </w:p>
        </w:tc>
        <w:tc>
          <w:tcPr>
            <w:tcW w:w="975" w:type="dxa"/>
            <w:hideMark/>
          </w:tcPr>
          <w:p w14:paraId="4E08AC8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2,200.00</w:t>
            </w:r>
          </w:p>
        </w:tc>
        <w:tc>
          <w:tcPr>
            <w:tcW w:w="959" w:type="dxa"/>
            <w:hideMark/>
          </w:tcPr>
          <w:p w14:paraId="3DD08D3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4C74C3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CC3481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AB0CAE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B65F7F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1E74B1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0139D68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41FC728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294D9A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(mali - Niger - Burkina Faso) / Wood-to-energy in Sahel region</w:t>
            </w:r>
          </w:p>
        </w:tc>
        <w:tc>
          <w:tcPr>
            <w:tcW w:w="975" w:type="dxa"/>
            <w:hideMark/>
          </w:tcPr>
          <w:p w14:paraId="136E6FB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0EC0765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889BCC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71C824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BBE239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869030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FA5321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F7E793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2F2F9FA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CC1A04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Madagascar / Energy-positive local governements</w:t>
            </w:r>
          </w:p>
        </w:tc>
        <w:tc>
          <w:tcPr>
            <w:tcW w:w="975" w:type="dxa"/>
            <w:hideMark/>
          </w:tcPr>
          <w:p w14:paraId="7B2E55F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w:t>
            </w:r>
          </w:p>
        </w:tc>
        <w:tc>
          <w:tcPr>
            <w:tcW w:w="959" w:type="dxa"/>
            <w:hideMark/>
          </w:tcPr>
          <w:p w14:paraId="3BA61D2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EB97BB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CCD1DA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3F7BD2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21F619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8EEFBE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3437D6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2A9C818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10BC5F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Côte D'ivoire / TERRI4SOL</w:t>
            </w:r>
          </w:p>
        </w:tc>
        <w:tc>
          <w:tcPr>
            <w:tcW w:w="975" w:type="dxa"/>
            <w:hideMark/>
          </w:tcPr>
          <w:p w14:paraId="4BB5A25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1220C94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ED5959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2D76BB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D4BFA0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6C3173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55E4F7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E1AF10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1DB902F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12169B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Kenya / Ecological continuities in Nothern Kenya</w:t>
            </w:r>
          </w:p>
        </w:tc>
        <w:tc>
          <w:tcPr>
            <w:tcW w:w="975" w:type="dxa"/>
            <w:hideMark/>
          </w:tcPr>
          <w:p w14:paraId="09E247C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48E7BDF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D70449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70418B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335FA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8D32E6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8A83D7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294A2D4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1524288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DB2D02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Albania / Reform of the electricity sector </w:t>
            </w:r>
          </w:p>
        </w:tc>
        <w:tc>
          <w:tcPr>
            <w:tcW w:w="975" w:type="dxa"/>
            <w:hideMark/>
          </w:tcPr>
          <w:p w14:paraId="2FE985D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w:t>
            </w:r>
          </w:p>
        </w:tc>
        <w:tc>
          <w:tcPr>
            <w:tcW w:w="959" w:type="dxa"/>
            <w:hideMark/>
          </w:tcPr>
          <w:p w14:paraId="2CC0A97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63195E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75021F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835094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5B1DA3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30E09C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0C9A43B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6F99EE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732CE1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Albania / Reform of the electricity sector </w:t>
            </w:r>
          </w:p>
        </w:tc>
        <w:tc>
          <w:tcPr>
            <w:tcW w:w="975" w:type="dxa"/>
            <w:hideMark/>
          </w:tcPr>
          <w:p w14:paraId="6318C0B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w:t>
            </w:r>
          </w:p>
        </w:tc>
        <w:tc>
          <w:tcPr>
            <w:tcW w:w="959" w:type="dxa"/>
            <w:hideMark/>
          </w:tcPr>
          <w:p w14:paraId="47A5F21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4452C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CC45EC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474D47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107500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09576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60E39C8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C0110D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151909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Bangladesh / Upgrading the electricity network in Southern Dhaka</w:t>
            </w:r>
          </w:p>
        </w:tc>
        <w:tc>
          <w:tcPr>
            <w:tcW w:w="975" w:type="dxa"/>
            <w:hideMark/>
          </w:tcPr>
          <w:p w14:paraId="3124725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w:t>
            </w:r>
          </w:p>
        </w:tc>
        <w:tc>
          <w:tcPr>
            <w:tcW w:w="959" w:type="dxa"/>
            <w:hideMark/>
          </w:tcPr>
          <w:p w14:paraId="5E43D8D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BE17B0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43A1E2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4A2964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6C6B134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2CF789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C510A3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21DD31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FF0829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Cambodia / Skills for Competitiveness</w:t>
            </w:r>
          </w:p>
        </w:tc>
        <w:tc>
          <w:tcPr>
            <w:tcW w:w="975" w:type="dxa"/>
            <w:hideMark/>
          </w:tcPr>
          <w:p w14:paraId="38CEBD5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2,988.00</w:t>
            </w:r>
          </w:p>
        </w:tc>
        <w:tc>
          <w:tcPr>
            <w:tcW w:w="959" w:type="dxa"/>
            <w:hideMark/>
          </w:tcPr>
          <w:p w14:paraId="6E41737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FF7680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5FDA6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54A317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A58040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D9F9F6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5FB29C2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33D688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D391A4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Cambodia / Improving the quality of life of communities in Phnom Penh precarious neighbourhoods</w:t>
            </w:r>
          </w:p>
        </w:tc>
        <w:tc>
          <w:tcPr>
            <w:tcW w:w="975" w:type="dxa"/>
            <w:hideMark/>
          </w:tcPr>
          <w:p w14:paraId="02B1598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w:t>
            </w:r>
          </w:p>
        </w:tc>
        <w:tc>
          <w:tcPr>
            <w:tcW w:w="959" w:type="dxa"/>
            <w:hideMark/>
          </w:tcPr>
          <w:p w14:paraId="68C54E9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463CA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34C0AA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740802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08144D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A39C7F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5B81D0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5989567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5E019F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Cambodia / Sustainable and climate risk resilient agriculture in the Siem Reap province   </w:t>
            </w:r>
          </w:p>
        </w:tc>
        <w:tc>
          <w:tcPr>
            <w:tcW w:w="975" w:type="dxa"/>
            <w:hideMark/>
          </w:tcPr>
          <w:p w14:paraId="4150526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630.00</w:t>
            </w:r>
          </w:p>
        </w:tc>
        <w:tc>
          <w:tcPr>
            <w:tcW w:w="959" w:type="dxa"/>
            <w:hideMark/>
          </w:tcPr>
          <w:p w14:paraId="4174F13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E56714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54436F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4FC6AF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2A0F8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45E8E4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A84F3C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69AFDCB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4C7C59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Cambodia / Water purification station</w:t>
            </w:r>
          </w:p>
        </w:tc>
        <w:tc>
          <w:tcPr>
            <w:tcW w:w="975" w:type="dxa"/>
            <w:hideMark/>
          </w:tcPr>
          <w:p w14:paraId="7EF4E77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w:t>
            </w:r>
          </w:p>
        </w:tc>
        <w:tc>
          <w:tcPr>
            <w:tcW w:w="959" w:type="dxa"/>
            <w:hideMark/>
          </w:tcPr>
          <w:p w14:paraId="1460620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09D570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F2048A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490602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1C65D9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201290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18F836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1718EC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AB2D5A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China / Improving the ageing process in Guizhou</w:t>
            </w:r>
          </w:p>
        </w:tc>
        <w:tc>
          <w:tcPr>
            <w:tcW w:w="975" w:type="dxa"/>
            <w:hideMark/>
          </w:tcPr>
          <w:p w14:paraId="59BA857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w:t>
            </w:r>
          </w:p>
        </w:tc>
        <w:tc>
          <w:tcPr>
            <w:tcW w:w="959" w:type="dxa"/>
            <w:hideMark/>
          </w:tcPr>
          <w:p w14:paraId="639DEE8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CD3BC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1EEB63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DD077A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218B133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F6C0A4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1ED2361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32356F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C7F6F9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China / Climate investment fund</w:t>
            </w:r>
          </w:p>
        </w:tc>
        <w:tc>
          <w:tcPr>
            <w:tcW w:w="975" w:type="dxa"/>
            <w:hideMark/>
          </w:tcPr>
          <w:p w14:paraId="3FE9B58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56,000.00</w:t>
            </w:r>
          </w:p>
        </w:tc>
        <w:tc>
          <w:tcPr>
            <w:tcW w:w="959" w:type="dxa"/>
            <w:hideMark/>
          </w:tcPr>
          <w:p w14:paraId="03E5B2D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E09CD4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915C07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2865A1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73C218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8DE9F0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7F87430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621D80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DCADE2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China / Natural site management </w:t>
            </w:r>
          </w:p>
        </w:tc>
        <w:tc>
          <w:tcPr>
            <w:tcW w:w="975" w:type="dxa"/>
            <w:hideMark/>
          </w:tcPr>
          <w:p w14:paraId="6ABA258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31,800.00</w:t>
            </w:r>
          </w:p>
        </w:tc>
        <w:tc>
          <w:tcPr>
            <w:tcW w:w="959" w:type="dxa"/>
            <w:hideMark/>
          </w:tcPr>
          <w:p w14:paraId="023EEAB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2C012B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D9A462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28230F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79C612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548A3B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6EBE507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BA46D5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B691C2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Georgia / Water infrastructures in Khashuri</w:t>
            </w:r>
          </w:p>
        </w:tc>
        <w:tc>
          <w:tcPr>
            <w:tcW w:w="975" w:type="dxa"/>
            <w:hideMark/>
          </w:tcPr>
          <w:p w14:paraId="7A69999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29,000.00</w:t>
            </w:r>
          </w:p>
        </w:tc>
        <w:tc>
          <w:tcPr>
            <w:tcW w:w="959" w:type="dxa"/>
            <w:hideMark/>
          </w:tcPr>
          <w:p w14:paraId="40365A7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039B05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02EF86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4FBAE5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265BB5D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75CC7F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2D6FF8B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73366C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E03E16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Georgia / Energy efficiency</w:t>
            </w:r>
          </w:p>
        </w:tc>
        <w:tc>
          <w:tcPr>
            <w:tcW w:w="975" w:type="dxa"/>
            <w:hideMark/>
          </w:tcPr>
          <w:p w14:paraId="65E9E4E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60,000.00</w:t>
            </w:r>
          </w:p>
        </w:tc>
        <w:tc>
          <w:tcPr>
            <w:tcW w:w="959" w:type="dxa"/>
            <w:hideMark/>
          </w:tcPr>
          <w:p w14:paraId="58FE971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9F7BAF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FCBFBC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F87ED8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CAFDF8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21E502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7FF4A3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83CC27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9FC068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India / Subway in Surat</w:t>
            </w:r>
          </w:p>
        </w:tc>
        <w:tc>
          <w:tcPr>
            <w:tcW w:w="975" w:type="dxa"/>
            <w:hideMark/>
          </w:tcPr>
          <w:p w14:paraId="1492BE5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w:t>
            </w:r>
          </w:p>
        </w:tc>
        <w:tc>
          <w:tcPr>
            <w:tcW w:w="959" w:type="dxa"/>
            <w:hideMark/>
          </w:tcPr>
          <w:p w14:paraId="5C9CAE8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1E131B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73DE3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C469B7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BC699B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D04D76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2DC7776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CAAC30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DFC7E4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India / Equity investment in solar unit deployment in India</w:t>
            </w:r>
          </w:p>
        </w:tc>
        <w:tc>
          <w:tcPr>
            <w:tcW w:w="975" w:type="dxa"/>
            <w:hideMark/>
          </w:tcPr>
          <w:p w14:paraId="4A866FF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13,485.56</w:t>
            </w:r>
          </w:p>
        </w:tc>
        <w:tc>
          <w:tcPr>
            <w:tcW w:w="959" w:type="dxa"/>
            <w:hideMark/>
          </w:tcPr>
          <w:p w14:paraId="2281693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9AD1AD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0EBCA7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50C292E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w:t>
            </w:r>
          </w:p>
        </w:tc>
        <w:tc>
          <w:tcPr>
            <w:tcW w:w="1060" w:type="dxa"/>
            <w:hideMark/>
          </w:tcPr>
          <w:p w14:paraId="538A0AF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1D4AE2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07290B7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0C7BCCE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E07DC3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Indonesia / Marine meteorology system</w:t>
            </w:r>
          </w:p>
        </w:tc>
        <w:tc>
          <w:tcPr>
            <w:tcW w:w="975" w:type="dxa"/>
            <w:hideMark/>
          </w:tcPr>
          <w:p w14:paraId="1E984EE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63,718.24</w:t>
            </w:r>
          </w:p>
        </w:tc>
        <w:tc>
          <w:tcPr>
            <w:tcW w:w="959" w:type="dxa"/>
            <w:hideMark/>
          </w:tcPr>
          <w:p w14:paraId="54179F6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94A0D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8E949E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8C3E2E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DE396A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F18228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1BF1209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14095C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471369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Indonesia / Climate finance</w:t>
            </w:r>
          </w:p>
        </w:tc>
        <w:tc>
          <w:tcPr>
            <w:tcW w:w="975" w:type="dxa"/>
            <w:hideMark/>
          </w:tcPr>
          <w:p w14:paraId="0647922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119,946.69</w:t>
            </w:r>
          </w:p>
        </w:tc>
        <w:tc>
          <w:tcPr>
            <w:tcW w:w="959" w:type="dxa"/>
            <w:hideMark/>
          </w:tcPr>
          <w:p w14:paraId="02BD9E9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F7A770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8341AE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1F93A4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13E9E2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A44F8A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5304265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30AAA4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5BDCA0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Indonesia / Support to fiscal reform</w:t>
            </w:r>
          </w:p>
        </w:tc>
        <w:tc>
          <w:tcPr>
            <w:tcW w:w="975" w:type="dxa"/>
            <w:hideMark/>
          </w:tcPr>
          <w:p w14:paraId="5CFC623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30,600.00</w:t>
            </w:r>
          </w:p>
        </w:tc>
        <w:tc>
          <w:tcPr>
            <w:tcW w:w="959" w:type="dxa"/>
            <w:hideMark/>
          </w:tcPr>
          <w:p w14:paraId="59515CA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15C70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2454B7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76D130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E7F1A7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D26AF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01865E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8AC959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B346C8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Indonesia / Developing sustainable fishing after a tsunami</w:t>
            </w:r>
          </w:p>
        </w:tc>
        <w:tc>
          <w:tcPr>
            <w:tcW w:w="975" w:type="dxa"/>
            <w:hideMark/>
          </w:tcPr>
          <w:p w14:paraId="5534F42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w:t>
            </w:r>
          </w:p>
        </w:tc>
        <w:tc>
          <w:tcPr>
            <w:tcW w:w="959" w:type="dxa"/>
            <w:hideMark/>
          </w:tcPr>
          <w:p w14:paraId="6B87461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F99F7D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0C4DDC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B7CCE6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E06CDE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615452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090B7C4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27D153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FF30F0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(irak) / Increase social and economic resilience through access to water</w:t>
            </w:r>
          </w:p>
        </w:tc>
        <w:tc>
          <w:tcPr>
            <w:tcW w:w="975" w:type="dxa"/>
            <w:hideMark/>
          </w:tcPr>
          <w:p w14:paraId="1A95601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10,800.00</w:t>
            </w:r>
          </w:p>
        </w:tc>
        <w:tc>
          <w:tcPr>
            <w:tcW w:w="959" w:type="dxa"/>
            <w:hideMark/>
          </w:tcPr>
          <w:p w14:paraId="6F93D0D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4C0497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FCFF17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770214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3B9649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A55508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5FFD43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9A7202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3A4245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Jordan / Public policies in the water sector</w:t>
            </w:r>
          </w:p>
        </w:tc>
        <w:tc>
          <w:tcPr>
            <w:tcW w:w="975" w:type="dxa"/>
            <w:hideMark/>
          </w:tcPr>
          <w:p w14:paraId="4B13086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96,000.00</w:t>
            </w:r>
          </w:p>
        </w:tc>
        <w:tc>
          <w:tcPr>
            <w:tcW w:w="959" w:type="dxa"/>
            <w:hideMark/>
          </w:tcPr>
          <w:p w14:paraId="343544D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A9F7AA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331EE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D9D525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76B922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4D2491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2249F0C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30810A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B89E09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Jordan / Climate risk management</w:t>
            </w:r>
          </w:p>
        </w:tc>
        <w:tc>
          <w:tcPr>
            <w:tcW w:w="975" w:type="dxa"/>
            <w:hideMark/>
          </w:tcPr>
          <w:p w14:paraId="237A124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w:t>
            </w:r>
          </w:p>
        </w:tc>
        <w:tc>
          <w:tcPr>
            <w:tcW w:w="959" w:type="dxa"/>
            <w:hideMark/>
          </w:tcPr>
          <w:p w14:paraId="1D1C907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BDE775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096716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68A04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7CBC79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FB5A30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463C514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871996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7739F0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Jordan / Climate risk management</w:t>
            </w:r>
          </w:p>
        </w:tc>
        <w:tc>
          <w:tcPr>
            <w:tcW w:w="975" w:type="dxa"/>
            <w:hideMark/>
          </w:tcPr>
          <w:p w14:paraId="69A97B0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w:t>
            </w:r>
          </w:p>
        </w:tc>
        <w:tc>
          <w:tcPr>
            <w:tcW w:w="959" w:type="dxa"/>
            <w:hideMark/>
          </w:tcPr>
          <w:p w14:paraId="25E1BC6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0063EE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AA7B1D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E5EF02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B3000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BA162F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595F4F4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FE1BEC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91613B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Jordan / Sanitation networks</w:t>
            </w:r>
          </w:p>
        </w:tc>
        <w:tc>
          <w:tcPr>
            <w:tcW w:w="975" w:type="dxa"/>
            <w:hideMark/>
          </w:tcPr>
          <w:p w14:paraId="5EFF993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w:t>
            </w:r>
          </w:p>
        </w:tc>
        <w:tc>
          <w:tcPr>
            <w:tcW w:w="959" w:type="dxa"/>
            <w:hideMark/>
          </w:tcPr>
          <w:p w14:paraId="0EA5BA4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6E92EB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AB0BC1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92C10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A76529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84A369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621CA48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7FACA1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261381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Jordan / Sanitation networks</w:t>
            </w:r>
          </w:p>
        </w:tc>
        <w:tc>
          <w:tcPr>
            <w:tcW w:w="975" w:type="dxa"/>
            <w:hideMark/>
          </w:tcPr>
          <w:p w14:paraId="36B22CD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4,700.00</w:t>
            </w:r>
          </w:p>
        </w:tc>
        <w:tc>
          <w:tcPr>
            <w:tcW w:w="959" w:type="dxa"/>
            <w:hideMark/>
          </w:tcPr>
          <w:p w14:paraId="6C6FF7F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E87DAB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CDDF27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9ACDA7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744CE8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5B41B0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197EFE9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DB07FD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B27B44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Jordan / Sanitation networks</w:t>
            </w:r>
          </w:p>
        </w:tc>
        <w:tc>
          <w:tcPr>
            <w:tcW w:w="975" w:type="dxa"/>
            <w:hideMark/>
          </w:tcPr>
          <w:p w14:paraId="2D3B5B5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5,300.00</w:t>
            </w:r>
          </w:p>
        </w:tc>
        <w:tc>
          <w:tcPr>
            <w:tcW w:w="959" w:type="dxa"/>
            <w:hideMark/>
          </w:tcPr>
          <w:p w14:paraId="592CBD4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466130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AF3C8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55C1CB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9C677B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DEB7C3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4E09814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FEA035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725442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(laos) / Restoration of gravity-based irrigation systems</w:t>
            </w:r>
          </w:p>
        </w:tc>
        <w:tc>
          <w:tcPr>
            <w:tcW w:w="975" w:type="dxa"/>
            <w:hideMark/>
          </w:tcPr>
          <w:p w14:paraId="4BB47F5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1,110.00</w:t>
            </w:r>
          </w:p>
        </w:tc>
        <w:tc>
          <w:tcPr>
            <w:tcW w:w="959" w:type="dxa"/>
            <w:hideMark/>
          </w:tcPr>
          <w:p w14:paraId="6685C0A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43DED7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6CCAE2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542BF0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CA8333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BC252A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28E9799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8CE68C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F8F4C5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(laos) / Nutrition and food security</w:t>
            </w:r>
          </w:p>
        </w:tc>
        <w:tc>
          <w:tcPr>
            <w:tcW w:w="975" w:type="dxa"/>
            <w:hideMark/>
          </w:tcPr>
          <w:p w14:paraId="67708BB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w:t>
            </w:r>
          </w:p>
        </w:tc>
        <w:tc>
          <w:tcPr>
            <w:tcW w:w="959" w:type="dxa"/>
            <w:hideMark/>
          </w:tcPr>
          <w:p w14:paraId="63AD74F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06C7D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D1093F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009817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7B95D9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D4776B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9A1372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3739A0D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196735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(laos) / Rural development</w:t>
            </w:r>
          </w:p>
        </w:tc>
        <w:tc>
          <w:tcPr>
            <w:tcW w:w="975" w:type="dxa"/>
            <w:hideMark/>
          </w:tcPr>
          <w:p w14:paraId="03D26F7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270.00</w:t>
            </w:r>
          </w:p>
        </w:tc>
        <w:tc>
          <w:tcPr>
            <w:tcW w:w="959" w:type="dxa"/>
            <w:hideMark/>
          </w:tcPr>
          <w:p w14:paraId="3B0A48C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496A98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2F2999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FFA8E1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A29112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48392A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69E05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0C8F531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8DCE80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Lebanon / Improve access to water and education for refugees</w:t>
            </w:r>
          </w:p>
        </w:tc>
        <w:tc>
          <w:tcPr>
            <w:tcW w:w="975" w:type="dxa"/>
            <w:hideMark/>
          </w:tcPr>
          <w:p w14:paraId="0DBDE85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9,450.00</w:t>
            </w:r>
          </w:p>
        </w:tc>
        <w:tc>
          <w:tcPr>
            <w:tcW w:w="959" w:type="dxa"/>
            <w:hideMark/>
          </w:tcPr>
          <w:p w14:paraId="4986903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A56920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62DC5E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50F00B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B9A803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1355F6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799A65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B40FE8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1735A0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Lebanon / Improve access to water and education for refugees</w:t>
            </w:r>
          </w:p>
        </w:tc>
        <w:tc>
          <w:tcPr>
            <w:tcW w:w="975" w:type="dxa"/>
            <w:hideMark/>
          </w:tcPr>
          <w:p w14:paraId="7151424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w:t>
            </w:r>
          </w:p>
        </w:tc>
        <w:tc>
          <w:tcPr>
            <w:tcW w:w="959" w:type="dxa"/>
            <w:hideMark/>
          </w:tcPr>
          <w:p w14:paraId="5568EE0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580074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BA3803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A798C0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3FDB32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6CF758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FDC8E0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29C71E0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770668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Myanmar / Restoration of five hydroelectric power plants</w:t>
            </w:r>
          </w:p>
        </w:tc>
        <w:tc>
          <w:tcPr>
            <w:tcW w:w="975" w:type="dxa"/>
            <w:hideMark/>
          </w:tcPr>
          <w:p w14:paraId="1E1AA78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35,700.00</w:t>
            </w:r>
          </w:p>
        </w:tc>
        <w:tc>
          <w:tcPr>
            <w:tcW w:w="959" w:type="dxa"/>
            <w:hideMark/>
          </w:tcPr>
          <w:p w14:paraId="7F98E4D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790ECC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DD900F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907AA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06193AA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0ECB1A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3680CF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51BFB5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6D7BD6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Myanmar / Biodiversity protection</w:t>
            </w:r>
          </w:p>
        </w:tc>
        <w:tc>
          <w:tcPr>
            <w:tcW w:w="975" w:type="dxa"/>
            <w:hideMark/>
          </w:tcPr>
          <w:p w14:paraId="2D89B72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1743A5B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93820F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95556E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9F3DE7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BA97EE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07716E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03B6565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D5C8CC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D85EC0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Nepal / Hydroelectric power plant</w:t>
            </w:r>
          </w:p>
        </w:tc>
        <w:tc>
          <w:tcPr>
            <w:tcW w:w="975" w:type="dxa"/>
            <w:hideMark/>
          </w:tcPr>
          <w:p w14:paraId="35BBD36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22,391.40</w:t>
            </w:r>
          </w:p>
        </w:tc>
        <w:tc>
          <w:tcPr>
            <w:tcW w:w="959" w:type="dxa"/>
            <w:hideMark/>
          </w:tcPr>
          <w:p w14:paraId="01AB007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83DEFC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B25A77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0E96C48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48FEDE7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4A855A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78EA3E1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27D755F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292D1A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Uzbekistan / Hydroelectric power plant</w:t>
            </w:r>
          </w:p>
        </w:tc>
        <w:tc>
          <w:tcPr>
            <w:tcW w:w="975" w:type="dxa"/>
            <w:hideMark/>
          </w:tcPr>
          <w:p w14:paraId="0582594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55,800.00</w:t>
            </w:r>
          </w:p>
        </w:tc>
        <w:tc>
          <w:tcPr>
            <w:tcW w:w="959" w:type="dxa"/>
            <w:hideMark/>
          </w:tcPr>
          <w:p w14:paraId="74A6B4B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A6F500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B5E197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40322C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758EEA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9C83A6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51759B6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55971A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B09001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Pakistan / High-speed bus system in Karachi</w:t>
            </w:r>
          </w:p>
        </w:tc>
        <w:tc>
          <w:tcPr>
            <w:tcW w:w="975" w:type="dxa"/>
            <w:hideMark/>
          </w:tcPr>
          <w:p w14:paraId="7355C17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90,000.00</w:t>
            </w:r>
          </w:p>
        </w:tc>
        <w:tc>
          <w:tcPr>
            <w:tcW w:w="959" w:type="dxa"/>
            <w:hideMark/>
          </w:tcPr>
          <w:p w14:paraId="3BEB817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4D1A11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91DF5C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D6AA7E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FB78C1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F85A23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64AD3F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C0DBDC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368EA0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Philippines / Supporting public-private partnerships</w:t>
            </w:r>
          </w:p>
        </w:tc>
        <w:tc>
          <w:tcPr>
            <w:tcW w:w="975" w:type="dxa"/>
            <w:hideMark/>
          </w:tcPr>
          <w:p w14:paraId="5AE705C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w:t>
            </w:r>
          </w:p>
        </w:tc>
        <w:tc>
          <w:tcPr>
            <w:tcW w:w="959" w:type="dxa"/>
            <w:hideMark/>
          </w:tcPr>
          <w:p w14:paraId="6BD4969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5A180F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FDD251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1E41D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741EC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72BE69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A391CA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89D6EA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636B6E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Sri Lanka / Sanitation management</w:t>
            </w:r>
          </w:p>
        </w:tc>
        <w:tc>
          <w:tcPr>
            <w:tcW w:w="975" w:type="dxa"/>
            <w:hideMark/>
          </w:tcPr>
          <w:p w14:paraId="1C14024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99,630.00</w:t>
            </w:r>
          </w:p>
        </w:tc>
        <w:tc>
          <w:tcPr>
            <w:tcW w:w="959" w:type="dxa"/>
            <w:hideMark/>
          </w:tcPr>
          <w:p w14:paraId="46A749E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CA4DE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E1A5DF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494CE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BBE822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69327D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66C6CF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C4CAD0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AAC34C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lang w:val="en-US"/>
              </w:rPr>
              <w:t>Other (palestinian Autonomous Territories) / Rural development</w:t>
            </w:r>
          </w:p>
        </w:tc>
        <w:tc>
          <w:tcPr>
            <w:tcW w:w="975" w:type="dxa"/>
            <w:hideMark/>
          </w:tcPr>
          <w:p w14:paraId="4B724E7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2,720.00</w:t>
            </w:r>
          </w:p>
        </w:tc>
        <w:tc>
          <w:tcPr>
            <w:tcW w:w="959" w:type="dxa"/>
            <w:hideMark/>
          </w:tcPr>
          <w:p w14:paraId="7B38718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F6873D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5315F5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224659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9599CB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DDE942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EE6EE3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705C18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49706F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lang w:val="en-US"/>
              </w:rPr>
              <w:t>Other (palestinian Autonomous Territories) / Rural development</w:t>
            </w:r>
          </w:p>
        </w:tc>
        <w:tc>
          <w:tcPr>
            <w:tcW w:w="975" w:type="dxa"/>
            <w:hideMark/>
          </w:tcPr>
          <w:p w14:paraId="30F208C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680.00</w:t>
            </w:r>
          </w:p>
        </w:tc>
        <w:tc>
          <w:tcPr>
            <w:tcW w:w="959" w:type="dxa"/>
            <w:hideMark/>
          </w:tcPr>
          <w:p w14:paraId="5047306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618BA2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DAA69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D8EB26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65E2C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5D7340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BF311F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1689FE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2DED8E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(palestinian Autonomous Territories) / Interconnection of water networks</w:t>
            </w:r>
          </w:p>
        </w:tc>
        <w:tc>
          <w:tcPr>
            <w:tcW w:w="975" w:type="dxa"/>
            <w:hideMark/>
          </w:tcPr>
          <w:p w14:paraId="7A33BC8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w:t>
            </w:r>
          </w:p>
        </w:tc>
        <w:tc>
          <w:tcPr>
            <w:tcW w:w="959" w:type="dxa"/>
            <w:hideMark/>
          </w:tcPr>
          <w:p w14:paraId="2DD38F9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83919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85EF7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A3F7D7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0BD400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74D574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5D1A34C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C09153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5CB04F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(palestinian Autonomous Territories) / Water treatment plant</w:t>
            </w:r>
          </w:p>
        </w:tc>
        <w:tc>
          <w:tcPr>
            <w:tcW w:w="975" w:type="dxa"/>
            <w:hideMark/>
          </w:tcPr>
          <w:p w14:paraId="488A130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w:t>
            </w:r>
          </w:p>
        </w:tc>
        <w:tc>
          <w:tcPr>
            <w:tcW w:w="959" w:type="dxa"/>
            <w:hideMark/>
          </w:tcPr>
          <w:p w14:paraId="7407EBB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EE9FFC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2074A4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CB9EB9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39029F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CA5E8D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63E1E48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D00F4C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380AB3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(palestinian Autonomous Territories) / Improving water management in agriculture</w:t>
            </w:r>
          </w:p>
        </w:tc>
        <w:tc>
          <w:tcPr>
            <w:tcW w:w="975" w:type="dxa"/>
            <w:hideMark/>
          </w:tcPr>
          <w:p w14:paraId="6A351FB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232.00</w:t>
            </w:r>
          </w:p>
        </w:tc>
        <w:tc>
          <w:tcPr>
            <w:tcW w:w="959" w:type="dxa"/>
            <w:hideMark/>
          </w:tcPr>
          <w:p w14:paraId="130F8FC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70C3B6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B50DF4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891707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E956E3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5B2D32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85C6E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755391D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8BAC6C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(vietnam) / Improved ticketing service for the Hanoi metro</w:t>
            </w:r>
          </w:p>
        </w:tc>
        <w:tc>
          <w:tcPr>
            <w:tcW w:w="975" w:type="dxa"/>
            <w:hideMark/>
          </w:tcPr>
          <w:p w14:paraId="7069071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w:t>
            </w:r>
          </w:p>
        </w:tc>
        <w:tc>
          <w:tcPr>
            <w:tcW w:w="959" w:type="dxa"/>
            <w:hideMark/>
          </w:tcPr>
          <w:p w14:paraId="08415FF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F0C189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E1855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6850CF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94FA07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ECB162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301D76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Treasury loan</w:t>
            </w:r>
          </w:p>
        </w:tc>
      </w:tr>
      <w:tr w:rsidR="001808DF" w:rsidRPr="005B54EE" w14:paraId="04AAA48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20F228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Serbia / Preliminary studies for the Belgrade metro</w:t>
            </w:r>
          </w:p>
        </w:tc>
        <w:tc>
          <w:tcPr>
            <w:tcW w:w="975" w:type="dxa"/>
            <w:hideMark/>
          </w:tcPr>
          <w:p w14:paraId="39AC4FB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3,320.00</w:t>
            </w:r>
          </w:p>
        </w:tc>
        <w:tc>
          <w:tcPr>
            <w:tcW w:w="959" w:type="dxa"/>
            <w:hideMark/>
          </w:tcPr>
          <w:p w14:paraId="227ADB9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E4663C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D6FA1A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E99C9B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CDBDB2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9733C1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74D4040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08B2318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176CD2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Indonesia / Feasability study on the implementation of smart grids </w:t>
            </w:r>
          </w:p>
        </w:tc>
        <w:tc>
          <w:tcPr>
            <w:tcW w:w="975" w:type="dxa"/>
            <w:hideMark/>
          </w:tcPr>
          <w:p w14:paraId="65A8F92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156.00</w:t>
            </w:r>
          </w:p>
        </w:tc>
        <w:tc>
          <w:tcPr>
            <w:tcW w:w="959" w:type="dxa"/>
            <w:hideMark/>
          </w:tcPr>
          <w:p w14:paraId="1E6C336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7FCBA2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57E4BC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92EC4F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246713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372747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18EAF47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126BB67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7230B3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(lebanon And Egypt) / SupMed - land degradation</w:t>
            </w:r>
          </w:p>
        </w:tc>
        <w:tc>
          <w:tcPr>
            <w:tcW w:w="975" w:type="dxa"/>
            <w:hideMark/>
          </w:tcPr>
          <w:p w14:paraId="5673256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1,700.00</w:t>
            </w:r>
          </w:p>
        </w:tc>
        <w:tc>
          <w:tcPr>
            <w:tcW w:w="959" w:type="dxa"/>
            <w:hideMark/>
          </w:tcPr>
          <w:p w14:paraId="1A6E14F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C2724F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4C109E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CA54F9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CEB0C9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04E508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77303F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4F318F9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943621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(timor-leste) / Transition towards peasant agriculture for food sovereignty</w:t>
            </w:r>
          </w:p>
        </w:tc>
        <w:tc>
          <w:tcPr>
            <w:tcW w:w="975" w:type="dxa"/>
            <w:hideMark/>
          </w:tcPr>
          <w:p w14:paraId="391635E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1,221.00</w:t>
            </w:r>
          </w:p>
        </w:tc>
        <w:tc>
          <w:tcPr>
            <w:tcW w:w="959" w:type="dxa"/>
            <w:hideMark/>
          </w:tcPr>
          <w:p w14:paraId="241E2E2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4DCEB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A3F9D7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588D04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CAAD27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057F7B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9C6157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058862B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B5E0ED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Argentina / Renewable energy</w:t>
            </w:r>
          </w:p>
        </w:tc>
        <w:tc>
          <w:tcPr>
            <w:tcW w:w="975" w:type="dxa"/>
            <w:hideMark/>
          </w:tcPr>
          <w:p w14:paraId="226BFB1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35,961.52</w:t>
            </w:r>
          </w:p>
        </w:tc>
        <w:tc>
          <w:tcPr>
            <w:tcW w:w="959" w:type="dxa"/>
            <w:hideMark/>
          </w:tcPr>
          <w:p w14:paraId="238B6E0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709CF6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E6569D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639B5B3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5A081B1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403F25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675855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65F7DB6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C40151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Argentina / Financial intermediation</w:t>
            </w:r>
          </w:p>
        </w:tc>
        <w:tc>
          <w:tcPr>
            <w:tcW w:w="975" w:type="dxa"/>
            <w:hideMark/>
          </w:tcPr>
          <w:p w14:paraId="2175206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44,567.25</w:t>
            </w:r>
          </w:p>
        </w:tc>
        <w:tc>
          <w:tcPr>
            <w:tcW w:w="959" w:type="dxa"/>
            <w:hideMark/>
          </w:tcPr>
          <w:p w14:paraId="25696A4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81F3BF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14BB36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02ED70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w:t>
            </w:r>
          </w:p>
        </w:tc>
        <w:tc>
          <w:tcPr>
            <w:tcW w:w="1060" w:type="dxa"/>
            <w:hideMark/>
          </w:tcPr>
          <w:p w14:paraId="6FFCFCF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7826BF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4175F9A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4BDE112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0A8E6C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Bolivia / Energy transition</w:t>
            </w:r>
          </w:p>
        </w:tc>
        <w:tc>
          <w:tcPr>
            <w:tcW w:w="975" w:type="dxa"/>
            <w:hideMark/>
          </w:tcPr>
          <w:p w14:paraId="1AAAD49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73,800.00</w:t>
            </w:r>
          </w:p>
        </w:tc>
        <w:tc>
          <w:tcPr>
            <w:tcW w:w="959" w:type="dxa"/>
            <w:hideMark/>
          </w:tcPr>
          <w:p w14:paraId="26A9517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8A7CC3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852A02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4D755F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40964A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76753E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620A9AB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9A004A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144171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Brazil / Restoration of efficient cooling system</w:t>
            </w:r>
          </w:p>
        </w:tc>
        <w:tc>
          <w:tcPr>
            <w:tcW w:w="975" w:type="dxa"/>
            <w:hideMark/>
          </w:tcPr>
          <w:p w14:paraId="4C36FA7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22,896.00</w:t>
            </w:r>
          </w:p>
        </w:tc>
        <w:tc>
          <w:tcPr>
            <w:tcW w:w="959" w:type="dxa"/>
            <w:hideMark/>
          </w:tcPr>
          <w:p w14:paraId="74328B2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21149A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C43A0D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97E977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885D38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10FA77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30989BD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19312E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ADFBB0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Brazil / Energy efficiency</w:t>
            </w:r>
          </w:p>
        </w:tc>
        <w:tc>
          <w:tcPr>
            <w:tcW w:w="975" w:type="dxa"/>
            <w:hideMark/>
          </w:tcPr>
          <w:p w14:paraId="34161FF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60,000.00</w:t>
            </w:r>
          </w:p>
        </w:tc>
        <w:tc>
          <w:tcPr>
            <w:tcW w:w="959" w:type="dxa"/>
            <w:hideMark/>
          </w:tcPr>
          <w:p w14:paraId="4FD5BB5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582078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8677B9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4FE315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6B8BC6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820089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0FF7696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134C45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249A94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Brazil / Supporting the strategy change of BRDE</w:t>
            </w:r>
          </w:p>
        </w:tc>
        <w:tc>
          <w:tcPr>
            <w:tcW w:w="975" w:type="dxa"/>
            <w:hideMark/>
          </w:tcPr>
          <w:p w14:paraId="7EF09FF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49,000.00</w:t>
            </w:r>
          </w:p>
        </w:tc>
        <w:tc>
          <w:tcPr>
            <w:tcW w:w="959" w:type="dxa"/>
            <w:hideMark/>
          </w:tcPr>
          <w:p w14:paraId="70360BB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46C59D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BBFC9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792BA2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2FCE7A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B4FB80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4C53AD8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89E081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05E506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Brazil / Renewable energy</w:t>
            </w:r>
          </w:p>
        </w:tc>
        <w:tc>
          <w:tcPr>
            <w:tcW w:w="975" w:type="dxa"/>
            <w:hideMark/>
          </w:tcPr>
          <w:p w14:paraId="5D4005E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w:t>
            </w:r>
          </w:p>
        </w:tc>
        <w:tc>
          <w:tcPr>
            <w:tcW w:w="959" w:type="dxa"/>
            <w:hideMark/>
          </w:tcPr>
          <w:p w14:paraId="7C2EE0A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D6E5FC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E5D5D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ECAED9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2A0AA17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4E013C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5363040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E377CF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1AA014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Colombia / Upgrading the water and sanitation network in Pasto</w:t>
            </w:r>
          </w:p>
        </w:tc>
        <w:tc>
          <w:tcPr>
            <w:tcW w:w="975" w:type="dxa"/>
            <w:hideMark/>
          </w:tcPr>
          <w:p w14:paraId="71FFB1D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795790E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F5DD7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E114E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901E54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18C4D0F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1928D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E3ABB7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57A925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1C2899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Colombia / Agroecology</w:t>
            </w:r>
          </w:p>
        </w:tc>
        <w:tc>
          <w:tcPr>
            <w:tcW w:w="975" w:type="dxa"/>
            <w:hideMark/>
          </w:tcPr>
          <w:p w14:paraId="3F26437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320.00</w:t>
            </w:r>
          </w:p>
        </w:tc>
        <w:tc>
          <w:tcPr>
            <w:tcW w:w="959" w:type="dxa"/>
            <w:hideMark/>
          </w:tcPr>
          <w:p w14:paraId="39F740F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D840C8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DE2B91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DE2A95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B86C16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BB738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6EF4194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7A579DC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A4CA31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Costa Rica / Public policy</w:t>
            </w:r>
          </w:p>
        </w:tc>
        <w:tc>
          <w:tcPr>
            <w:tcW w:w="975" w:type="dxa"/>
            <w:hideMark/>
          </w:tcPr>
          <w:p w14:paraId="191A806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134,819.34</w:t>
            </w:r>
          </w:p>
        </w:tc>
        <w:tc>
          <w:tcPr>
            <w:tcW w:w="959" w:type="dxa"/>
            <w:hideMark/>
          </w:tcPr>
          <w:p w14:paraId="28BBD1D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86E25A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4A878B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E2C3C5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2143F2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DC7C20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236BD1A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4D733B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E4DDE6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Dominican Republic / Reforestation and soil restoration</w:t>
            </w:r>
          </w:p>
        </w:tc>
        <w:tc>
          <w:tcPr>
            <w:tcW w:w="975" w:type="dxa"/>
            <w:hideMark/>
          </w:tcPr>
          <w:p w14:paraId="5C58CA2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w:t>
            </w:r>
          </w:p>
        </w:tc>
        <w:tc>
          <w:tcPr>
            <w:tcW w:w="959" w:type="dxa"/>
            <w:hideMark/>
          </w:tcPr>
          <w:p w14:paraId="554F829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650FD6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C16DEA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469161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6E80831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5332A97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99BB0B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905276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EE71DF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Dominican Republic / Reforestation and soil restoration</w:t>
            </w:r>
          </w:p>
        </w:tc>
        <w:tc>
          <w:tcPr>
            <w:tcW w:w="975" w:type="dxa"/>
            <w:hideMark/>
          </w:tcPr>
          <w:p w14:paraId="5376431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7AF8641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62533B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C3E513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DBDB0D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1364BF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B0D72E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DFD49C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267B28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5C62DE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Dominican Republic / Reform of the transport sector</w:t>
            </w:r>
          </w:p>
        </w:tc>
        <w:tc>
          <w:tcPr>
            <w:tcW w:w="975" w:type="dxa"/>
            <w:hideMark/>
          </w:tcPr>
          <w:p w14:paraId="0EDCD92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89,461.44</w:t>
            </w:r>
          </w:p>
        </w:tc>
        <w:tc>
          <w:tcPr>
            <w:tcW w:w="959" w:type="dxa"/>
            <w:hideMark/>
          </w:tcPr>
          <w:p w14:paraId="49848BC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CF2675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A737A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B40B0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BB9E16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508360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070DAB0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3B9033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F39476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Ecuador / Transforming the financial system for climate</w:t>
            </w:r>
          </w:p>
        </w:tc>
        <w:tc>
          <w:tcPr>
            <w:tcW w:w="975" w:type="dxa"/>
            <w:hideMark/>
          </w:tcPr>
          <w:p w14:paraId="63750A2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12,500.00</w:t>
            </w:r>
          </w:p>
        </w:tc>
        <w:tc>
          <w:tcPr>
            <w:tcW w:w="959" w:type="dxa"/>
            <w:hideMark/>
          </w:tcPr>
          <w:p w14:paraId="1C12EB1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CD2577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C71E58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487ED3C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448EE5B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9104DD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418704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7DC0D9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BBD94B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Ecuador / Transforming the financial system for climate</w:t>
            </w:r>
          </w:p>
        </w:tc>
        <w:tc>
          <w:tcPr>
            <w:tcW w:w="975" w:type="dxa"/>
            <w:hideMark/>
          </w:tcPr>
          <w:p w14:paraId="52FF502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w:t>
            </w:r>
          </w:p>
        </w:tc>
        <w:tc>
          <w:tcPr>
            <w:tcW w:w="959" w:type="dxa"/>
            <w:hideMark/>
          </w:tcPr>
          <w:p w14:paraId="27B2C4E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039B35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0A27C2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4482CD8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69144FB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B433A3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6D1CE07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E92D01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00179E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Ecuador / Transforming the financial system for climate</w:t>
            </w:r>
          </w:p>
        </w:tc>
        <w:tc>
          <w:tcPr>
            <w:tcW w:w="975" w:type="dxa"/>
            <w:hideMark/>
          </w:tcPr>
          <w:p w14:paraId="73AD461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w:t>
            </w:r>
          </w:p>
        </w:tc>
        <w:tc>
          <w:tcPr>
            <w:tcW w:w="959" w:type="dxa"/>
            <w:hideMark/>
          </w:tcPr>
          <w:p w14:paraId="5965BCC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F08574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E099DC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01F6CAB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73CB85D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1DADEF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24A810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537C8C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146203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Ecuador / Transforming the financial system for climate</w:t>
            </w:r>
          </w:p>
        </w:tc>
        <w:tc>
          <w:tcPr>
            <w:tcW w:w="975" w:type="dxa"/>
            <w:hideMark/>
          </w:tcPr>
          <w:p w14:paraId="3A4F466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6,800.00</w:t>
            </w:r>
          </w:p>
        </w:tc>
        <w:tc>
          <w:tcPr>
            <w:tcW w:w="959" w:type="dxa"/>
            <w:hideMark/>
          </w:tcPr>
          <w:p w14:paraId="0E4CEED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87410B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7B1149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3F6ED6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1A21B5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A3801B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71A5804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509D39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81DC31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Ecuador / Social housing</w:t>
            </w:r>
          </w:p>
        </w:tc>
        <w:tc>
          <w:tcPr>
            <w:tcW w:w="975" w:type="dxa"/>
            <w:hideMark/>
          </w:tcPr>
          <w:p w14:paraId="28D1687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27,010.22</w:t>
            </w:r>
          </w:p>
        </w:tc>
        <w:tc>
          <w:tcPr>
            <w:tcW w:w="959" w:type="dxa"/>
            <w:hideMark/>
          </w:tcPr>
          <w:p w14:paraId="04A1C93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DB0317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B66AC2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CE7FD2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AE8CED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052DA2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7586F24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69A143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507A92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Ecuador / Public policy in the agriculture sector</w:t>
            </w:r>
          </w:p>
        </w:tc>
        <w:tc>
          <w:tcPr>
            <w:tcW w:w="975" w:type="dxa"/>
            <w:hideMark/>
          </w:tcPr>
          <w:p w14:paraId="41F1918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135,049.97</w:t>
            </w:r>
          </w:p>
        </w:tc>
        <w:tc>
          <w:tcPr>
            <w:tcW w:w="959" w:type="dxa"/>
            <w:hideMark/>
          </w:tcPr>
          <w:p w14:paraId="6B68461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56226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5734E1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387C5C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6ABB8C8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80C09F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40E61AA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1A4A2E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005A89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Guatemala / Wind power plant</w:t>
            </w:r>
          </w:p>
        </w:tc>
        <w:tc>
          <w:tcPr>
            <w:tcW w:w="975" w:type="dxa"/>
            <w:hideMark/>
          </w:tcPr>
          <w:p w14:paraId="24218E4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18,155.41</w:t>
            </w:r>
          </w:p>
        </w:tc>
        <w:tc>
          <w:tcPr>
            <w:tcW w:w="959" w:type="dxa"/>
            <w:hideMark/>
          </w:tcPr>
          <w:p w14:paraId="365D447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317716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5673C4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0480A69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5684DD0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220496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6BAC076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0ABAE0D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4096ED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Haiti / Agroforestry for coffee production</w:t>
            </w:r>
          </w:p>
        </w:tc>
        <w:tc>
          <w:tcPr>
            <w:tcW w:w="975" w:type="dxa"/>
            <w:hideMark/>
          </w:tcPr>
          <w:p w14:paraId="58EF58B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w:t>
            </w:r>
          </w:p>
        </w:tc>
        <w:tc>
          <w:tcPr>
            <w:tcW w:w="959" w:type="dxa"/>
            <w:hideMark/>
          </w:tcPr>
          <w:p w14:paraId="712C7B4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281BE6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672B2C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940BCE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39BD07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B9A652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D27CB9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63C017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E5132C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Haiti / Climate risk management</w:t>
            </w:r>
          </w:p>
        </w:tc>
        <w:tc>
          <w:tcPr>
            <w:tcW w:w="975" w:type="dxa"/>
            <w:hideMark/>
          </w:tcPr>
          <w:p w14:paraId="4C1715B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2CA8607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288EF3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A4F2B1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A33E3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3A0D67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C4FE4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5FFA09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C0B218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70FFB1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Haiti / Reduce climate-induced diseases</w:t>
            </w:r>
          </w:p>
        </w:tc>
        <w:tc>
          <w:tcPr>
            <w:tcW w:w="975" w:type="dxa"/>
            <w:hideMark/>
          </w:tcPr>
          <w:p w14:paraId="5B21175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w:t>
            </w:r>
          </w:p>
        </w:tc>
        <w:tc>
          <w:tcPr>
            <w:tcW w:w="959" w:type="dxa"/>
            <w:hideMark/>
          </w:tcPr>
          <w:p w14:paraId="1F89715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6CD354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9819A2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C033D8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35B635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3FDF20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003A6A4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1DC0D7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212BAD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Haiti / Developing and inclusive, sustainable and resilient city</w:t>
            </w:r>
          </w:p>
        </w:tc>
        <w:tc>
          <w:tcPr>
            <w:tcW w:w="975" w:type="dxa"/>
            <w:hideMark/>
          </w:tcPr>
          <w:p w14:paraId="1396E78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w:t>
            </w:r>
          </w:p>
        </w:tc>
        <w:tc>
          <w:tcPr>
            <w:tcW w:w="959" w:type="dxa"/>
            <w:hideMark/>
          </w:tcPr>
          <w:p w14:paraId="1F3D17F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5CC094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F8C16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C3D5C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90331B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A9796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146500C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655AB17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1FD5E0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Mexico / Public policies for sustainable development</w:t>
            </w:r>
          </w:p>
        </w:tc>
        <w:tc>
          <w:tcPr>
            <w:tcW w:w="975" w:type="dxa"/>
            <w:hideMark/>
          </w:tcPr>
          <w:p w14:paraId="200D1D8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w:t>
            </w:r>
          </w:p>
        </w:tc>
        <w:tc>
          <w:tcPr>
            <w:tcW w:w="959" w:type="dxa"/>
            <w:hideMark/>
          </w:tcPr>
          <w:p w14:paraId="323336B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1C7B0F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4DC2E4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DE7FEB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28243AD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0F1AA4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221D9E9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3910C5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356360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Paraguay / Financial intermediation</w:t>
            </w:r>
          </w:p>
        </w:tc>
        <w:tc>
          <w:tcPr>
            <w:tcW w:w="975" w:type="dxa"/>
            <w:hideMark/>
          </w:tcPr>
          <w:p w14:paraId="7D63C60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33,433.27</w:t>
            </w:r>
          </w:p>
        </w:tc>
        <w:tc>
          <w:tcPr>
            <w:tcW w:w="959" w:type="dxa"/>
            <w:hideMark/>
          </w:tcPr>
          <w:p w14:paraId="77B083F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9C4303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67992F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01077B9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171D781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0941C1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2D0568C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4D00696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E93E12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Peru / Green social housing</w:t>
            </w:r>
          </w:p>
        </w:tc>
        <w:tc>
          <w:tcPr>
            <w:tcW w:w="975" w:type="dxa"/>
            <w:hideMark/>
          </w:tcPr>
          <w:p w14:paraId="7A30F2F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73,500.00</w:t>
            </w:r>
          </w:p>
        </w:tc>
        <w:tc>
          <w:tcPr>
            <w:tcW w:w="959" w:type="dxa"/>
            <w:hideMark/>
          </w:tcPr>
          <w:p w14:paraId="42E7276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8E09E7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C2C56E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C0FD38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632F7E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5C5D172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7A4F3DB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D9281A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3D97ED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Cuba / Extending the programme to fight against the Marabu invasive specie</w:t>
            </w:r>
          </w:p>
        </w:tc>
        <w:tc>
          <w:tcPr>
            <w:tcW w:w="975" w:type="dxa"/>
            <w:hideMark/>
          </w:tcPr>
          <w:p w14:paraId="69E4152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w:t>
            </w:r>
          </w:p>
        </w:tc>
        <w:tc>
          <w:tcPr>
            <w:tcW w:w="959" w:type="dxa"/>
            <w:hideMark/>
          </w:tcPr>
          <w:p w14:paraId="6E0CA6E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66CB48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357792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DCF0D8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B47D24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D5A075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1D96F6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4EFBCD6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883C97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Brazil / Feasability study for a tramway in Niteroi</w:t>
            </w:r>
          </w:p>
        </w:tc>
        <w:tc>
          <w:tcPr>
            <w:tcW w:w="975" w:type="dxa"/>
            <w:hideMark/>
          </w:tcPr>
          <w:p w14:paraId="72D4BB4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331.00</w:t>
            </w:r>
          </w:p>
        </w:tc>
        <w:tc>
          <w:tcPr>
            <w:tcW w:w="959" w:type="dxa"/>
            <w:hideMark/>
          </w:tcPr>
          <w:p w14:paraId="6620DBD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59FCE7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EC02D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D920CE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70620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110671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3D505C9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3211AEC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D0431D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Mexico / Improving efficiency of geothermal power plants</w:t>
            </w:r>
          </w:p>
        </w:tc>
        <w:tc>
          <w:tcPr>
            <w:tcW w:w="975" w:type="dxa"/>
            <w:hideMark/>
          </w:tcPr>
          <w:p w14:paraId="14F84F1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655.00</w:t>
            </w:r>
          </w:p>
        </w:tc>
        <w:tc>
          <w:tcPr>
            <w:tcW w:w="959" w:type="dxa"/>
            <w:hideMark/>
          </w:tcPr>
          <w:p w14:paraId="14FEB3E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A4814D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A53210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2266BC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70246A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D5E455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49638E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FASEP</w:t>
            </w:r>
          </w:p>
        </w:tc>
      </w:tr>
      <w:tr w:rsidR="001808DF" w:rsidRPr="005B54EE" w14:paraId="422559A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B6B500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(mexico And Colombia) / Education related to climate change</w:t>
            </w:r>
          </w:p>
        </w:tc>
        <w:tc>
          <w:tcPr>
            <w:tcW w:w="975" w:type="dxa"/>
            <w:hideMark/>
          </w:tcPr>
          <w:p w14:paraId="0EEAE64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1,100.99</w:t>
            </w:r>
          </w:p>
        </w:tc>
        <w:tc>
          <w:tcPr>
            <w:tcW w:w="959" w:type="dxa"/>
            <w:hideMark/>
          </w:tcPr>
          <w:p w14:paraId="6492013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046AF9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2CB2EA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7C9FE7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B32B7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3B7694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E4F455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717CEF1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DEC42B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(peru - Ecuador - Bolivia) / Sustainable value chain for the production of Cocoa</w:t>
            </w:r>
          </w:p>
        </w:tc>
        <w:tc>
          <w:tcPr>
            <w:tcW w:w="975" w:type="dxa"/>
            <w:hideMark/>
          </w:tcPr>
          <w:p w14:paraId="5BC930E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w:t>
            </w:r>
          </w:p>
        </w:tc>
        <w:tc>
          <w:tcPr>
            <w:tcW w:w="959" w:type="dxa"/>
            <w:hideMark/>
          </w:tcPr>
          <w:p w14:paraId="50665C3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1EBC62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D1E884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75F2D7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961048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9F6988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445B6A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11A7C51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0EC6D8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(carribean States) / Protected marine areas in Costa Rica and the Sargasses sea</w:t>
            </w:r>
          </w:p>
        </w:tc>
        <w:tc>
          <w:tcPr>
            <w:tcW w:w="975" w:type="dxa"/>
            <w:hideMark/>
          </w:tcPr>
          <w:p w14:paraId="6933257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2,997.00</w:t>
            </w:r>
          </w:p>
        </w:tc>
        <w:tc>
          <w:tcPr>
            <w:tcW w:w="959" w:type="dxa"/>
            <w:hideMark/>
          </w:tcPr>
          <w:p w14:paraId="6A313A5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D9916D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50D34A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6A8E32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81E05F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2D879B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25C1AA1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FFEM</w:t>
            </w:r>
          </w:p>
        </w:tc>
      </w:tr>
      <w:tr w:rsidR="001808DF" w:rsidRPr="005B54EE" w14:paraId="2553071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C410A2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Renewable energy</w:t>
            </w:r>
          </w:p>
        </w:tc>
        <w:tc>
          <w:tcPr>
            <w:tcW w:w="975" w:type="dxa"/>
            <w:hideMark/>
          </w:tcPr>
          <w:p w14:paraId="162F4B3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25,098.27</w:t>
            </w:r>
          </w:p>
        </w:tc>
        <w:tc>
          <w:tcPr>
            <w:tcW w:w="959" w:type="dxa"/>
            <w:hideMark/>
          </w:tcPr>
          <w:p w14:paraId="2F6651A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35856F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F0D9BB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781AE49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(Guarantees)</w:t>
            </w:r>
          </w:p>
        </w:tc>
        <w:tc>
          <w:tcPr>
            <w:tcW w:w="1060" w:type="dxa"/>
            <w:hideMark/>
          </w:tcPr>
          <w:p w14:paraId="3ABF4D8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80E904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1C107B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7C1861A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D4331D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Renewable energy</w:t>
            </w:r>
          </w:p>
        </w:tc>
        <w:tc>
          <w:tcPr>
            <w:tcW w:w="975" w:type="dxa"/>
            <w:hideMark/>
          </w:tcPr>
          <w:p w14:paraId="15DB684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1,100.00</w:t>
            </w:r>
          </w:p>
        </w:tc>
        <w:tc>
          <w:tcPr>
            <w:tcW w:w="959" w:type="dxa"/>
            <w:hideMark/>
          </w:tcPr>
          <w:p w14:paraId="1D3B888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FF0EFF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931CF0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76E067F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(Guarantees)</w:t>
            </w:r>
          </w:p>
        </w:tc>
        <w:tc>
          <w:tcPr>
            <w:tcW w:w="1060" w:type="dxa"/>
            <w:hideMark/>
          </w:tcPr>
          <w:p w14:paraId="1A01EE9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72BBC3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3DFCF1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6C1E387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E67E5C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Renewable energy</w:t>
            </w:r>
          </w:p>
        </w:tc>
        <w:tc>
          <w:tcPr>
            <w:tcW w:w="975" w:type="dxa"/>
            <w:hideMark/>
          </w:tcPr>
          <w:p w14:paraId="02E75C3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16,500.00</w:t>
            </w:r>
          </w:p>
        </w:tc>
        <w:tc>
          <w:tcPr>
            <w:tcW w:w="959" w:type="dxa"/>
            <w:hideMark/>
          </w:tcPr>
          <w:p w14:paraId="00C957B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735CD2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60B8C2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340C961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60" w:type="dxa"/>
            <w:hideMark/>
          </w:tcPr>
          <w:p w14:paraId="61E7268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BBD128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1F7BD16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46AFE7A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E68D5F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Small-scale energy efficiency projects</w:t>
            </w:r>
          </w:p>
        </w:tc>
        <w:tc>
          <w:tcPr>
            <w:tcW w:w="975" w:type="dxa"/>
            <w:hideMark/>
          </w:tcPr>
          <w:p w14:paraId="76E643E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10,890.28</w:t>
            </w:r>
          </w:p>
        </w:tc>
        <w:tc>
          <w:tcPr>
            <w:tcW w:w="959" w:type="dxa"/>
            <w:hideMark/>
          </w:tcPr>
          <w:p w14:paraId="7AC8759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7553A4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BAA07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64EF3CA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60" w:type="dxa"/>
            <w:hideMark/>
          </w:tcPr>
          <w:p w14:paraId="48F79E0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E75481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545B1E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67A75A1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556E91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Guarantees for low-carbon infrastructure</w:t>
            </w:r>
          </w:p>
        </w:tc>
        <w:tc>
          <w:tcPr>
            <w:tcW w:w="975" w:type="dxa"/>
            <w:hideMark/>
          </w:tcPr>
          <w:p w14:paraId="523978D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w:t>
            </w:r>
          </w:p>
        </w:tc>
        <w:tc>
          <w:tcPr>
            <w:tcW w:w="959" w:type="dxa"/>
            <w:hideMark/>
          </w:tcPr>
          <w:p w14:paraId="01DCB2C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AC2853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37E109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764F276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55A7213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7B2E90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75A21FB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828A01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A38F20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Public purchase guarantees for energy contracts</w:t>
            </w:r>
          </w:p>
        </w:tc>
        <w:tc>
          <w:tcPr>
            <w:tcW w:w="975" w:type="dxa"/>
            <w:hideMark/>
          </w:tcPr>
          <w:p w14:paraId="15A9310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w:t>
            </w:r>
          </w:p>
        </w:tc>
        <w:tc>
          <w:tcPr>
            <w:tcW w:w="959" w:type="dxa"/>
            <w:hideMark/>
          </w:tcPr>
          <w:p w14:paraId="16CA045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F15B6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F027E3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7DB172D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1B8FF1B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C39795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43F1A3E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F524C3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9936D4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Agricultural risk management</w:t>
            </w:r>
          </w:p>
        </w:tc>
        <w:tc>
          <w:tcPr>
            <w:tcW w:w="975" w:type="dxa"/>
            <w:hideMark/>
          </w:tcPr>
          <w:p w14:paraId="67D3F01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760.00</w:t>
            </w:r>
          </w:p>
        </w:tc>
        <w:tc>
          <w:tcPr>
            <w:tcW w:w="959" w:type="dxa"/>
            <w:hideMark/>
          </w:tcPr>
          <w:p w14:paraId="48AF98F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38D504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F4D348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FE58B4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41D8B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C6D0EA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ED8D4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08877B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343056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Rural land management</w:t>
            </w:r>
          </w:p>
        </w:tc>
        <w:tc>
          <w:tcPr>
            <w:tcW w:w="975" w:type="dxa"/>
            <w:hideMark/>
          </w:tcPr>
          <w:p w14:paraId="4D33A42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w:t>
            </w:r>
          </w:p>
        </w:tc>
        <w:tc>
          <w:tcPr>
            <w:tcW w:w="959" w:type="dxa"/>
            <w:hideMark/>
          </w:tcPr>
          <w:p w14:paraId="512C39B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8ADFB8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596C3F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3E9438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6D09FF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C95550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27EC551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9C0E26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E65A20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Nature-based accounting for ecosystem services</w:t>
            </w:r>
          </w:p>
        </w:tc>
        <w:tc>
          <w:tcPr>
            <w:tcW w:w="975" w:type="dxa"/>
            <w:hideMark/>
          </w:tcPr>
          <w:p w14:paraId="1C071FF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w:t>
            </w:r>
          </w:p>
        </w:tc>
        <w:tc>
          <w:tcPr>
            <w:tcW w:w="959" w:type="dxa"/>
            <w:hideMark/>
          </w:tcPr>
          <w:p w14:paraId="5861628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B0E9AA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A50EEC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DE56C3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576241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054896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06294EC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3605EB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7BA00F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Strenghtening the resilience of coastal ecosystems</w:t>
            </w:r>
          </w:p>
        </w:tc>
        <w:tc>
          <w:tcPr>
            <w:tcW w:w="975" w:type="dxa"/>
            <w:hideMark/>
          </w:tcPr>
          <w:p w14:paraId="35C3566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8,500.00</w:t>
            </w:r>
          </w:p>
        </w:tc>
        <w:tc>
          <w:tcPr>
            <w:tcW w:w="959" w:type="dxa"/>
            <w:hideMark/>
          </w:tcPr>
          <w:p w14:paraId="21D6651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8F0FB9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FF1DB8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C80936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BA4A9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70077C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67FF976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461AF7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31DE4C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Strengthening the agro-pastoral value chain</w:t>
            </w:r>
          </w:p>
        </w:tc>
        <w:tc>
          <w:tcPr>
            <w:tcW w:w="975" w:type="dxa"/>
            <w:hideMark/>
          </w:tcPr>
          <w:p w14:paraId="1CDE616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w:t>
            </w:r>
          </w:p>
        </w:tc>
        <w:tc>
          <w:tcPr>
            <w:tcW w:w="959" w:type="dxa"/>
            <w:hideMark/>
          </w:tcPr>
          <w:p w14:paraId="1A4BDF0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BB8AA6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66DD92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5F2FAB5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2CC249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CA4400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438DC2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59EFC1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294202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Strengthening the agro-pastoral value chain</w:t>
            </w:r>
          </w:p>
        </w:tc>
        <w:tc>
          <w:tcPr>
            <w:tcW w:w="975" w:type="dxa"/>
            <w:hideMark/>
          </w:tcPr>
          <w:p w14:paraId="77A3129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w:t>
            </w:r>
          </w:p>
        </w:tc>
        <w:tc>
          <w:tcPr>
            <w:tcW w:w="959" w:type="dxa"/>
            <w:hideMark/>
          </w:tcPr>
          <w:p w14:paraId="460C5C0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333757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82D8EC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6CA2A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4D3066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EA9B76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FED81F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921460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F3A4D7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Strengthening the agro-pastoral value chain</w:t>
            </w:r>
          </w:p>
        </w:tc>
        <w:tc>
          <w:tcPr>
            <w:tcW w:w="975" w:type="dxa"/>
            <w:hideMark/>
          </w:tcPr>
          <w:p w14:paraId="2ABA5D7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w:t>
            </w:r>
          </w:p>
        </w:tc>
        <w:tc>
          <w:tcPr>
            <w:tcW w:w="959" w:type="dxa"/>
            <w:hideMark/>
          </w:tcPr>
          <w:p w14:paraId="4A9F8D1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5F4B1C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754F3E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11D281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6974E3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5A0BB1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2357DA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9A9734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C8871C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Strengthening the agro-pastoral value chain</w:t>
            </w:r>
          </w:p>
        </w:tc>
        <w:tc>
          <w:tcPr>
            <w:tcW w:w="975" w:type="dxa"/>
            <w:hideMark/>
          </w:tcPr>
          <w:p w14:paraId="5980D29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3,200.00</w:t>
            </w:r>
          </w:p>
        </w:tc>
        <w:tc>
          <w:tcPr>
            <w:tcW w:w="959" w:type="dxa"/>
            <w:hideMark/>
          </w:tcPr>
          <w:p w14:paraId="3E1B4CF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864410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91E695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EBC7F0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063228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62FE10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65D93A9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26C18C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4B8E62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Strengthening the agro-pastoral value chain</w:t>
            </w:r>
          </w:p>
        </w:tc>
        <w:tc>
          <w:tcPr>
            <w:tcW w:w="975" w:type="dxa"/>
            <w:hideMark/>
          </w:tcPr>
          <w:p w14:paraId="546335B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15,280.00</w:t>
            </w:r>
          </w:p>
        </w:tc>
        <w:tc>
          <w:tcPr>
            <w:tcW w:w="959" w:type="dxa"/>
            <w:hideMark/>
          </w:tcPr>
          <w:p w14:paraId="7D0FD65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39E97E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637548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3B1F14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C81A9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54022E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887F26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92DCE8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7FED08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Strengthening the agro-pastoral value chain</w:t>
            </w:r>
          </w:p>
        </w:tc>
        <w:tc>
          <w:tcPr>
            <w:tcW w:w="975" w:type="dxa"/>
            <w:hideMark/>
          </w:tcPr>
          <w:p w14:paraId="45927CD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720.00</w:t>
            </w:r>
          </w:p>
        </w:tc>
        <w:tc>
          <w:tcPr>
            <w:tcW w:w="959" w:type="dxa"/>
            <w:hideMark/>
          </w:tcPr>
          <w:p w14:paraId="1FCD48D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16FFAB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FF1B7B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7229A2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581023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13DEFD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6026BD0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7D29EE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D58812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Civil society support for agroecology</w:t>
            </w:r>
          </w:p>
        </w:tc>
        <w:tc>
          <w:tcPr>
            <w:tcW w:w="975" w:type="dxa"/>
            <w:hideMark/>
          </w:tcPr>
          <w:p w14:paraId="475FC84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1,050.00</w:t>
            </w:r>
          </w:p>
        </w:tc>
        <w:tc>
          <w:tcPr>
            <w:tcW w:w="959" w:type="dxa"/>
            <w:hideMark/>
          </w:tcPr>
          <w:p w14:paraId="40922EA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31533C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F705B7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470EB7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B0555B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6B7585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02C5582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D5D04B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6264D7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Development smart initiative for research in agriculture</w:t>
            </w:r>
          </w:p>
        </w:tc>
        <w:tc>
          <w:tcPr>
            <w:tcW w:w="975" w:type="dxa"/>
            <w:hideMark/>
          </w:tcPr>
          <w:p w14:paraId="5675FD3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0780B31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F62B64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8F845A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794A21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C1AE2F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E82B1D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6ED6C3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F98B86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489F99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Development smart initiative for research in agriculture</w:t>
            </w:r>
          </w:p>
        </w:tc>
        <w:tc>
          <w:tcPr>
            <w:tcW w:w="975" w:type="dxa"/>
            <w:hideMark/>
          </w:tcPr>
          <w:p w14:paraId="7C397A1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440D827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55325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1DC807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338E17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82D9D4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8F7252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3C590EC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93AD1C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0E6B4D6"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Mobilise your city</w:t>
            </w:r>
          </w:p>
        </w:tc>
        <w:tc>
          <w:tcPr>
            <w:tcW w:w="975" w:type="dxa"/>
            <w:hideMark/>
          </w:tcPr>
          <w:p w14:paraId="0DB44DC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4,600.00</w:t>
            </w:r>
          </w:p>
        </w:tc>
        <w:tc>
          <w:tcPr>
            <w:tcW w:w="959" w:type="dxa"/>
            <w:hideMark/>
          </w:tcPr>
          <w:p w14:paraId="5918DBE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9B91C7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D86ACA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29A097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A6AC83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0D8EDA3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3C57393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F65E59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08E1D6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Mobilise your city</w:t>
            </w:r>
          </w:p>
        </w:tc>
        <w:tc>
          <w:tcPr>
            <w:tcW w:w="975" w:type="dxa"/>
            <w:hideMark/>
          </w:tcPr>
          <w:p w14:paraId="470BB48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w:t>
            </w:r>
          </w:p>
        </w:tc>
        <w:tc>
          <w:tcPr>
            <w:tcW w:w="959" w:type="dxa"/>
            <w:hideMark/>
          </w:tcPr>
          <w:p w14:paraId="2719F91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A758A8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A4F0B3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56F32F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6025D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3CEE30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22E8287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341B68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325320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Fair trade and sustainable value chains in West Africa</w:t>
            </w:r>
          </w:p>
        </w:tc>
        <w:tc>
          <w:tcPr>
            <w:tcW w:w="975" w:type="dxa"/>
            <w:hideMark/>
          </w:tcPr>
          <w:p w14:paraId="04FC6F5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w:t>
            </w:r>
          </w:p>
        </w:tc>
        <w:tc>
          <w:tcPr>
            <w:tcW w:w="959" w:type="dxa"/>
            <w:hideMark/>
          </w:tcPr>
          <w:p w14:paraId="6349073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3A5DCC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D13D9C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D9630B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5D871C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B9235E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232A27B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C1AD72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B040AD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Fair trade and sustainable value chains in West Africa</w:t>
            </w:r>
          </w:p>
        </w:tc>
        <w:tc>
          <w:tcPr>
            <w:tcW w:w="975" w:type="dxa"/>
            <w:hideMark/>
          </w:tcPr>
          <w:p w14:paraId="5521DED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720.00</w:t>
            </w:r>
          </w:p>
        </w:tc>
        <w:tc>
          <w:tcPr>
            <w:tcW w:w="959" w:type="dxa"/>
            <w:hideMark/>
          </w:tcPr>
          <w:p w14:paraId="0F6E78B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C197DB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8F9882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7E9783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2B4CDD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D49630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43681C8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7C7F3D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CBD064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Spatial hydrology in the Congo basin</w:t>
            </w:r>
          </w:p>
        </w:tc>
        <w:tc>
          <w:tcPr>
            <w:tcW w:w="975" w:type="dxa"/>
            <w:hideMark/>
          </w:tcPr>
          <w:p w14:paraId="7AA5B49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w:t>
            </w:r>
          </w:p>
        </w:tc>
        <w:tc>
          <w:tcPr>
            <w:tcW w:w="959" w:type="dxa"/>
            <w:hideMark/>
          </w:tcPr>
          <w:p w14:paraId="420E021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E71E75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2C5ECE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E1DEEA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D5A226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5E60B0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2540F37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143EA8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CE35FD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Research to fight against invasive species</w:t>
            </w:r>
          </w:p>
        </w:tc>
        <w:tc>
          <w:tcPr>
            <w:tcW w:w="975" w:type="dxa"/>
            <w:hideMark/>
          </w:tcPr>
          <w:p w14:paraId="19E1A7C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00EE7F3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8935FD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8D05C1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C69273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912021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2E6B3B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788AC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2B2EFF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5887B5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Climate facility IDFC</w:t>
            </w:r>
          </w:p>
        </w:tc>
        <w:tc>
          <w:tcPr>
            <w:tcW w:w="975" w:type="dxa"/>
            <w:hideMark/>
          </w:tcPr>
          <w:p w14:paraId="4FF03A4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4,697.45</w:t>
            </w:r>
          </w:p>
        </w:tc>
        <w:tc>
          <w:tcPr>
            <w:tcW w:w="959" w:type="dxa"/>
            <w:hideMark/>
          </w:tcPr>
          <w:p w14:paraId="4DF7A94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126D91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A62692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C698A7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7F1A3A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C207F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05CE342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96C5C5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5ACBAF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Climate facility IDFC</w:t>
            </w:r>
          </w:p>
        </w:tc>
        <w:tc>
          <w:tcPr>
            <w:tcW w:w="975" w:type="dxa"/>
            <w:hideMark/>
          </w:tcPr>
          <w:p w14:paraId="3E8E30B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w:t>
            </w:r>
          </w:p>
        </w:tc>
        <w:tc>
          <w:tcPr>
            <w:tcW w:w="959" w:type="dxa"/>
            <w:hideMark/>
          </w:tcPr>
          <w:p w14:paraId="6FF0784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7444A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1F0244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4ABD81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F8E85B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9AD55C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39C0EDB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F3B513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D1EA3A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Climate facility IDFC (GL event)</w:t>
            </w:r>
          </w:p>
        </w:tc>
        <w:tc>
          <w:tcPr>
            <w:tcW w:w="975" w:type="dxa"/>
            <w:hideMark/>
          </w:tcPr>
          <w:p w14:paraId="6B7862A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102.55</w:t>
            </w:r>
          </w:p>
        </w:tc>
        <w:tc>
          <w:tcPr>
            <w:tcW w:w="959" w:type="dxa"/>
            <w:hideMark/>
          </w:tcPr>
          <w:p w14:paraId="046CA01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64677E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871F7A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736F11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1CB483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E9DFF1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4E4F9CB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9D468D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1A7DB8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Biodiversity facility</w:t>
            </w:r>
          </w:p>
        </w:tc>
        <w:tc>
          <w:tcPr>
            <w:tcW w:w="975" w:type="dxa"/>
            <w:hideMark/>
          </w:tcPr>
          <w:p w14:paraId="1F9D085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2,035.51</w:t>
            </w:r>
          </w:p>
        </w:tc>
        <w:tc>
          <w:tcPr>
            <w:tcW w:w="959" w:type="dxa"/>
            <w:hideMark/>
          </w:tcPr>
          <w:p w14:paraId="6655734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73369C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A6ED64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91E74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0615F8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29AB3E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73F49A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3EE6F3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4C5D61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Research related to sea management</w:t>
            </w:r>
          </w:p>
        </w:tc>
        <w:tc>
          <w:tcPr>
            <w:tcW w:w="975" w:type="dxa"/>
            <w:hideMark/>
          </w:tcPr>
          <w:p w14:paraId="24B32B1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7,964.49</w:t>
            </w:r>
          </w:p>
        </w:tc>
        <w:tc>
          <w:tcPr>
            <w:tcW w:w="959" w:type="dxa"/>
            <w:hideMark/>
          </w:tcPr>
          <w:p w14:paraId="0888D91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4FC0E2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4B7079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CAB128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9F1D9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E272AE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6FA6FAB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4449CA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D2C83B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Agroecology and sustainable food systems</w:t>
            </w:r>
          </w:p>
        </w:tc>
        <w:tc>
          <w:tcPr>
            <w:tcW w:w="975" w:type="dxa"/>
            <w:hideMark/>
          </w:tcPr>
          <w:p w14:paraId="4FC6DAE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1AC7AED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98A9A4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54CCC5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E48E5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D927D5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7DE501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6B336A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D9114C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7399EF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Protected marine areas in the Mediterranean Sea</w:t>
            </w:r>
          </w:p>
        </w:tc>
        <w:tc>
          <w:tcPr>
            <w:tcW w:w="975" w:type="dxa"/>
            <w:hideMark/>
          </w:tcPr>
          <w:p w14:paraId="289502D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w:t>
            </w:r>
          </w:p>
        </w:tc>
        <w:tc>
          <w:tcPr>
            <w:tcW w:w="959" w:type="dxa"/>
            <w:hideMark/>
          </w:tcPr>
          <w:p w14:paraId="779B9F8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844675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33E734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DD8C3A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FD7CB1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4972C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368BD5A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A8D40F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1D7FD3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4619699D"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107.33</w:t>
            </w:r>
          </w:p>
        </w:tc>
        <w:tc>
          <w:tcPr>
            <w:tcW w:w="959" w:type="dxa"/>
            <w:hideMark/>
          </w:tcPr>
          <w:p w14:paraId="57F58EF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279846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AD9168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541C18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6A99D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401215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2A69090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DC0FE1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803211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6B1A7BB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19.42</w:t>
            </w:r>
          </w:p>
        </w:tc>
        <w:tc>
          <w:tcPr>
            <w:tcW w:w="959" w:type="dxa"/>
            <w:hideMark/>
          </w:tcPr>
          <w:p w14:paraId="720963C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D451DE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F99470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6472AE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3463C8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88C177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616D6B7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D056E6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FE078D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5189C58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26.00</w:t>
            </w:r>
          </w:p>
        </w:tc>
        <w:tc>
          <w:tcPr>
            <w:tcW w:w="959" w:type="dxa"/>
            <w:hideMark/>
          </w:tcPr>
          <w:p w14:paraId="2D6C711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43B420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0616CC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497AEE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A1E3AE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4C7498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C5B7E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8CB6A0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469334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02E0AD5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9.17</w:t>
            </w:r>
          </w:p>
        </w:tc>
        <w:tc>
          <w:tcPr>
            <w:tcW w:w="959" w:type="dxa"/>
            <w:hideMark/>
          </w:tcPr>
          <w:p w14:paraId="0066C35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160A73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3FAD1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83D0E2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955370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52DC6D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830F24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80AB27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EAF7F6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6DB6C19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10.33</w:t>
            </w:r>
          </w:p>
        </w:tc>
        <w:tc>
          <w:tcPr>
            <w:tcW w:w="959" w:type="dxa"/>
            <w:hideMark/>
          </w:tcPr>
          <w:p w14:paraId="172CD84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E7103C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0AA3AF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DA5CC0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C90493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6565AD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9E7ADF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2825D0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D6DDDE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1AE753E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19.50</w:t>
            </w:r>
          </w:p>
        </w:tc>
        <w:tc>
          <w:tcPr>
            <w:tcW w:w="959" w:type="dxa"/>
            <w:hideMark/>
          </w:tcPr>
          <w:p w14:paraId="378B262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043807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8A3DD9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17A03C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0F02CD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8F5AAB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13A2401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C57C34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E37636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5DED576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3.25</w:t>
            </w:r>
          </w:p>
        </w:tc>
        <w:tc>
          <w:tcPr>
            <w:tcW w:w="959" w:type="dxa"/>
            <w:hideMark/>
          </w:tcPr>
          <w:p w14:paraId="753F2DA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3C88AE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F85DBB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D4A075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C087FF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D227ED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1F6838C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079173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DEB341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533B14B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0.00</w:t>
            </w:r>
          </w:p>
        </w:tc>
        <w:tc>
          <w:tcPr>
            <w:tcW w:w="959" w:type="dxa"/>
            <w:hideMark/>
          </w:tcPr>
          <w:p w14:paraId="1C96F56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650E4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860C70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3BFB0F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BF46BF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ADDB4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0657C6F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B31AD2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07DAF1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Knowledge transfer in Sahel region</w:t>
            </w:r>
          </w:p>
        </w:tc>
        <w:tc>
          <w:tcPr>
            <w:tcW w:w="975" w:type="dxa"/>
            <w:hideMark/>
          </w:tcPr>
          <w:p w14:paraId="20B2F21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0.00</w:t>
            </w:r>
          </w:p>
        </w:tc>
        <w:tc>
          <w:tcPr>
            <w:tcW w:w="959" w:type="dxa"/>
            <w:hideMark/>
          </w:tcPr>
          <w:p w14:paraId="0BFDB25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EAED17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3A6049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309F5B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024021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7070DDF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4FFFA4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59D9DF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BCC2A2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Climate finance strategy</w:t>
            </w:r>
          </w:p>
        </w:tc>
        <w:tc>
          <w:tcPr>
            <w:tcW w:w="975" w:type="dxa"/>
            <w:hideMark/>
          </w:tcPr>
          <w:p w14:paraId="0278E49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w:t>
            </w:r>
          </w:p>
        </w:tc>
        <w:tc>
          <w:tcPr>
            <w:tcW w:w="959" w:type="dxa"/>
            <w:hideMark/>
          </w:tcPr>
          <w:p w14:paraId="72E756D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FFA6C7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51FE8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41CA82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7A6AB02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9F4FB3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76577E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EFC867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AC1EB1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Mobilise your city</w:t>
            </w:r>
          </w:p>
        </w:tc>
        <w:tc>
          <w:tcPr>
            <w:tcW w:w="975" w:type="dxa"/>
            <w:hideMark/>
          </w:tcPr>
          <w:p w14:paraId="5C63B8F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w:t>
            </w:r>
          </w:p>
        </w:tc>
        <w:tc>
          <w:tcPr>
            <w:tcW w:w="959" w:type="dxa"/>
            <w:hideMark/>
          </w:tcPr>
          <w:p w14:paraId="78BB30F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05198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558C40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965508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ED035C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4ABACC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290FD21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7F6356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8C04F1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Mobilise your city</w:t>
            </w:r>
          </w:p>
        </w:tc>
        <w:tc>
          <w:tcPr>
            <w:tcW w:w="975" w:type="dxa"/>
            <w:hideMark/>
          </w:tcPr>
          <w:p w14:paraId="24A6EB7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32A4F4D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D520BE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F9EE24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D5A828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44F11C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869956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(transport And Storage)</w:t>
            </w:r>
          </w:p>
        </w:tc>
        <w:tc>
          <w:tcPr>
            <w:tcW w:w="2601" w:type="dxa"/>
            <w:hideMark/>
          </w:tcPr>
          <w:p w14:paraId="659533E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7D0B51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B6BD1F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Professional training for sustainable forest management</w:t>
            </w:r>
          </w:p>
        </w:tc>
        <w:tc>
          <w:tcPr>
            <w:tcW w:w="975" w:type="dxa"/>
            <w:hideMark/>
          </w:tcPr>
          <w:p w14:paraId="6262BBE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w:t>
            </w:r>
          </w:p>
        </w:tc>
        <w:tc>
          <w:tcPr>
            <w:tcW w:w="959" w:type="dxa"/>
            <w:hideMark/>
          </w:tcPr>
          <w:p w14:paraId="00CEAE1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3F850F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845D8B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A9795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43EB8B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054040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0CF2C08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D9163D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CC0EA9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Professional training for teachers, including on climate change and environnmental issues</w:t>
            </w:r>
          </w:p>
        </w:tc>
        <w:tc>
          <w:tcPr>
            <w:tcW w:w="975" w:type="dxa"/>
            <w:hideMark/>
          </w:tcPr>
          <w:p w14:paraId="0FF52AA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2,250.00</w:t>
            </w:r>
          </w:p>
        </w:tc>
        <w:tc>
          <w:tcPr>
            <w:tcW w:w="959" w:type="dxa"/>
            <w:hideMark/>
          </w:tcPr>
          <w:p w14:paraId="4B731E1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5734A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E8A9BC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687810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76DD1E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B1AFF3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45BC8D9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2DB8C7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DB0754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Professional training in the health sector, including sustainable development issues</w:t>
            </w:r>
          </w:p>
        </w:tc>
        <w:tc>
          <w:tcPr>
            <w:tcW w:w="975" w:type="dxa"/>
            <w:hideMark/>
          </w:tcPr>
          <w:p w14:paraId="759082A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219.00</w:t>
            </w:r>
          </w:p>
        </w:tc>
        <w:tc>
          <w:tcPr>
            <w:tcW w:w="959" w:type="dxa"/>
            <w:hideMark/>
          </w:tcPr>
          <w:p w14:paraId="43F13AB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866C75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9FB13C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03371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08B51B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BCA30A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16B9040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D11A4E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BA916A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Professional training for agriculture</w:t>
            </w:r>
          </w:p>
        </w:tc>
        <w:tc>
          <w:tcPr>
            <w:tcW w:w="975" w:type="dxa"/>
            <w:hideMark/>
          </w:tcPr>
          <w:p w14:paraId="30D7324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2,900.00</w:t>
            </w:r>
          </w:p>
        </w:tc>
        <w:tc>
          <w:tcPr>
            <w:tcW w:w="959" w:type="dxa"/>
            <w:hideMark/>
          </w:tcPr>
          <w:p w14:paraId="4AB0A25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54FACB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CA166D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6F2D3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CA95C7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84E636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2485C8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B28695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8EFAB7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Blue Action Fund: Safeguarding marine biodiversity</w:t>
            </w:r>
          </w:p>
        </w:tc>
        <w:tc>
          <w:tcPr>
            <w:tcW w:w="975" w:type="dxa"/>
            <w:hideMark/>
          </w:tcPr>
          <w:p w14:paraId="0D92297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3B4E3C6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37145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B88895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009279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A3FCD9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CBF646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057B02D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4165DE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85DFEC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Monitoring of water and sanitation objectives in the context of Sahel Alliance</w:t>
            </w:r>
          </w:p>
        </w:tc>
        <w:tc>
          <w:tcPr>
            <w:tcW w:w="975" w:type="dxa"/>
            <w:hideMark/>
          </w:tcPr>
          <w:p w14:paraId="0903FFC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w:t>
            </w:r>
          </w:p>
        </w:tc>
        <w:tc>
          <w:tcPr>
            <w:tcW w:w="959" w:type="dxa"/>
            <w:hideMark/>
          </w:tcPr>
          <w:p w14:paraId="7977FC7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B1E0BA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AB28B3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E94A77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7EA11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9A839E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35C14F9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B01E0D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91DDDF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Sustainable agriculture</w:t>
            </w:r>
          </w:p>
        </w:tc>
        <w:tc>
          <w:tcPr>
            <w:tcW w:w="975" w:type="dxa"/>
            <w:hideMark/>
          </w:tcPr>
          <w:p w14:paraId="09D8D4D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911.40</w:t>
            </w:r>
          </w:p>
        </w:tc>
        <w:tc>
          <w:tcPr>
            <w:tcW w:w="959" w:type="dxa"/>
            <w:hideMark/>
          </w:tcPr>
          <w:p w14:paraId="5E696DC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DA658C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1A93F3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4EBB2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124BF3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9C983F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2D9724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26396EB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21A6F4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Supporting the scaling-up of climate finance</w:t>
            </w:r>
          </w:p>
        </w:tc>
        <w:tc>
          <w:tcPr>
            <w:tcW w:w="975" w:type="dxa"/>
            <w:hideMark/>
          </w:tcPr>
          <w:p w14:paraId="3B2C610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107,855.47</w:t>
            </w:r>
          </w:p>
        </w:tc>
        <w:tc>
          <w:tcPr>
            <w:tcW w:w="959" w:type="dxa"/>
            <w:hideMark/>
          </w:tcPr>
          <w:p w14:paraId="3092CF5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B28096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9FC957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09FFF90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3C00B3B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01FA71B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7FE8EF8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52CCC6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459A2F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Professional training related to water</w:t>
            </w:r>
          </w:p>
        </w:tc>
        <w:tc>
          <w:tcPr>
            <w:tcW w:w="975" w:type="dxa"/>
            <w:hideMark/>
          </w:tcPr>
          <w:p w14:paraId="7DCDF64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375.00</w:t>
            </w:r>
          </w:p>
        </w:tc>
        <w:tc>
          <w:tcPr>
            <w:tcW w:w="959" w:type="dxa"/>
            <w:hideMark/>
          </w:tcPr>
          <w:p w14:paraId="616E217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906AF1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076FB0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F897CA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87F302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2668E0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601" w:type="dxa"/>
            <w:hideMark/>
          </w:tcPr>
          <w:p w14:paraId="736357D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3B1CFE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2A9B55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Wildlige management in the conservation area of Kavango-Zambèze</w:t>
            </w:r>
          </w:p>
        </w:tc>
        <w:tc>
          <w:tcPr>
            <w:tcW w:w="975" w:type="dxa"/>
            <w:hideMark/>
          </w:tcPr>
          <w:p w14:paraId="239E164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2,310.00</w:t>
            </w:r>
          </w:p>
        </w:tc>
        <w:tc>
          <w:tcPr>
            <w:tcW w:w="959" w:type="dxa"/>
            <w:hideMark/>
          </w:tcPr>
          <w:p w14:paraId="02CA906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01329C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A3731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26699C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526995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04D4CED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730EA3E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B56EA9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7825AD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Initiative for Biodiversity, Climate and Resilience in the Pacific Ocean</w:t>
            </w:r>
          </w:p>
        </w:tc>
        <w:tc>
          <w:tcPr>
            <w:tcW w:w="975" w:type="dxa"/>
            <w:hideMark/>
          </w:tcPr>
          <w:p w14:paraId="4EE3B63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12,804.00</w:t>
            </w:r>
          </w:p>
        </w:tc>
        <w:tc>
          <w:tcPr>
            <w:tcW w:w="959" w:type="dxa"/>
            <w:hideMark/>
          </w:tcPr>
          <w:p w14:paraId="10D2E44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58B5DE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E9DCA3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663B0B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980402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82A6E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2EE251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438AD79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07386D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Social services</w:t>
            </w:r>
          </w:p>
        </w:tc>
        <w:tc>
          <w:tcPr>
            <w:tcW w:w="975" w:type="dxa"/>
            <w:hideMark/>
          </w:tcPr>
          <w:p w14:paraId="3B08BEF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w:t>
            </w:r>
          </w:p>
        </w:tc>
        <w:tc>
          <w:tcPr>
            <w:tcW w:w="959" w:type="dxa"/>
            <w:hideMark/>
          </w:tcPr>
          <w:p w14:paraId="59931A4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B638B4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4E3F8B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8C8718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CB8DA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A950EC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5364227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246323B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07E9E9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 xml:space="preserve">Other (multi-countries) / Mobilisation for nature protection </w:t>
            </w:r>
          </w:p>
        </w:tc>
        <w:tc>
          <w:tcPr>
            <w:tcW w:w="975" w:type="dxa"/>
            <w:hideMark/>
          </w:tcPr>
          <w:p w14:paraId="5495F62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w:t>
            </w:r>
          </w:p>
        </w:tc>
        <w:tc>
          <w:tcPr>
            <w:tcW w:w="959" w:type="dxa"/>
            <w:hideMark/>
          </w:tcPr>
          <w:p w14:paraId="1811B32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A11B4D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454146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8A0253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2C0686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1A710A1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7D9DA8D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53297BB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A5CD9DA"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Agroecology</w:t>
            </w:r>
          </w:p>
        </w:tc>
        <w:tc>
          <w:tcPr>
            <w:tcW w:w="975" w:type="dxa"/>
            <w:hideMark/>
          </w:tcPr>
          <w:p w14:paraId="271E3B8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w:t>
            </w:r>
          </w:p>
        </w:tc>
        <w:tc>
          <w:tcPr>
            <w:tcW w:w="959" w:type="dxa"/>
            <w:hideMark/>
          </w:tcPr>
          <w:p w14:paraId="4DDEF19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CE6897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333834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A3F07F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F206C4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9E70E2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016BBA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64C2C53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97CD07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Support to the BOAD</w:t>
            </w:r>
          </w:p>
        </w:tc>
        <w:tc>
          <w:tcPr>
            <w:tcW w:w="975" w:type="dxa"/>
            <w:hideMark/>
          </w:tcPr>
          <w:p w14:paraId="4457022F"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w:t>
            </w:r>
          </w:p>
        </w:tc>
        <w:tc>
          <w:tcPr>
            <w:tcW w:w="959" w:type="dxa"/>
            <w:hideMark/>
          </w:tcPr>
          <w:p w14:paraId="58FB968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6CA572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B7EC0D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8B90F7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5E92F86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750A61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C019BC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2CE038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F149C3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Financial intermediation for climate &amp; gender equality</w:t>
            </w:r>
          </w:p>
        </w:tc>
        <w:tc>
          <w:tcPr>
            <w:tcW w:w="975" w:type="dxa"/>
            <w:hideMark/>
          </w:tcPr>
          <w:p w14:paraId="74BA67A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135,000.00</w:t>
            </w:r>
          </w:p>
        </w:tc>
        <w:tc>
          <w:tcPr>
            <w:tcW w:w="959" w:type="dxa"/>
            <w:hideMark/>
          </w:tcPr>
          <w:p w14:paraId="2E28A620"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879F5B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9D42A0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B5CF90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48CA5B0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61230E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52EB955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E65D48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46922DD"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Critical Ecosystem Partnership Fund</w:t>
            </w:r>
          </w:p>
        </w:tc>
        <w:tc>
          <w:tcPr>
            <w:tcW w:w="975" w:type="dxa"/>
            <w:hideMark/>
          </w:tcPr>
          <w:p w14:paraId="706B383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5,600.00</w:t>
            </w:r>
          </w:p>
        </w:tc>
        <w:tc>
          <w:tcPr>
            <w:tcW w:w="959" w:type="dxa"/>
            <w:hideMark/>
          </w:tcPr>
          <w:p w14:paraId="5C57D40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06E89D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BAA701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49A252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8900F0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99C57E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6DE612A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650DE7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39611E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Air quality</w:t>
            </w:r>
          </w:p>
        </w:tc>
        <w:tc>
          <w:tcPr>
            <w:tcW w:w="975" w:type="dxa"/>
            <w:hideMark/>
          </w:tcPr>
          <w:p w14:paraId="7F38EDB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w:t>
            </w:r>
          </w:p>
        </w:tc>
        <w:tc>
          <w:tcPr>
            <w:tcW w:w="959" w:type="dxa"/>
            <w:hideMark/>
          </w:tcPr>
          <w:p w14:paraId="4604141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583A06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45AC83E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64D06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3FFC86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16B6DD3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00519F1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15B047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77456E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Air quality</w:t>
            </w:r>
          </w:p>
        </w:tc>
        <w:tc>
          <w:tcPr>
            <w:tcW w:w="975" w:type="dxa"/>
            <w:hideMark/>
          </w:tcPr>
          <w:p w14:paraId="4536969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w:t>
            </w:r>
          </w:p>
        </w:tc>
        <w:tc>
          <w:tcPr>
            <w:tcW w:w="959" w:type="dxa"/>
            <w:hideMark/>
          </w:tcPr>
          <w:p w14:paraId="5A3BDB0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54E498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7686DE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C4E16C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ACCCFE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E506AD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5E1FB47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72DCA9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BC6E46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Air quality</w:t>
            </w:r>
          </w:p>
        </w:tc>
        <w:tc>
          <w:tcPr>
            <w:tcW w:w="975" w:type="dxa"/>
            <w:hideMark/>
          </w:tcPr>
          <w:p w14:paraId="3836275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w:t>
            </w:r>
          </w:p>
        </w:tc>
        <w:tc>
          <w:tcPr>
            <w:tcW w:w="959" w:type="dxa"/>
            <w:hideMark/>
          </w:tcPr>
          <w:p w14:paraId="108F9EE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0D04D9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23ECC1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E27730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A74BEF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BCFF2E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33A5B56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F466DC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2C22BA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Media cooperation to favor social cohesion</w:t>
            </w:r>
          </w:p>
        </w:tc>
        <w:tc>
          <w:tcPr>
            <w:tcW w:w="975" w:type="dxa"/>
            <w:hideMark/>
          </w:tcPr>
          <w:p w14:paraId="5E12221A"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570.00</w:t>
            </w:r>
          </w:p>
        </w:tc>
        <w:tc>
          <w:tcPr>
            <w:tcW w:w="959" w:type="dxa"/>
            <w:hideMark/>
          </w:tcPr>
          <w:p w14:paraId="78B31742"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9903AB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D28213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78F2C6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AA8056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AE2FB0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30C6375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2D5DA5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BEE75B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Media cooperation to favor social cohesion</w:t>
            </w:r>
          </w:p>
        </w:tc>
        <w:tc>
          <w:tcPr>
            <w:tcW w:w="975" w:type="dxa"/>
            <w:hideMark/>
          </w:tcPr>
          <w:p w14:paraId="5625A73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1,330.00</w:t>
            </w:r>
          </w:p>
        </w:tc>
        <w:tc>
          <w:tcPr>
            <w:tcW w:w="959" w:type="dxa"/>
            <w:hideMark/>
          </w:tcPr>
          <w:p w14:paraId="7D8CF7B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40828A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80C949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5AC48D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D73CC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5E7F0D5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4B309BC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DD5453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12637C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Energy efficiency</w:t>
            </w:r>
          </w:p>
        </w:tc>
        <w:tc>
          <w:tcPr>
            <w:tcW w:w="975" w:type="dxa"/>
            <w:hideMark/>
          </w:tcPr>
          <w:p w14:paraId="32360CD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2,200.00</w:t>
            </w:r>
          </w:p>
        </w:tc>
        <w:tc>
          <w:tcPr>
            <w:tcW w:w="959" w:type="dxa"/>
            <w:hideMark/>
          </w:tcPr>
          <w:p w14:paraId="5E97FF4E"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82A3F3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7C739E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10448F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C70694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F84779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07EC430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285FACB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9CCC2E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Energy efficiency</w:t>
            </w:r>
          </w:p>
        </w:tc>
        <w:tc>
          <w:tcPr>
            <w:tcW w:w="975" w:type="dxa"/>
            <w:hideMark/>
          </w:tcPr>
          <w:p w14:paraId="4F5E81D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w:t>
            </w:r>
          </w:p>
        </w:tc>
        <w:tc>
          <w:tcPr>
            <w:tcW w:w="959" w:type="dxa"/>
            <w:hideMark/>
          </w:tcPr>
          <w:p w14:paraId="77A8187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6BF03F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906FA4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BBD86A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0E3D2B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7F16AD3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23FFD37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104B994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972667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Research related to sea management</w:t>
            </w:r>
          </w:p>
        </w:tc>
        <w:tc>
          <w:tcPr>
            <w:tcW w:w="975" w:type="dxa"/>
            <w:hideMark/>
          </w:tcPr>
          <w:p w14:paraId="34D29A1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w:t>
            </w:r>
          </w:p>
        </w:tc>
        <w:tc>
          <w:tcPr>
            <w:tcW w:w="959" w:type="dxa"/>
            <w:hideMark/>
          </w:tcPr>
          <w:p w14:paraId="0E6EEFC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0F163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77C9D0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2A0032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FA50C0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69CBA98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4534A93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476056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F437EB9"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Development of sustainable fisheries</w:t>
            </w:r>
          </w:p>
        </w:tc>
        <w:tc>
          <w:tcPr>
            <w:tcW w:w="975" w:type="dxa"/>
            <w:hideMark/>
          </w:tcPr>
          <w:p w14:paraId="1B6161D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1,599.60</w:t>
            </w:r>
          </w:p>
        </w:tc>
        <w:tc>
          <w:tcPr>
            <w:tcW w:w="959" w:type="dxa"/>
            <w:hideMark/>
          </w:tcPr>
          <w:p w14:paraId="01F243E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623B88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36A008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4A45AA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037417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42D7491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581B256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14B3C32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EB93FD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Education related to water</w:t>
            </w:r>
          </w:p>
        </w:tc>
        <w:tc>
          <w:tcPr>
            <w:tcW w:w="975" w:type="dxa"/>
            <w:hideMark/>
          </w:tcPr>
          <w:p w14:paraId="03D300A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w:t>
            </w:r>
          </w:p>
        </w:tc>
        <w:tc>
          <w:tcPr>
            <w:tcW w:w="959" w:type="dxa"/>
            <w:hideMark/>
          </w:tcPr>
          <w:p w14:paraId="50CC256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2C40FD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69FF3F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15EE3D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057368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0CD38BEC"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2AAB9D0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7E863E4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F53609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Access to energy</w:t>
            </w:r>
          </w:p>
        </w:tc>
        <w:tc>
          <w:tcPr>
            <w:tcW w:w="975" w:type="dxa"/>
            <w:hideMark/>
          </w:tcPr>
          <w:p w14:paraId="4CACCF54"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1C9AA0E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31ACFF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6AA57E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2FFC2DB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87185D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3627645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2041271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491006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F10133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Creating a shared governance of natural resources</w:t>
            </w:r>
          </w:p>
        </w:tc>
        <w:tc>
          <w:tcPr>
            <w:tcW w:w="975" w:type="dxa"/>
            <w:hideMark/>
          </w:tcPr>
          <w:p w14:paraId="26BE14B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652CEA4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72451B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75F2AC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8F9CE1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2643D7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A96FAC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4D1EE0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4C68FE1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9C891D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Climate-smart local development and land management</w:t>
            </w:r>
          </w:p>
        </w:tc>
        <w:tc>
          <w:tcPr>
            <w:tcW w:w="975" w:type="dxa"/>
            <w:hideMark/>
          </w:tcPr>
          <w:p w14:paraId="5E8F773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9,500.00</w:t>
            </w:r>
          </w:p>
        </w:tc>
        <w:tc>
          <w:tcPr>
            <w:tcW w:w="959" w:type="dxa"/>
            <w:hideMark/>
          </w:tcPr>
          <w:p w14:paraId="40DE375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7FE49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157344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97D742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0CDD559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2228FA1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90E15D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694E1F4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2E8DDD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Climate-related investments</w:t>
            </w:r>
          </w:p>
        </w:tc>
        <w:tc>
          <w:tcPr>
            <w:tcW w:w="975" w:type="dxa"/>
            <w:hideMark/>
          </w:tcPr>
          <w:p w14:paraId="6A949737"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w:t>
            </w:r>
          </w:p>
        </w:tc>
        <w:tc>
          <w:tcPr>
            <w:tcW w:w="959" w:type="dxa"/>
            <w:hideMark/>
          </w:tcPr>
          <w:p w14:paraId="617A05B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139935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8D77A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D77FCC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60" w:type="dxa"/>
            <w:hideMark/>
          </w:tcPr>
          <w:p w14:paraId="3F2A0B2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AF9D5D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6D8D85A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375E6A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511DF8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Research for sustainable seeds</w:t>
            </w:r>
          </w:p>
        </w:tc>
        <w:tc>
          <w:tcPr>
            <w:tcW w:w="975" w:type="dxa"/>
            <w:hideMark/>
          </w:tcPr>
          <w:p w14:paraId="49B9DD05"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w:t>
            </w:r>
          </w:p>
        </w:tc>
        <w:tc>
          <w:tcPr>
            <w:tcW w:w="959" w:type="dxa"/>
            <w:hideMark/>
          </w:tcPr>
          <w:p w14:paraId="7A60D6A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0182D6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A925C6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0BF0884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5A80A7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3AA663C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1C4F90E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29FF0F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D1F33A5"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Public policy dialogue</w:t>
            </w:r>
          </w:p>
        </w:tc>
        <w:tc>
          <w:tcPr>
            <w:tcW w:w="975" w:type="dxa"/>
            <w:hideMark/>
          </w:tcPr>
          <w:p w14:paraId="410D0EA4"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w:t>
            </w:r>
          </w:p>
        </w:tc>
        <w:tc>
          <w:tcPr>
            <w:tcW w:w="959" w:type="dxa"/>
            <w:hideMark/>
          </w:tcPr>
          <w:p w14:paraId="2CF79148"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08D399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4E840A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D055A34"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162495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2A38CC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275BAA4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E25794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4CEBC351"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Scaling up of urban laboratories for sustainable development</w:t>
            </w:r>
          </w:p>
        </w:tc>
        <w:tc>
          <w:tcPr>
            <w:tcW w:w="975" w:type="dxa"/>
            <w:hideMark/>
          </w:tcPr>
          <w:p w14:paraId="0BB0CBE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260.00</w:t>
            </w:r>
          </w:p>
        </w:tc>
        <w:tc>
          <w:tcPr>
            <w:tcW w:w="959" w:type="dxa"/>
            <w:hideMark/>
          </w:tcPr>
          <w:p w14:paraId="188A2BD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7C18ED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79066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9BEEB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C4F68B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6D712DD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29F95B0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B6AE29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EAB586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Impact evaluation of urban laboratories for sustainable development</w:t>
            </w:r>
          </w:p>
        </w:tc>
        <w:tc>
          <w:tcPr>
            <w:tcW w:w="975" w:type="dxa"/>
            <w:hideMark/>
          </w:tcPr>
          <w:p w14:paraId="6E6C95E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w:t>
            </w:r>
          </w:p>
        </w:tc>
        <w:tc>
          <w:tcPr>
            <w:tcW w:w="959" w:type="dxa"/>
            <w:hideMark/>
          </w:tcPr>
          <w:p w14:paraId="56BEC6B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FDAE6A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BCF4BA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A969F3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F65B38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BA519A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27D542A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5DBCBCC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E83F0E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Urban laboratories for sustainable development</w:t>
            </w:r>
          </w:p>
        </w:tc>
        <w:tc>
          <w:tcPr>
            <w:tcW w:w="975" w:type="dxa"/>
            <w:hideMark/>
          </w:tcPr>
          <w:p w14:paraId="76BEC322"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w:t>
            </w:r>
          </w:p>
        </w:tc>
        <w:tc>
          <w:tcPr>
            <w:tcW w:w="959" w:type="dxa"/>
            <w:hideMark/>
          </w:tcPr>
          <w:p w14:paraId="0F50E60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D95DCA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93FF14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5170F9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70BF2BC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0FED25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7AD8799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24025AC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CA2863E"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Urban laboratories for sustainable development</w:t>
            </w:r>
          </w:p>
        </w:tc>
        <w:tc>
          <w:tcPr>
            <w:tcW w:w="975" w:type="dxa"/>
            <w:hideMark/>
          </w:tcPr>
          <w:p w14:paraId="7204C69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160.00</w:t>
            </w:r>
          </w:p>
        </w:tc>
        <w:tc>
          <w:tcPr>
            <w:tcW w:w="959" w:type="dxa"/>
            <w:hideMark/>
          </w:tcPr>
          <w:p w14:paraId="3C43BFC3"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E20702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D7AAF7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36A9CC9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B1A48F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A6F227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0489580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EE1004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9628A60"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Urban laboratories for sustainable development</w:t>
            </w:r>
          </w:p>
        </w:tc>
        <w:tc>
          <w:tcPr>
            <w:tcW w:w="975" w:type="dxa"/>
            <w:hideMark/>
          </w:tcPr>
          <w:p w14:paraId="246329D1"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440.00</w:t>
            </w:r>
          </w:p>
        </w:tc>
        <w:tc>
          <w:tcPr>
            <w:tcW w:w="959" w:type="dxa"/>
            <w:hideMark/>
          </w:tcPr>
          <w:p w14:paraId="0B47FF76"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41FFEB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A7CDE0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35E509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3446847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0550B13"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601" w:type="dxa"/>
            <w:hideMark/>
          </w:tcPr>
          <w:p w14:paraId="299687B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EE84AD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8D3546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Control of fruit fly</w:t>
            </w:r>
          </w:p>
        </w:tc>
        <w:tc>
          <w:tcPr>
            <w:tcW w:w="975" w:type="dxa"/>
            <w:hideMark/>
          </w:tcPr>
          <w:p w14:paraId="0E59629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2,100.00</w:t>
            </w:r>
          </w:p>
        </w:tc>
        <w:tc>
          <w:tcPr>
            <w:tcW w:w="959" w:type="dxa"/>
            <w:hideMark/>
          </w:tcPr>
          <w:p w14:paraId="1626E6D0"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D716B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331AD2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3CC722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543485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13AD7B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69737F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C8E763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08B58EC"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Control of fruit fly</w:t>
            </w:r>
          </w:p>
        </w:tc>
        <w:tc>
          <w:tcPr>
            <w:tcW w:w="975" w:type="dxa"/>
            <w:hideMark/>
          </w:tcPr>
          <w:p w14:paraId="7CDF082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1,835.00</w:t>
            </w:r>
          </w:p>
        </w:tc>
        <w:tc>
          <w:tcPr>
            <w:tcW w:w="959" w:type="dxa"/>
            <w:hideMark/>
          </w:tcPr>
          <w:p w14:paraId="1348F01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02FE75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78CAE2E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A6F79C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419FBA9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27C6BB0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0E02CD6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C76229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05992E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Scientific research and knowledge management on biodiversity</w:t>
            </w:r>
          </w:p>
        </w:tc>
        <w:tc>
          <w:tcPr>
            <w:tcW w:w="975" w:type="dxa"/>
            <w:hideMark/>
          </w:tcPr>
          <w:p w14:paraId="2765F5AC"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w:t>
            </w:r>
          </w:p>
        </w:tc>
        <w:tc>
          <w:tcPr>
            <w:tcW w:w="959" w:type="dxa"/>
            <w:hideMark/>
          </w:tcPr>
          <w:p w14:paraId="0D8E991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32938D0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6196FE1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789DC3E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771DDD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4659833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730B883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381D99E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B18D42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Sustainable energy</w:t>
            </w:r>
          </w:p>
        </w:tc>
        <w:tc>
          <w:tcPr>
            <w:tcW w:w="975" w:type="dxa"/>
            <w:hideMark/>
          </w:tcPr>
          <w:p w14:paraId="028F3D2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560.00</w:t>
            </w:r>
          </w:p>
        </w:tc>
        <w:tc>
          <w:tcPr>
            <w:tcW w:w="959" w:type="dxa"/>
            <w:hideMark/>
          </w:tcPr>
          <w:p w14:paraId="4C29AD27"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5E47C8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98AED5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1C0CED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CCC07F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A59695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(energy Generation - Distribution - Efficiency)</w:t>
            </w:r>
          </w:p>
        </w:tc>
        <w:tc>
          <w:tcPr>
            <w:tcW w:w="2601" w:type="dxa"/>
            <w:hideMark/>
          </w:tcPr>
          <w:p w14:paraId="332BF33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34ABD0D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2A643D4"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Professional training related to sustainable development</w:t>
            </w:r>
          </w:p>
        </w:tc>
        <w:tc>
          <w:tcPr>
            <w:tcW w:w="975" w:type="dxa"/>
            <w:hideMark/>
          </w:tcPr>
          <w:p w14:paraId="1F850119"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w:t>
            </w:r>
          </w:p>
        </w:tc>
        <w:tc>
          <w:tcPr>
            <w:tcW w:w="959" w:type="dxa"/>
            <w:hideMark/>
          </w:tcPr>
          <w:p w14:paraId="4C87D0D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163506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A111F4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6DEA54D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51C598B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248091C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3663FD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6E9F6FC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3E7737F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Education with high environmental standards</w:t>
            </w:r>
          </w:p>
        </w:tc>
        <w:tc>
          <w:tcPr>
            <w:tcW w:w="975" w:type="dxa"/>
            <w:hideMark/>
          </w:tcPr>
          <w:p w14:paraId="7EAC0973"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w:t>
            </w:r>
          </w:p>
        </w:tc>
        <w:tc>
          <w:tcPr>
            <w:tcW w:w="959" w:type="dxa"/>
            <w:hideMark/>
          </w:tcPr>
          <w:p w14:paraId="28F37C7C"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FFB76B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D052F6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1AF7763B"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27F6EA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0DC5DA5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A56CA6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NGO</w:t>
            </w:r>
          </w:p>
        </w:tc>
      </w:tr>
      <w:tr w:rsidR="001808DF" w:rsidRPr="005B54EE" w14:paraId="1AE67F3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58F7B68"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Technical assistance facility for the African Union</w:t>
            </w:r>
          </w:p>
        </w:tc>
        <w:tc>
          <w:tcPr>
            <w:tcW w:w="975" w:type="dxa"/>
            <w:hideMark/>
          </w:tcPr>
          <w:p w14:paraId="1C7E307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165.00</w:t>
            </w:r>
          </w:p>
        </w:tc>
        <w:tc>
          <w:tcPr>
            <w:tcW w:w="959" w:type="dxa"/>
            <w:hideMark/>
          </w:tcPr>
          <w:p w14:paraId="3015ACB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A904C90"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1CD606D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9D1D18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61601D4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3F511D7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25E3454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010CCF6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17ABAF4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Xingu natural reserve</w:t>
            </w:r>
          </w:p>
        </w:tc>
        <w:tc>
          <w:tcPr>
            <w:tcW w:w="975" w:type="dxa"/>
            <w:hideMark/>
          </w:tcPr>
          <w:p w14:paraId="306F52FD"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1,100.00</w:t>
            </w:r>
          </w:p>
        </w:tc>
        <w:tc>
          <w:tcPr>
            <w:tcW w:w="959" w:type="dxa"/>
            <w:hideMark/>
          </w:tcPr>
          <w:p w14:paraId="39CF8FD9"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6ACE4CC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7652D9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4F91C61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2669B6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4090EB0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601" w:type="dxa"/>
            <w:hideMark/>
          </w:tcPr>
          <w:p w14:paraId="1295348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76A3A17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637C4F6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2050 Facility - establish low-carbon and resilient development pathways</w:t>
            </w:r>
          </w:p>
        </w:tc>
        <w:tc>
          <w:tcPr>
            <w:tcW w:w="975" w:type="dxa"/>
            <w:hideMark/>
          </w:tcPr>
          <w:p w14:paraId="32FFA8E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w:t>
            </w:r>
          </w:p>
        </w:tc>
        <w:tc>
          <w:tcPr>
            <w:tcW w:w="959" w:type="dxa"/>
            <w:hideMark/>
          </w:tcPr>
          <w:p w14:paraId="14FF2326"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1AF426F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388D55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073" w:type="dxa"/>
            <w:hideMark/>
          </w:tcPr>
          <w:p w14:paraId="536D0FC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60" w:type="dxa"/>
            <w:hideMark/>
          </w:tcPr>
          <w:p w14:paraId="1A02D601"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79D8AB3E"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(environmental Policy And Administrative Management)</w:t>
            </w:r>
          </w:p>
        </w:tc>
        <w:tc>
          <w:tcPr>
            <w:tcW w:w="2601" w:type="dxa"/>
            <w:hideMark/>
          </w:tcPr>
          <w:p w14:paraId="082E634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AFD</w:t>
            </w:r>
          </w:p>
        </w:tc>
      </w:tr>
      <w:tr w:rsidR="001808DF" w:rsidRPr="005B54EE" w14:paraId="13AA3E0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7E752F2F"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Financial intermediation</w:t>
            </w:r>
          </w:p>
        </w:tc>
        <w:tc>
          <w:tcPr>
            <w:tcW w:w="975" w:type="dxa"/>
            <w:hideMark/>
          </w:tcPr>
          <w:p w14:paraId="70A014A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22,391.40</w:t>
            </w:r>
          </w:p>
        </w:tc>
        <w:tc>
          <w:tcPr>
            <w:tcW w:w="959" w:type="dxa"/>
            <w:hideMark/>
          </w:tcPr>
          <w:p w14:paraId="48466C18"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50ADAB8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319B7ACC"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34C2A28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29E1D449"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5799B3AF"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3E8F1F22"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2BB3A5A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51A9B37"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Financial intermediation</w:t>
            </w:r>
          </w:p>
        </w:tc>
        <w:tc>
          <w:tcPr>
            <w:tcW w:w="975" w:type="dxa"/>
            <w:hideMark/>
          </w:tcPr>
          <w:p w14:paraId="68C14C7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37,500.00</w:t>
            </w:r>
          </w:p>
        </w:tc>
        <w:tc>
          <w:tcPr>
            <w:tcW w:w="959" w:type="dxa"/>
            <w:hideMark/>
          </w:tcPr>
          <w:p w14:paraId="5A9E857B"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0E73B83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08700655"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4CAF9C4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w:t>
            </w:r>
          </w:p>
        </w:tc>
        <w:tc>
          <w:tcPr>
            <w:tcW w:w="1060" w:type="dxa"/>
            <w:hideMark/>
          </w:tcPr>
          <w:p w14:paraId="080A5E5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(Crosscutting)</w:t>
            </w:r>
          </w:p>
        </w:tc>
        <w:tc>
          <w:tcPr>
            <w:tcW w:w="1130" w:type="dxa"/>
            <w:hideMark/>
          </w:tcPr>
          <w:p w14:paraId="10D27C63"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(banking And Financial Services)</w:t>
            </w:r>
          </w:p>
        </w:tc>
        <w:tc>
          <w:tcPr>
            <w:tcW w:w="2601" w:type="dxa"/>
            <w:hideMark/>
          </w:tcPr>
          <w:p w14:paraId="75FAA5B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46B0BA1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25E711F2"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Energy efficiency for educational buildings</w:t>
            </w:r>
          </w:p>
        </w:tc>
        <w:tc>
          <w:tcPr>
            <w:tcW w:w="975" w:type="dxa"/>
            <w:hideMark/>
          </w:tcPr>
          <w:p w14:paraId="2CA84AAE"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20,050.00</w:t>
            </w:r>
          </w:p>
        </w:tc>
        <w:tc>
          <w:tcPr>
            <w:tcW w:w="959" w:type="dxa"/>
            <w:hideMark/>
          </w:tcPr>
          <w:p w14:paraId="4F45BFEA"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41E05185"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5A4292A"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5CC25E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53D6A2C6"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130" w:type="dxa"/>
            <w:hideMark/>
          </w:tcPr>
          <w:p w14:paraId="6C2F64F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(government And Civil Society)</w:t>
            </w:r>
          </w:p>
        </w:tc>
        <w:tc>
          <w:tcPr>
            <w:tcW w:w="2601" w:type="dxa"/>
            <w:hideMark/>
          </w:tcPr>
          <w:p w14:paraId="7140315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5E53E9C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04DF8063"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Sustainable agribusiness</w:t>
            </w:r>
          </w:p>
        </w:tc>
        <w:tc>
          <w:tcPr>
            <w:tcW w:w="975" w:type="dxa"/>
            <w:hideMark/>
          </w:tcPr>
          <w:p w14:paraId="0D4D17C1"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8,468.83</w:t>
            </w:r>
          </w:p>
        </w:tc>
        <w:tc>
          <w:tcPr>
            <w:tcW w:w="959" w:type="dxa"/>
            <w:hideMark/>
          </w:tcPr>
          <w:p w14:paraId="61950D05" w14:textId="77777777" w:rsidR="001808DF" w:rsidRPr="005B54EE" w:rsidRDefault="001808DF" w:rsidP="001808D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2E2164B7"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52218989"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6BA62A6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60B699B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83521DB"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0960B6DD"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r w:rsidR="001808DF" w:rsidRPr="005B54EE" w14:paraId="096A049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737" w:type="dxa"/>
            <w:hideMark/>
          </w:tcPr>
          <w:p w14:paraId="543BE7DB" w14:textId="77777777" w:rsidR="001808DF" w:rsidRPr="005B54EE" w:rsidRDefault="001808DF" w:rsidP="001808DF">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Sustainable agribusiness</w:t>
            </w:r>
          </w:p>
        </w:tc>
        <w:tc>
          <w:tcPr>
            <w:tcW w:w="975" w:type="dxa"/>
            <w:hideMark/>
          </w:tcPr>
          <w:p w14:paraId="193AACBB"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8,468.83</w:t>
            </w:r>
          </w:p>
        </w:tc>
        <w:tc>
          <w:tcPr>
            <w:tcW w:w="959" w:type="dxa"/>
            <w:hideMark/>
          </w:tcPr>
          <w:p w14:paraId="7B01322F" w14:textId="77777777" w:rsidR="001808DF" w:rsidRPr="005B54EE" w:rsidRDefault="001808DF" w:rsidP="001808D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50" w:type="dxa"/>
            <w:hideMark/>
          </w:tcPr>
          <w:p w14:paraId="77EF346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935" w:type="dxa"/>
            <w:hideMark/>
          </w:tcPr>
          <w:p w14:paraId="2EB9381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073" w:type="dxa"/>
            <w:hideMark/>
          </w:tcPr>
          <w:p w14:paraId="12A9B5E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Non-concessional Loan</w:t>
            </w:r>
          </w:p>
        </w:tc>
        <w:tc>
          <w:tcPr>
            <w:tcW w:w="1060" w:type="dxa"/>
            <w:hideMark/>
          </w:tcPr>
          <w:p w14:paraId="13B3455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130" w:type="dxa"/>
            <w:hideMark/>
          </w:tcPr>
          <w:p w14:paraId="5F770054"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601" w:type="dxa"/>
            <w:hideMark/>
          </w:tcPr>
          <w:p w14:paraId="7354706D"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PROPARCO</w:t>
            </w:r>
          </w:p>
        </w:tc>
      </w:tr>
    </w:tbl>
    <w:p w14:paraId="1252299F" w14:textId="77777777" w:rsidR="001808DF" w:rsidRPr="005B54EE" w:rsidRDefault="001808DF" w:rsidP="001808DF">
      <w:pPr>
        <w:rPr>
          <w:rFonts w:eastAsiaTheme="majorEastAsia"/>
        </w:rPr>
      </w:pPr>
    </w:p>
    <w:p w14:paraId="116801AB" w14:textId="10FC3A3B" w:rsidR="001808DF" w:rsidRPr="005B54EE" w:rsidRDefault="001808DF" w:rsidP="001808DF">
      <w:pPr>
        <w:pStyle w:val="Caption"/>
      </w:pPr>
      <w:r w:rsidRPr="005B54EE">
        <w:br w:type="page"/>
      </w:r>
      <w:bookmarkStart w:id="270" w:name="_Toc124153754"/>
      <w:r w:rsidRPr="005B54EE">
        <w:t xml:space="preserve">Table </w:t>
      </w:r>
      <w:r w:rsidR="00C73940">
        <w:fldChar w:fldCharType="begin"/>
      </w:r>
      <w:r w:rsidR="00C73940">
        <w:instrText xml:space="preserve"> SEQ Tableau \* ARABIC </w:instrText>
      </w:r>
      <w:r w:rsidR="00C73940">
        <w:fldChar w:fldCharType="separate"/>
      </w:r>
      <w:r w:rsidR="005B1C45">
        <w:rPr>
          <w:noProof/>
        </w:rPr>
        <w:t>40</w:t>
      </w:r>
      <w:r w:rsidR="00C73940">
        <w:rPr>
          <w:noProof/>
        </w:rPr>
        <w:fldChar w:fldCharType="end"/>
      </w:r>
      <w:r w:rsidRPr="005B54EE">
        <w:t>: Table CTF 7b - Bilateral, regional and other contributions in 2020</w:t>
      </w:r>
      <w:bookmarkEnd w:id="270"/>
    </w:p>
    <w:p w14:paraId="36379EF8" w14:textId="77777777" w:rsidR="001808DF" w:rsidRPr="005B54EE" w:rsidRDefault="001808DF" w:rsidP="001808DF"/>
    <w:tbl>
      <w:tblPr>
        <w:tblStyle w:val="ListTable4-Accent1"/>
        <w:tblW w:w="12440" w:type="dxa"/>
        <w:tblLook w:val="04A0" w:firstRow="1" w:lastRow="0" w:firstColumn="1" w:lastColumn="0" w:noHBand="0" w:noVBand="1"/>
      </w:tblPr>
      <w:tblGrid>
        <w:gridCol w:w="2527"/>
        <w:gridCol w:w="1476"/>
        <w:gridCol w:w="847"/>
        <w:gridCol w:w="986"/>
        <w:gridCol w:w="895"/>
        <w:gridCol w:w="1326"/>
        <w:gridCol w:w="1016"/>
        <w:gridCol w:w="1336"/>
        <w:gridCol w:w="2031"/>
      </w:tblGrid>
      <w:tr w:rsidR="001808DF" w:rsidRPr="005B54EE" w14:paraId="60348900" w14:textId="77777777" w:rsidTr="00927E59">
        <w:trPr>
          <w:cnfStyle w:val="100000000000" w:firstRow="1" w:lastRow="0" w:firstColumn="0" w:lastColumn="0" w:oddVBand="0" w:evenVBand="0" w:oddHBand="0"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vMerge w:val="restart"/>
            <w:hideMark/>
          </w:tcPr>
          <w:p w14:paraId="531ACE91" w14:textId="77777777" w:rsidR="001808DF" w:rsidRPr="005B54EE" w:rsidRDefault="001808DF" w:rsidP="001808DF">
            <w:pPr>
              <w:jc w:val="center"/>
              <w:rPr>
                <w:rFonts w:ascii="Times New Roman" w:hAnsi="Times New Roman"/>
                <w:i/>
                <w:iCs/>
                <w:color w:val="000000"/>
                <w:sz w:val="18"/>
                <w:szCs w:val="18"/>
              </w:rPr>
            </w:pPr>
            <w:r w:rsidRPr="005B54EE">
              <w:rPr>
                <w:rFonts w:ascii="Times New Roman" w:hAnsi="Times New Roman"/>
                <w:i/>
                <w:color w:val="000000"/>
                <w:sz w:val="18"/>
              </w:rPr>
              <w:t>Recipient country/ region/project/programme</w:t>
            </w:r>
            <w:r w:rsidRPr="005B54EE">
              <w:rPr>
                <w:rFonts w:ascii="Times New Roman" w:hAnsi="Times New Roman"/>
                <w:i/>
                <w:color w:val="000000"/>
                <w:sz w:val="18"/>
                <w:vertAlign w:val="superscript"/>
              </w:rPr>
              <w:t>b</w:t>
            </w:r>
          </w:p>
        </w:tc>
        <w:tc>
          <w:tcPr>
            <w:tcW w:w="2323" w:type="dxa"/>
            <w:gridSpan w:val="2"/>
            <w:noWrap/>
            <w:hideMark/>
          </w:tcPr>
          <w:p w14:paraId="46736E26"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Total amount</w:t>
            </w:r>
          </w:p>
        </w:tc>
        <w:tc>
          <w:tcPr>
            <w:tcW w:w="986" w:type="dxa"/>
            <w:vMerge w:val="restart"/>
            <w:hideMark/>
          </w:tcPr>
          <w:p w14:paraId="55558550"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Status</w:t>
            </w:r>
            <w:r w:rsidRPr="005B54EE">
              <w:rPr>
                <w:rFonts w:ascii="Times New Roman" w:hAnsi="Times New Roman"/>
                <w:i/>
                <w:color w:val="000000"/>
                <w:sz w:val="18"/>
                <w:vertAlign w:val="superscript"/>
              </w:rPr>
              <w:t>c, 3</w:t>
            </w:r>
          </w:p>
        </w:tc>
        <w:tc>
          <w:tcPr>
            <w:tcW w:w="895" w:type="dxa"/>
            <w:vMerge w:val="restart"/>
            <w:hideMark/>
          </w:tcPr>
          <w:p w14:paraId="4CE84247"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Funding source</w:t>
            </w:r>
            <w:r w:rsidRPr="005B54EE">
              <w:rPr>
                <w:rFonts w:ascii="Times New Roman" w:hAnsi="Times New Roman"/>
                <w:i/>
                <w:color w:val="000000"/>
                <w:sz w:val="18"/>
                <w:vertAlign w:val="superscript"/>
              </w:rPr>
              <w:t>g, 4</w:t>
            </w:r>
          </w:p>
        </w:tc>
        <w:tc>
          <w:tcPr>
            <w:tcW w:w="1326" w:type="dxa"/>
            <w:vMerge w:val="restart"/>
            <w:hideMark/>
          </w:tcPr>
          <w:p w14:paraId="05436D12"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Financial instrument</w:t>
            </w:r>
            <w:r w:rsidRPr="005B54EE">
              <w:rPr>
                <w:rFonts w:ascii="Times New Roman" w:hAnsi="Times New Roman"/>
                <w:i/>
                <w:color w:val="000000"/>
                <w:sz w:val="18"/>
                <w:vertAlign w:val="superscript"/>
              </w:rPr>
              <w:t>g, 5</w:t>
            </w:r>
          </w:p>
        </w:tc>
        <w:tc>
          <w:tcPr>
            <w:tcW w:w="1016" w:type="dxa"/>
            <w:vMerge w:val="restart"/>
            <w:hideMark/>
          </w:tcPr>
          <w:p w14:paraId="06BC05C3"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Type of support</w:t>
            </w:r>
            <w:r w:rsidRPr="005B54EE">
              <w:rPr>
                <w:rFonts w:ascii="Times New Roman" w:hAnsi="Times New Roman"/>
                <w:i/>
                <w:color w:val="000000"/>
                <w:sz w:val="18"/>
                <w:vertAlign w:val="superscript"/>
              </w:rPr>
              <w:t>g, h, 6</w:t>
            </w:r>
          </w:p>
        </w:tc>
        <w:tc>
          <w:tcPr>
            <w:tcW w:w="1336" w:type="dxa"/>
            <w:vMerge w:val="restart"/>
            <w:noWrap/>
            <w:hideMark/>
          </w:tcPr>
          <w:p w14:paraId="7635C27C"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Sector</w:t>
            </w:r>
            <w:r w:rsidRPr="005B54EE">
              <w:rPr>
                <w:rFonts w:ascii="Times New Roman" w:hAnsi="Times New Roman"/>
                <w:i/>
                <w:color w:val="000000"/>
                <w:sz w:val="18"/>
                <w:vertAlign w:val="superscript"/>
              </w:rPr>
              <w:t>d, g, 7</w:t>
            </w:r>
          </w:p>
        </w:tc>
        <w:tc>
          <w:tcPr>
            <w:tcW w:w="2031" w:type="dxa"/>
            <w:vMerge w:val="restart"/>
            <w:hideMark/>
          </w:tcPr>
          <w:p w14:paraId="0772F52E" w14:textId="77777777" w:rsidR="001808DF" w:rsidRPr="005B54EE" w:rsidRDefault="001808DF" w:rsidP="00180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Additional information</w:t>
            </w:r>
            <w:r w:rsidRPr="005B54EE">
              <w:rPr>
                <w:rFonts w:ascii="Times New Roman" w:hAnsi="Times New Roman"/>
                <w:i/>
                <w:color w:val="000000"/>
                <w:sz w:val="18"/>
                <w:vertAlign w:val="superscript"/>
              </w:rPr>
              <w:t>e</w:t>
            </w:r>
          </w:p>
        </w:tc>
      </w:tr>
      <w:tr w:rsidR="001808DF" w:rsidRPr="005B54EE" w14:paraId="50F5BAE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vMerge/>
            <w:hideMark/>
          </w:tcPr>
          <w:p w14:paraId="5A78B40B" w14:textId="77777777" w:rsidR="001808DF" w:rsidRPr="005B54EE" w:rsidRDefault="001808DF" w:rsidP="001808DF">
            <w:pPr>
              <w:jc w:val="left"/>
              <w:rPr>
                <w:rFonts w:ascii="Times New Roman" w:hAnsi="Times New Roman"/>
                <w:i/>
                <w:iCs/>
                <w:color w:val="000000"/>
                <w:sz w:val="18"/>
                <w:szCs w:val="18"/>
              </w:rPr>
            </w:pPr>
          </w:p>
        </w:tc>
        <w:tc>
          <w:tcPr>
            <w:tcW w:w="2323" w:type="dxa"/>
            <w:gridSpan w:val="2"/>
            <w:hideMark/>
          </w:tcPr>
          <w:p w14:paraId="639FEB2D" w14:textId="77777777" w:rsidR="001808DF" w:rsidRPr="005B54EE" w:rsidRDefault="001808DF" w:rsidP="00180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Climate-specific</w:t>
            </w:r>
            <w:r w:rsidRPr="005B54EE">
              <w:rPr>
                <w:rFonts w:ascii="Times New Roman" w:hAnsi="Times New Roman"/>
                <w:i/>
                <w:color w:val="000000"/>
                <w:sz w:val="18"/>
                <w:vertAlign w:val="superscript"/>
              </w:rPr>
              <w:t>f, 2</w:t>
            </w:r>
          </w:p>
        </w:tc>
        <w:tc>
          <w:tcPr>
            <w:tcW w:w="986" w:type="dxa"/>
            <w:vMerge/>
            <w:hideMark/>
          </w:tcPr>
          <w:p w14:paraId="090E0DB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895" w:type="dxa"/>
            <w:vMerge/>
            <w:hideMark/>
          </w:tcPr>
          <w:p w14:paraId="7B31F72E"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1326" w:type="dxa"/>
            <w:vMerge/>
            <w:hideMark/>
          </w:tcPr>
          <w:p w14:paraId="46E492A7"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1016" w:type="dxa"/>
            <w:vMerge/>
            <w:hideMark/>
          </w:tcPr>
          <w:p w14:paraId="49DADCB8"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1336" w:type="dxa"/>
            <w:vMerge/>
            <w:hideMark/>
          </w:tcPr>
          <w:p w14:paraId="6C5266B1"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c>
          <w:tcPr>
            <w:tcW w:w="2031" w:type="dxa"/>
            <w:vMerge/>
            <w:hideMark/>
          </w:tcPr>
          <w:p w14:paraId="303A8B10" w14:textId="77777777" w:rsidR="001808DF" w:rsidRPr="005B54EE" w:rsidRDefault="001808DF" w:rsidP="001808D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18"/>
                <w:szCs w:val="18"/>
              </w:rPr>
            </w:pPr>
          </w:p>
        </w:tc>
      </w:tr>
      <w:tr w:rsidR="001808DF" w:rsidRPr="005B54EE" w14:paraId="0C974CF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vMerge/>
            <w:hideMark/>
          </w:tcPr>
          <w:p w14:paraId="7E1024CD" w14:textId="77777777" w:rsidR="001808DF" w:rsidRPr="005B54EE" w:rsidRDefault="001808DF" w:rsidP="001808DF">
            <w:pPr>
              <w:jc w:val="left"/>
              <w:rPr>
                <w:rFonts w:ascii="Times New Roman" w:hAnsi="Times New Roman"/>
                <w:i/>
                <w:iCs/>
                <w:color w:val="000000"/>
                <w:sz w:val="18"/>
                <w:szCs w:val="18"/>
              </w:rPr>
            </w:pPr>
          </w:p>
        </w:tc>
        <w:tc>
          <w:tcPr>
            <w:tcW w:w="1476" w:type="dxa"/>
            <w:hideMark/>
          </w:tcPr>
          <w:p w14:paraId="4C60DA76"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European euro - EUR</w:t>
            </w:r>
          </w:p>
        </w:tc>
        <w:tc>
          <w:tcPr>
            <w:tcW w:w="847" w:type="dxa"/>
            <w:hideMark/>
          </w:tcPr>
          <w:p w14:paraId="3AA9C2CD" w14:textId="77777777" w:rsidR="001808DF" w:rsidRPr="005B54EE" w:rsidRDefault="001808DF" w:rsidP="00180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5B54EE">
              <w:rPr>
                <w:rFonts w:ascii="Times New Roman" w:hAnsi="Times New Roman"/>
                <w:i/>
                <w:color w:val="000000"/>
                <w:sz w:val="18"/>
              </w:rPr>
              <w:t>USD</w:t>
            </w:r>
          </w:p>
        </w:tc>
        <w:tc>
          <w:tcPr>
            <w:tcW w:w="986" w:type="dxa"/>
            <w:vMerge/>
            <w:hideMark/>
          </w:tcPr>
          <w:p w14:paraId="1DA2F576"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895" w:type="dxa"/>
            <w:vMerge/>
            <w:hideMark/>
          </w:tcPr>
          <w:p w14:paraId="0FAF722F"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1326" w:type="dxa"/>
            <w:vMerge/>
            <w:hideMark/>
          </w:tcPr>
          <w:p w14:paraId="58BC1F0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1016" w:type="dxa"/>
            <w:vMerge/>
            <w:hideMark/>
          </w:tcPr>
          <w:p w14:paraId="43FF6B52"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1336" w:type="dxa"/>
            <w:vMerge/>
            <w:hideMark/>
          </w:tcPr>
          <w:p w14:paraId="38C4F478"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c>
          <w:tcPr>
            <w:tcW w:w="2031" w:type="dxa"/>
            <w:vMerge/>
            <w:hideMark/>
          </w:tcPr>
          <w:p w14:paraId="76E3649A" w14:textId="77777777" w:rsidR="001808DF" w:rsidRPr="005B54EE" w:rsidRDefault="001808DF" w:rsidP="001808D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p>
        </w:tc>
      </w:tr>
      <w:tr w:rsidR="00927E59" w:rsidRPr="005B54EE" w14:paraId="2FF27F9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36FDA6D" w14:textId="77777777" w:rsidR="00927E59" w:rsidRPr="005B54EE" w:rsidRDefault="00927E59" w:rsidP="00927E59">
            <w:pPr>
              <w:jc w:val="left"/>
              <w:rPr>
                <w:rFonts w:ascii="Times New Roman" w:hAnsi="Times New Roman"/>
                <w:color w:val="000000"/>
                <w:sz w:val="18"/>
                <w:szCs w:val="18"/>
              </w:rPr>
            </w:pPr>
            <w:r w:rsidRPr="005B54EE">
              <w:rPr>
                <w:rFonts w:ascii="Times New Roman" w:hAnsi="Times New Roman"/>
                <w:sz w:val="18"/>
              </w:rPr>
              <w:t>Total contributions through bilateral, regional and other channels</w:t>
            </w:r>
          </w:p>
        </w:tc>
        <w:tc>
          <w:tcPr>
            <w:tcW w:w="1476" w:type="dxa"/>
            <w:hideMark/>
          </w:tcPr>
          <w:p w14:paraId="151B3A6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4,770,342,237.31</w:t>
            </w:r>
          </w:p>
        </w:tc>
        <w:tc>
          <w:tcPr>
            <w:tcW w:w="847" w:type="dxa"/>
            <w:hideMark/>
          </w:tcPr>
          <w:p w14:paraId="509C3AB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4863CC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895" w:type="dxa"/>
            <w:hideMark/>
          </w:tcPr>
          <w:p w14:paraId="7CD6692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1326" w:type="dxa"/>
            <w:hideMark/>
          </w:tcPr>
          <w:p w14:paraId="488C9BE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1016" w:type="dxa"/>
            <w:hideMark/>
          </w:tcPr>
          <w:p w14:paraId="55453F9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1336" w:type="dxa"/>
            <w:hideMark/>
          </w:tcPr>
          <w:p w14:paraId="5CA53B7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2031" w:type="dxa"/>
            <w:hideMark/>
          </w:tcPr>
          <w:p w14:paraId="49E6A270" w14:textId="7DCD2B7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BADC47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515F36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South Africa / Feasability study of a "waste to energy" project</w:t>
            </w:r>
          </w:p>
        </w:tc>
        <w:tc>
          <w:tcPr>
            <w:tcW w:w="1476" w:type="dxa"/>
            <w:hideMark/>
          </w:tcPr>
          <w:p w14:paraId="3627F36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407,300.00</w:t>
            </w:r>
          </w:p>
        </w:tc>
        <w:tc>
          <w:tcPr>
            <w:tcW w:w="847" w:type="dxa"/>
            <w:hideMark/>
          </w:tcPr>
          <w:p w14:paraId="35B0FA8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188C80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76F192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C24A7C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544BF5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96CCB0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1DB60A17" w14:textId="71BB46B1"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96A909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456ADE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South Africa / Support for the implementation of a financing facility in South-African secondary cities</w:t>
            </w:r>
          </w:p>
        </w:tc>
        <w:tc>
          <w:tcPr>
            <w:tcW w:w="1476" w:type="dxa"/>
            <w:hideMark/>
          </w:tcPr>
          <w:p w14:paraId="0C59171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1,818,824.00</w:t>
            </w:r>
          </w:p>
        </w:tc>
        <w:tc>
          <w:tcPr>
            <w:tcW w:w="847" w:type="dxa"/>
            <w:hideMark/>
          </w:tcPr>
          <w:p w14:paraId="50D8518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5BBB4E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D16EE9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3CCAC7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E012A3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DBE84A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50F31B49" w14:textId="1DE9F84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33EBF0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839DF3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South Africa / Subscription/support to the emission of the first green bond by the DBSA</w:t>
            </w:r>
          </w:p>
        </w:tc>
        <w:tc>
          <w:tcPr>
            <w:tcW w:w="1476" w:type="dxa"/>
            <w:hideMark/>
          </w:tcPr>
          <w:p w14:paraId="4F357CE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150,000,000.00</w:t>
            </w:r>
          </w:p>
        </w:tc>
        <w:tc>
          <w:tcPr>
            <w:tcW w:w="847" w:type="dxa"/>
            <w:hideMark/>
          </w:tcPr>
          <w:p w14:paraId="520572A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60D18A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F76EB2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026F02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(bond)</w:t>
            </w:r>
          </w:p>
        </w:tc>
        <w:tc>
          <w:tcPr>
            <w:tcW w:w="1016" w:type="dxa"/>
            <w:hideMark/>
          </w:tcPr>
          <w:p w14:paraId="70D81DF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E01D0F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16B9715D" w14:textId="1CA8B89D"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86E03E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933128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South Africa / Subscription/support to the emission of the first green bond by the DBSA</w:t>
            </w:r>
          </w:p>
        </w:tc>
        <w:tc>
          <w:tcPr>
            <w:tcW w:w="1476" w:type="dxa"/>
            <w:hideMark/>
          </w:tcPr>
          <w:p w14:paraId="375AE4F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50,000,000.00</w:t>
            </w:r>
          </w:p>
        </w:tc>
        <w:tc>
          <w:tcPr>
            <w:tcW w:w="847" w:type="dxa"/>
            <w:hideMark/>
          </w:tcPr>
          <w:p w14:paraId="350DBD0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B18A5D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B9EA76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0882DB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(bond)</w:t>
            </w:r>
          </w:p>
        </w:tc>
        <w:tc>
          <w:tcPr>
            <w:tcW w:w="1016" w:type="dxa"/>
            <w:hideMark/>
          </w:tcPr>
          <w:p w14:paraId="034DF0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00AEC7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1E1D630F" w14:textId="31E249FE"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D9CE74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F996DE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South Africa / Support to finance for affordable housing</w:t>
            </w:r>
          </w:p>
        </w:tc>
        <w:tc>
          <w:tcPr>
            <w:tcW w:w="1476" w:type="dxa"/>
            <w:hideMark/>
          </w:tcPr>
          <w:p w14:paraId="1C19B90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300,000.00</w:t>
            </w:r>
          </w:p>
        </w:tc>
        <w:tc>
          <w:tcPr>
            <w:tcW w:w="847" w:type="dxa"/>
            <w:hideMark/>
          </w:tcPr>
          <w:p w14:paraId="21DBAB9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352913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19A41F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5E0E5F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FE3FC2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84DCE9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0BFC6AE1" w14:textId="3CC29E5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1EAF3C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76212D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Angola / Rehabilitation project of a irrigated perimeter</w:t>
            </w:r>
          </w:p>
        </w:tc>
        <w:tc>
          <w:tcPr>
            <w:tcW w:w="1476" w:type="dxa"/>
            <w:hideMark/>
          </w:tcPr>
          <w:p w14:paraId="487ABAC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674,540.00</w:t>
            </w:r>
          </w:p>
        </w:tc>
        <w:tc>
          <w:tcPr>
            <w:tcW w:w="847" w:type="dxa"/>
            <w:hideMark/>
          </w:tcPr>
          <w:p w14:paraId="275BF58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DE70D5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3F79F8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DAF6DC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E1381F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5D6E121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2B8ADA8" w14:textId="3E673D5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5F3C34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D97DD4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Angola / Optimisation of the energy sector in Angola, cofinancing with the World Bank</w:t>
            </w:r>
          </w:p>
        </w:tc>
        <w:tc>
          <w:tcPr>
            <w:tcW w:w="1476" w:type="dxa"/>
            <w:hideMark/>
          </w:tcPr>
          <w:p w14:paraId="1610FCE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136,460,206.00</w:t>
            </w:r>
          </w:p>
        </w:tc>
        <w:tc>
          <w:tcPr>
            <w:tcW w:w="847" w:type="dxa"/>
            <w:hideMark/>
          </w:tcPr>
          <w:p w14:paraId="24C228E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7A794E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3087F9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812BE1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214094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5B394F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566DB31" w14:textId="07F2C4B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D7EFCA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396C0B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Benin / ACE Impact Benin</w:t>
            </w:r>
          </w:p>
        </w:tc>
        <w:tc>
          <w:tcPr>
            <w:tcW w:w="1476" w:type="dxa"/>
            <w:hideMark/>
          </w:tcPr>
          <w:p w14:paraId="296C5BD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4,300,000.00</w:t>
            </w:r>
          </w:p>
        </w:tc>
        <w:tc>
          <w:tcPr>
            <w:tcW w:w="847" w:type="dxa"/>
            <w:hideMark/>
          </w:tcPr>
          <w:p w14:paraId="3D0B15E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D54028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AF0E28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6305DB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8891B0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EDF206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70EA0998" w14:textId="0937297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21E1B36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BB0B82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Benin / Guide local actors in market diffusion of Nubian vault</w:t>
            </w:r>
          </w:p>
        </w:tc>
        <w:tc>
          <w:tcPr>
            <w:tcW w:w="1476" w:type="dxa"/>
            <w:hideMark/>
          </w:tcPr>
          <w:p w14:paraId="75950C8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1,300,000.00</w:t>
            </w:r>
          </w:p>
        </w:tc>
        <w:tc>
          <w:tcPr>
            <w:tcW w:w="847" w:type="dxa"/>
            <w:hideMark/>
          </w:tcPr>
          <w:p w14:paraId="720D790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9E88BA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94299F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B18EB0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5FD26A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BC1074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741C9A6" w14:textId="215B9D8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7B12619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AAB746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Innovative and ecological water treatment system</w:t>
            </w:r>
          </w:p>
        </w:tc>
        <w:tc>
          <w:tcPr>
            <w:tcW w:w="1476" w:type="dxa"/>
            <w:hideMark/>
          </w:tcPr>
          <w:p w14:paraId="4E9E011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573,000.00</w:t>
            </w:r>
          </w:p>
        </w:tc>
        <w:tc>
          <w:tcPr>
            <w:tcW w:w="847" w:type="dxa"/>
            <w:hideMark/>
          </w:tcPr>
          <w:p w14:paraId="1E9CAF7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C0529F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280DF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4ABEAA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257197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22788E3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05F3F533" w14:textId="02091DB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C584D8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B37DE2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Optimization of low tension city networks</w:t>
            </w:r>
          </w:p>
        </w:tc>
        <w:tc>
          <w:tcPr>
            <w:tcW w:w="1476" w:type="dxa"/>
            <w:hideMark/>
          </w:tcPr>
          <w:p w14:paraId="7952BD2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11,743.00</w:t>
            </w:r>
          </w:p>
        </w:tc>
        <w:tc>
          <w:tcPr>
            <w:tcW w:w="847" w:type="dxa"/>
            <w:hideMark/>
          </w:tcPr>
          <w:p w14:paraId="762FA7C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D4588D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F9F757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369925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420247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022E13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527A0FF" w14:textId="4037CC1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0DB81D8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2A3D7D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Solar plant financing</w:t>
            </w:r>
          </w:p>
        </w:tc>
        <w:tc>
          <w:tcPr>
            <w:tcW w:w="1476" w:type="dxa"/>
            <w:hideMark/>
          </w:tcPr>
          <w:p w14:paraId="029B2C3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9,300,000.00</w:t>
            </w:r>
          </w:p>
        </w:tc>
        <w:tc>
          <w:tcPr>
            <w:tcW w:w="847" w:type="dxa"/>
            <w:hideMark/>
          </w:tcPr>
          <w:p w14:paraId="15FD0CA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7DB637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683ECA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2E1A986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D54E00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C22A8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8B89EFC" w14:textId="0629D3B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6581C25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B51F18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Solar plant financing</w:t>
            </w:r>
          </w:p>
        </w:tc>
        <w:tc>
          <w:tcPr>
            <w:tcW w:w="1476" w:type="dxa"/>
            <w:hideMark/>
          </w:tcPr>
          <w:p w14:paraId="41AAA87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6,900,000.00</w:t>
            </w:r>
          </w:p>
        </w:tc>
        <w:tc>
          <w:tcPr>
            <w:tcW w:w="847" w:type="dxa"/>
            <w:hideMark/>
          </w:tcPr>
          <w:p w14:paraId="4B0CFB7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C17430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373D5C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7DDD633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1346E6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37D3B0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64DE61D" w14:textId="67CA1CAE"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2D9BC8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E08B12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Improvement and securing of agricultural production</w:t>
            </w:r>
          </w:p>
        </w:tc>
        <w:tc>
          <w:tcPr>
            <w:tcW w:w="1476" w:type="dxa"/>
            <w:hideMark/>
          </w:tcPr>
          <w:p w14:paraId="6E82396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10,000,000.00</w:t>
            </w:r>
          </w:p>
        </w:tc>
        <w:tc>
          <w:tcPr>
            <w:tcW w:w="847" w:type="dxa"/>
            <w:hideMark/>
          </w:tcPr>
          <w:p w14:paraId="14E122C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BFEDCD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B6A193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055296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E22C5A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706C64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9F18DCC" w14:textId="5BA52C6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9E1C4E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623473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Improvement and securing of agricultural production</w:t>
            </w:r>
          </w:p>
        </w:tc>
        <w:tc>
          <w:tcPr>
            <w:tcW w:w="1476" w:type="dxa"/>
            <w:hideMark/>
          </w:tcPr>
          <w:p w14:paraId="326FC24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10,000,000.00</w:t>
            </w:r>
          </w:p>
        </w:tc>
        <w:tc>
          <w:tcPr>
            <w:tcW w:w="847" w:type="dxa"/>
            <w:hideMark/>
          </w:tcPr>
          <w:p w14:paraId="047DDC1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B71293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F46C1B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881DC2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8E77BD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386BF5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3687874" w14:textId="4DDAE76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FD552C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54C4FD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Improvement and securing of agricultural production</w:t>
            </w:r>
          </w:p>
        </w:tc>
        <w:tc>
          <w:tcPr>
            <w:tcW w:w="1476" w:type="dxa"/>
            <w:hideMark/>
          </w:tcPr>
          <w:p w14:paraId="5BA027E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3,500,000.00</w:t>
            </w:r>
          </w:p>
        </w:tc>
        <w:tc>
          <w:tcPr>
            <w:tcW w:w="847" w:type="dxa"/>
            <w:hideMark/>
          </w:tcPr>
          <w:p w14:paraId="2A287EC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E93427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269002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138CCC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B15205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485D9C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E01A2F4" w14:textId="52D0A57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B2E37E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5D5FBA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Improvement and securing of agricultural production</w:t>
            </w:r>
          </w:p>
        </w:tc>
        <w:tc>
          <w:tcPr>
            <w:tcW w:w="1476" w:type="dxa"/>
            <w:hideMark/>
          </w:tcPr>
          <w:p w14:paraId="4D24219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3,500,000.00</w:t>
            </w:r>
          </w:p>
        </w:tc>
        <w:tc>
          <w:tcPr>
            <w:tcW w:w="847" w:type="dxa"/>
            <w:hideMark/>
          </w:tcPr>
          <w:p w14:paraId="7E2880B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2DF639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EFC9A2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BB2C59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452788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AE6FB5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A44C45F" w14:textId="45D34FB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FD8840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724102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Support to decentralisation and local and regional authorities (PADCT in French)</w:t>
            </w:r>
          </w:p>
        </w:tc>
        <w:tc>
          <w:tcPr>
            <w:tcW w:w="1476" w:type="dxa"/>
            <w:hideMark/>
          </w:tcPr>
          <w:p w14:paraId="0D8D9E7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w:t>
            </w:r>
          </w:p>
        </w:tc>
        <w:tc>
          <w:tcPr>
            <w:tcW w:w="847" w:type="dxa"/>
            <w:hideMark/>
          </w:tcPr>
          <w:p w14:paraId="0D03ED7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ABA436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6B8975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292C50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39DE1B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AE8A4E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2A0B556A" w14:textId="34723D7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373E8E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04D9CB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Support to decentralisation and local and regional authorities (PADCT in French)</w:t>
            </w:r>
          </w:p>
        </w:tc>
        <w:tc>
          <w:tcPr>
            <w:tcW w:w="1476" w:type="dxa"/>
            <w:hideMark/>
          </w:tcPr>
          <w:p w14:paraId="3C81FDB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1,750,000.00</w:t>
            </w:r>
          </w:p>
        </w:tc>
        <w:tc>
          <w:tcPr>
            <w:tcW w:w="847" w:type="dxa"/>
            <w:hideMark/>
          </w:tcPr>
          <w:p w14:paraId="61EEF1C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6BF470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3148D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6796CB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B4D63A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2F3F09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1361367C" w14:textId="0D0C23A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35F6CE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0BB703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Project to strenghten the resilience of drinkable water public services in a context of crisis</w:t>
            </w:r>
          </w:p>
        </w:tc>
        <w:tc>
          <w:tcPr>
            <w:tcW w:w="1476" w:type="dxa"/>
            <w:hideMark/>
          </w:tcPr>
          <w:p w14:paraId="11CCB69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1,500,000.00</w:t>
            </w:r>
          </w:p>
        </w:tc>
        <w:tc>
          <w:tcPr>
            <w:tcW w:w="847" w:type="dxa"/>
            <w:hideMark/>
          </w:tcPr>
          <w:p w14:paraId="758572B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B8E57E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ECF242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BAA502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FD177D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1EED86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22F1DAB1" w14:textId="54D50A7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F6682B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EE1A10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Live and live better in non planned areas</w:t>
            </w:r>
          </w:p>
        </w:tc>
        <w:tc>
          <w:tcPr>
            <w:tcW w:w="1476" w:type="dxa"/>
            <w:hideMark/>
          </w:tcPr>
          <w:p w14:paraId="60EB4B7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w:t>
            </w:r>
          </w:p>
        </w:tc>
        <w:tc>
          <w:tcPr>
            <w:tcW w:w="847" w:type="dxa"/>
            <w:hideMark/>
          </w:tcPr>
          <w:p w14:paraId="3DBB818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D64FBB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618CBD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050810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B718F9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E9DEB8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4B62265C" w14:textId="6F2EDDE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3DAE5AC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AB1AAE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Burkina Faso / Help and action - Together for Resilient Public Action against crises</w:t>
            </w:r>
          </w:p>
        </w:tc>
        <w:tc>
          <w:tcPr>
            <w:tcW w:w="1476" w:type="dxa"/>
            <w:hideMark/>
          </w:tcPr>
          <w:p w14:paraId="3CF5520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w:t>
            </w:r>
          </w:p>
        </w:tc>
        <w:tc>
          <w:tcPr>
            <w:tcW w:w="847" w:type="dxa"/>
            <w:hideMark/>
          </w:tcPr>
          <w:p w14:paraId="2A57C92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4CCC0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DFCE93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A8C6BC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80F87F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6E0AE7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64918529" w14:textId="406DCC5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5B4E9F3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4DC3DF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Local energy transition (energy production, storage and energy efficiency, intelligent monitoring of flux)</w:t>
            </w:r>
          </w:p>
        </w:tc>
        <w:tc>
          <w:tcPr>
            <w:tcW w:w="1476" w:type="dxa"/>
            <w:hideMark/>
          </w:tcPr>
          <w:p w14:paraId="7041C16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w:t>
            </w:r>
          </w:p>
        </w:tc>
        <w:tc>
          <w:tcPr>
            <w:tcW w:w="847" w:type="dxa"/>
            <w:hideMark/>
          </w:tcPr>
          <w:p w14:paraId="25A5B81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193B67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ACD212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A7E523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B2457C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C4935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F89FA28" w14:textId="2F7F918E"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C248AE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23E837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Ecological and portable toilets in the town of Yaoundé</w:t>
            </w:r>
          </w:p>
        </w:tc>
        <w:tc>
          <w:tcPr>
            <w:tcW w:w="1476" w:type="dxa"/>
            <w:hideMark/>
          </w:tcPr>
          <w:p w14:paraId="6345D2C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469,300.00</w:t>
            </w:r>
          </w:p>
        </w:tc>
        <w:tc>
          <w:tcPr>
            <w:tcW w:w="847" w:type="dxa"/>
            <w:hideMark/>
          </w:tcPr>
          <w:p w14:paraId="08B3193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9DC454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25A81E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536048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457D2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4839524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5A16EA3A" w14:textId="2EE145CE"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504FDE3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0F0FBC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Study for the projet of hydroelectric dam in Kekem</w:t>
            </w:r>
          </w:p>
        </w:tc>
        <w:tc>
          <w:tcPr>
            <w:tcW w:w="1476" w:type="dxa"/>
            <w:hideMark/>
          </w:tcPr>
          <w:p w14:paraId="17F909C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695,118.00</w:t>
            </w:r>
          </w:p>
        </w:tc>
        <w:tc>
          <w:tcPr>
            <w:tcW w:w="847" w:type="dxa"/>
            <w:hideMark/>
          </w:tcPr>
          <w:p w14:paraId="47F88EA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58660F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F42763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3BED6D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B44669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3A20BE6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535E99D" w14:textId="119BBE5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FBAED4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30D987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Implementation of tools against atmospheric pollution in Yaoundé</w:t>
            </w:r>
          </w:p>
        </w:tc>
        <w:tc>
          <w:tcPr>
            <w:tcW w:w="1476" w:type="dxa"/>
            <w:hideMark/>
          </w:tcPr>
          <w:p w14:paraId="5B9EB99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568,450.00</w:t>
            </w:r>
          </w:p>
        </w:tc>
        <w:tc>
          <w:tcPr>
            <w:tcW w:w="847" w:type="dxa"/>
            <w:hideMark/>
          </w:tcPr>
          <w:p w14:paraId="73429DB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DA9305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EB1A40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FEE492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379483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ED53BA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(pollution)</w:t>
            </w:r>
          </w:p>
        </w:tc>
        <w:tc>
          <w:tcPr>
            <w:tcW w:w="2031" w:type="dxa"/>
            <w:hideMark/>
          </w:tcPr>
          <w:p w14:paraId="655E5A4B" w14:textId="657EDC1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8F82A9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12D843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Land management plateform and monitoring of agricultural productions</w:t>
            </w:r>
          </w:p>
        </w:tc>
        <w:tc>
          <w:tcPr>
            <w:tcW w:w="1476" w:type="dxa"/>
            <w:hideMark/>
          </w:tcPr>
          <w:p w14:paraId="7A35766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613,615.00</w:t>
            </w:r>
          </w:p>
        </w:tc>
        <w:tc>
          <w:tcPr>
            <w:tcW w:w="847" w:type="dxa"/>
            <w:hideMark/>
          </w:tcPr>
          <w:p w14:paraId="700C8AE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C39F4B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66E1C3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93D875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87D8C7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2381863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B07E565" w14:textId="58152A6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1593806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387712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Inclusive finance in Africa facing ecological and social transition challenges: stakes and capacity building of African actors with a innovative and adapted training offer</w:t>
            </w:r>
          </w:p>
        </w:tc>
        <w:tc>
          <w:tcPr>
            <w:tcW w:w="1476" w:type="dxa"/>
            <w:hideMark/>
          </w:tcPr>
          <w:p w14:paraId="1E0B92E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650,000.00</w:t>
            </w:r>
          </w:p>
        </w:tc>
        <w:tc>
          <w:tcPr>
            <w:tcW w:w="847" w:type="dxa"/>
            <w:hideMark/>
          </w:tcPr>
          <w:p w14:paraId="3D10275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FC2635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F69CA8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88CB48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8F5899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3EAB24D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46B1298A" w14:textId="635B208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25C244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6B0DCA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Support to the development of pro-biodiversity agricultural sectors</w:t>
            </w:r>
          </w:p>
        </w:tc>
        <w:tc>
          <w:tcPr>
            <w:tcW w:w="1476" w:type="dxa"/>
            <w:hideMark/>
          </w:tcPr>
          <w:p w14:paraId="5A0D130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2,500,000.00</w:t>
            </w:r>
          </w:p>
        </w:tc>
        <w:tc>
          <w:tcPr>
            <w:tcW w:w="847" w:type="dxa"/>
            <w:hideMark/>
          </w:tcPr>
          <w:p w14:paraId="42A108F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6E2598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492644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F1E649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C04E7E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341E2A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1A1418A" w14:textId="7F89792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AFD/STOA</w:t>
            </w:r>
          </w:p>
        </w:tc>
      </w:tr>
      <w:tr w:rsidR="00927E59" w:rsidRPr="005B54EE" w14:paraId="615D0E4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3E9574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Cameroon / Hydropower dam (Nachtigal)</w:t>
            </w:r>
          </w:p>
        </w:tc>
        <w:tc>
          <w:tcPr>
            <w:tcW w:w="1476" w:type="dxa"/>
            <w:hideMark/>
          </w:tcPr>
          <w:p w14:paraId="49C6B05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33,000,000.00</w:t>
            </w:r>
          </w:p>
        </w:tc>
        <w:tc>
          <w:tcPr>
            <w:tcW w:w="847" w:type="dxa"/>
            <w:hideMark/>
          </w:tcPr>
          <w:p w14:paraId="6668C1A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BD992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4E7ADC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0703616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16" w:type="dxa"/>
            <w:hideMark/>
          </w:tcPr>
          <w:p w14:paraId="27BD3EC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21F451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4AB7966" w14:textId="31F8B51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2CBF5F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9FA8E6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Central African Republic / Rehabilitation of the bypass road of Bangui airport</w:t>
            </w:r>
          </w:p>
        </w:tc>
        <w:tc>
          <w:tcPr>
            <w:tcW w:w="1476" w:type="dxa"/>
            <w:hideMark/>
          </w:tcPr>
          <w:p w14:paraId="2C366EA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w:t>
            </w:r>
          </w:p>
        </w:tc>
        <w:tc>
          <w:tcPr>
            <w:tcW w:w="847" w:type="dxa"/>
            <w:hideMark/>
          </w:tcPr>
          <w:p w14:paraId="3F40811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8A6446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D9BCBF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CED59D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89C580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0EA1D5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0073BAA5" w14:textId="6CEDE57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90DF3F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5A84DD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Chad / Drinkable water supply of NDjaména via the rehabilitation and network extension and strenghtening of the Chadian Society of Waters</w:t>
            </w:r>
          </w:p>
        </w:tc>
        <w:tc>
          <w:tcPr>
            <w:tcW w:w="1476" w:type="dxa"/>
            <w:hideMark/>
          </w:tcPr>
          <w:p w14:paraId="74BF043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7,500,000.00</w:t>
            </w:r>
          </w:p>
        </w:tc>
        <w:tc>
          <w:tcPr>
            <w:tcW w:w="847" w:type="dxa"/>
            <w:hideMark/>
          </w:tcPr>
          <w:p w14:paraId="5F11033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AB594B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317501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067E51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CCB497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DCE2BF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397A0491" w14:textId="120705C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34B143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755E50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Chad / Binder Léré Park as a sustainable land management tool, development of populations and biodiversity conservation</w:t>
            </w:r>
          </w:p>
        </w:tc>
        <w:tc>
          <w:tcPr>
            <w:tcW w:w="1476" w:type="dxa"/>
            <w:hideMark/>
          </w:tcPr>
          <w:p w14:paraId="45415A7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2,400,000.00</w:t>
            </w:r>
          </w:p>
        </w:tc>
        <w:tc>
          <w:tcPr>
            <w:tcW w:w="847" w:type="dxa"/>
            <w:hideMark/>
          </w:tcPr>
          <w:p w14:paraId="7738AE9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48FDB5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DDF2AE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57E52A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A36F1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8CFDB0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912DA3D" w14:textId="3924161D"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59FFD8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252D1A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Chad / Binder Léré Park as a sustainable land management tool, development of populations and biodiversity conservation</w:t>
            </w:r>
          </w:p>
        </w:tc>
        <w:tc>
          <w:tcPr>
            <w:tcW w:w="1476" w:type="dxa"/>
            <w:hideMark/>
          </w:tcPr>
          <w:p w14:paraId="1E41C77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5,600,000.00</w:t>
            </w:r>
          </w:p>
        </w:tc>
        <w:tc>
          <w:tcPr>
            <w:tcW w:w="847" w:type="dxa"/>
            <w:hideMark/>
          </w:tcPr>
          <w:p w14:paraId="5C8CF05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5EE60C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5046EB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6183EF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B3382E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232ED6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76CB704C" w14:textId="677C7A0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3D6808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5CF41B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Chad / Chad Lake Initiative for land development of Kanem and Bahr El Ghazal</w:t>
            </w:r>
          </w:p>
        </w:tc>
        <w:tc>
          <w:tcPr>
            <w:tcW w:w="1476" w:type="dxa"/>
            <w:hideMark/>
          </w:tcPr>
          <w:p w14:paraId="4B1929E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2,380,000.00</w:t>
            </w:r>
          </w:p>
        </w:tc>
        <w:tc>
          <w:tcPr>
            <w:tcW w:w="847" w:type="dxa"/>
            <w:hideMark/>
          </w:tcPr>
          <w:p w14:paraId="1F6958A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77A374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6A6DB3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A34603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65CD1C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1E8ECC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2FCF6EB2" w14:textId="19D22BD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3AA0D6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70E6B8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Affordable and sustainable housing</w:t>
            </w:r>
          </w:p>
        </w:tc>
        <w:tc>
          <w:tcPr>
            <w:tcW w:w="1476" w:type="dxa"/>
            <w:hideMark/>
          </w:tcPr>
          <w:p w14:paraId="1F40E14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694,000.00</w:t>
            </w:r>
          </w:p>
        </w:tc>
        <w:tc>
          <w:tcPr>
            <w:tcW w:w="847" w:type="dxa"/>
            <w:hideMark/>
          </w:tcPr>
          <w:p w14:paraId="170E5D1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D1548F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49C11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253893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9C2ACD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1C6D62A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 And Management)</w:t>
            </w:r>
          </w:p>
        </w:tc>
        <w:tc>
          <w:tcPr>
            <w:tcW w:w="2031" w:type="dxa"/>
            <w:hideMark/>
          </w:tcPr>
          <w:p w14:paraId="2B6DF057" w14:textId="0C9CDB6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26EC287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DCFF89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Reliable, affordable and sustainable electricity in Bingerville</w:t>
            </w:r>
          </w:p>
        </w:tc>
        <w:tc>
          <w:tcPr>
            <w:tcW w:w="1476" w:type="dxa"/>
            <w:hideMark/>
          </w:tcPr>
          <w:p w14:paraId="4E7F7A3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528,000.00</w:t>
            </w:r>
          </w:p>
        </w:tc>
        <w:tc>
          <w:tcPr>
            <w:tcW w:w="847" w:type="dxa"/>
            <w:hideMark/>
          </w:tcPr>
          <w:p w14:paraId="0B814C6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A5CE7E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938821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7E4C1F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DF11CD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5ECE36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5BDC2108" w14:textId="4CFCA40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7B5823B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CD9410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Study for the first part of sanitation project in Yopougon</w:t>
            </w:r>
          </w:p>
        </w:tc>
        <w:tc>
          <w:tcPr>
            <w:tcW w:w="1476" w:type="dxa"/>
            <w:hideMark/>
          </w:tcPr>
          <w:p w14:paraId="45A0CE0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847,452.00</w:t>
            </w:r>
          </w:p>
        </w:tc>
        <w:tc>
          <w:tcPr>
            <w:tcW w:w="847" w:type="dxa"/>
            <w:hideMark/>
          </w:tcPr>
          <w:p w14:paraId="450C177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BED09E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FA2667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441EB3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FE9DD8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19E516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04A2F9DC" w14:textId="6DBB1C5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79B62B7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F5E350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Smart transport system for Abidjan</w:t>
            </w:r>
          </w:p>
        </w:tc>
        <w:tc>
          <w:tcPr>
            <w:tcW w:w="1476" w:type="dxa"/>
            <w:hideMark/>
          </w:tcPr>
          <w:p w14:paraId="5C257E4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232,819.20</w:t>
            </w:r>
          </w:p>
        </w:tc>
        <w:tc>
          <w:tcPr>
            <w:tcW w:w="847" w:type="dxa"/>
            <w:hideMark/>
          </w:tcPr>
          <w:p w14:paraId="256B165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84483D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783659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6DE17F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149659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7CA76E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5D3FF566" w14:textId="2D14570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Treasury loan</w:t>
            </w:r>
          </w:p>
        </w:tc>
      </w:tr>
      <w:tr w:rsidR="00927E59" w:rsidRPr="005B54EE" w14:paraId="424DB67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CAE2CC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Abidjan metro project management assistance</w:t>
            </w:r>
          </w:p>
        </w:tc>
        <w:tc>
          <w:tcPr>
            <w:tcW w:w="1476" w:type="dxa"/>
            <w:hideMark/>
          </w:tcPr>
          <w:p w14:paraId="20F993B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2,600,000.00</w:t>
            </w:r>
          </w:p>
        </w:tc>
        <w:tc>
          <w:tcPr>
            <w:tcW w:w="847" w:type="dxa"/>
            <w:hideMark/>
          </w:tcPr>
          <w:p w14:paraId="21A45B6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95421D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BA211C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4390409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(Loan)</w:t>
            </w:r>
          </w:p>
        </w:tc>
        <w:tc>
          <w:tcPr>
            <w:tcW w:w="1016" w:type="dxa"/>
            <w:hideMark/>
          </w:tcPr>
          <w:p w14:paraId="100A466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53BD90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14029653" w14:textId="6384EEB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F41109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A5D8B3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Third phase of the financing "Development of education, formation, youth integration" (DEFI 3)</w:t>
            </w:r>
          </w:p>
        </w:tc>
        <w:tc>
          <w:tcPr>
            <w:tcW w:w="1476" w:type="dxa"/>
            <w:hideMark/>
          </w:tcPr>
          <w:p w14:paraId="31B24EE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39,390,000.00</w:t>
            </w:r>
          </w:p>
        </w:tc>
        <w:tc>
          <w:tcPr>
            <w:tcW w:w="847" w:type="dxa"/>
            <w:hideMark/>
          </w:tcPr>
          <w:p w14:paraId="2089441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D06EAB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D677B0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5E84BE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BB4E73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617CE7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1A58E475" w14:textId="3E44365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648C92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E25E0D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Project Resilience of cotton systems in the North of Ivory Coast</w:t>
            </w:r>
          </w:p>
        </w:tc>
        <w:tc>
          <w:tcPr>
            <w:tcW w:w="1476" w:type="dxa"/>
            <w:hideMark/>
          </w:tcPr>
          <w:p w14:paraId="6E2EB71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40,000,000.00</w:t>
            </w:r>
          </w:p>
        </w:tc>
        <w:tc>
          <w:tcPr>
            <w:tcW w:w="847" w:type="dxa"/>
            <w:hideMark/>
          </w:tcPr>
          <w:p w14:paraId="1132252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BC7129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F202BA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03688F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73259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19BC7A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0479C6E" w14:textId="55A6787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FFEM</w:t>
            </w:r>
          </w:p>
        </w:tc>
      </w:tr>
      <w:tr w:rsidR="00927E59" w:rsidRPr="005B54EE" w14:paraId="7B1339B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159C8E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Côte D'ivoire / Soil restauration and degraded forest landscapes in Ivory Coast</w:t>
            </w:r>
          </w:p>
        </w:tc>
        <w:tc>
          <w:tcPr>
            <w:tcW w:w="1476" w:type="dxa"/>
            <w:hideMark/>
          </w:tcPr>
          <w:p w14:paraId="2C7DA8E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600,000.00</w:t>
            </w:r>
          </w:p>
        </w:tc>
        <w:tc>
          <w:tcPr>
            <w:tcW w:w="847" w:type="dxa"/>
            <w:hideMark/>
          </w:tcPr>
          <w:p w14:paraId="6BC47A7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B9BAA1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DD9BD8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548B74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1AC642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D8B16F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BFBEF2C" w14:textId="1694051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994C08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B9AB77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Comoros / Improvement of scolar environment in the Comores (PDFC)</w:t>
            </w:r>
          </w:p>
        </w:tc>
        <w:tc>
          <w:tcPr>
            <w:tcW w:w="1476" w:type="dxa"/>
            <w:hideMark/>
          </w:tcPr>
          <w:p w14:paraId="697D25D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4,378,000.00</w:t>
            </w:r>
          </w:p>
        </w:tc>
        <w:tc>
          <w:tcPr>
            <w:tcW w:w="847" w:type="dxa"/>
            <w:hideMark/>
          </w:tcPr>
          <w:p w14:paraId="0122CD7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F30B52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AA1929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381D43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6B7B92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14789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006E1127" w14:textId="0359C8DE"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B3F87B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AAA360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Comoros / Improvement of scolar environment in the Comores (PDFC)</w:t>
            </w:r>
          </w:p>
        </w:tc>
        <w:tc>
          <w:tcPr>
            <w:tcW w:w="1476" w:type="dxa"/>
            <w:hideMark/>
          </w:tcPr>
          <w:p w14:paraId="6EE7D17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5,970,000.00</w:t>
            </w:r>
          </w:p>
        </w:tc>
        <w:tc>
          <w:tcPr>
            <w:tcW w:w="847" w:type="dxa"/>
            <w:hideMark/>
          </w:tcPr>
          <w:p w14:paraId="4E5AE04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F5BB46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C23AEE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FF8A5B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0FA04E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29A8D8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1E3325D8" w14:textId="71D1653D"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D84D65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F47474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Comoros / Improvement of scolar environment in the Comores (PDFC)</w:t>
            </w:r>
          </w:p>
        </w:tc>
        <w:tc>
          <w:tcPr>
            <w:tcW w:w="1476" w:type="dxa"/>
            <w:hideMark/>
          </w:tcPr>
          <w:p w14:paraId="2C877FE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22,000.00</w:t>
            </w:r>
          </w:p>
        </w:tc>
        <w:tc>
          <w:tcPr>
            <w:tcW w:w="847" w:type="dxa"/>
            <w:hideMark/>
          </w:tcPr>
          <w:p w14:paraId="6541E74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C536BE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75EA10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4557BC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E79D45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2D3C1A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30BA1358" w14:textId="0B82A20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F9BFA4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C20548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Comoros / Improvement of scolar environment in the Comores (PDFC)</w:t>
            </w:r>
          </w:p>
        </w:tc>
        <w:tc>
          <w:tcPr>
            <w:tcW w:w="1476" w:type="dxa"/>
            <w:hideMark/>
          </w:tcPr>
          <w:p w14:paraId="1F576F1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w:t>
            </w:r>
          </w:p>
        </w:tc>
        <w:tc>
          <w:tcPr>
            <w:tcW w:w="847" w:type="dxa"/>
            <w:hideMark/>
          </w:tcPr>
          <w:p w14:paraId="784CEFE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A9DA15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C42F6F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0087D2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0B70A5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914105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01C3623A" w14:textId="45B9B91E"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6E32CA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DDD39E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Comoros / Strenghtening the resilience of COI countries by the development of improved meteorologic, hydrologic and climate services (Hydromet)</w:t>
            </w:r>
          </w:p>
        </w:tc>
        <w:tc>
          <w:tcPr>
            <w:tcW w:w="1476" w:type="dxa"/>
            <w:hideMark/>
          </w:tcPr>
          <w:p w14:paraId="0B03480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w:t>
            </w:r>
          </w:p>
        </w:tc>
        <w:tc>
          <w:tcPr>
            <w:tcW w:w="847" w:type="dxa"/>
            <w:hideMark/>
          </w:tcPr>
          <w:p w14:paraId="17EF311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E3A7B6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49CB53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AE0216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36DFE8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DCB3F9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69525712" w14:textId="6882AB1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4FB5B5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433BCD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Congo / Programme of sustainable land use in the Republic of Congo</w:t>
            </w:r>
          </w:p>
        </w:tc>
        <w:tc>
          <w:tcPr>
            <w:tcW w:w="1476" w:type="dxa"/>
            <w:hideMark/>
          </w:tcPr>
          <w:p w14:paraId="6FE1096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6,300,000.00</w:t>
            </w:r>
          </w:p>
        </w:tc>
        <w:tc>
          <w:tcPr>
            <w:tcW w:w="847" w:type="dxa"/>
            <w:hideMark/>
          </w:tcPr>
          <w:p w14:paraId="2731B6B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93A5FD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F7CB10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D9F0F5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A1B406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281E50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C3B9621" w14:textId="01B5E05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973F6B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9ECBD7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Congo / Programme of sustainable land use in the Republic of Congo</w:t>
            </w:r>
          </w:p>
        </w:tc>
        <w:tc>
          <w:tcPr>
            <w:tcW w:w="1476" w:type="dxa"/>
            <w:hideMark/>
          </w:tcPr>
          <w:p w14:paraId="0A2EB29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700,000.00</w:t>
            </w:r>
          </w:p>
        </w:tc>
        <w:tc>
          <w:tcPr>
            <w:tcW w:w="847" w:type="dxa"/>
            <w:hideMark/>
          </w:tcPr>
          <w:p w14:paraId="3C87061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3010D5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A68FDB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8DB650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3BE77F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D0CCC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F090E3D" w14:textId="11ECDBCE"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FFEM</w:t>
            </w:r>
          </w:p>
        </w:tc>
      </w:tr>
      <w:tr w:rsidR="00927E59" w:rsidRPr="005B54EE" w14:paraId="67E34D9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0CC283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Congo / Pilote project about the elaboration of information system on water for adaptation to climate changes in the Congo Basin</w:t>
            </w:r>
          </w:p>
        </w:tc>
        <w:tc>
          <w:tcPr>
            <w:tcW w:w="1476" w:type="dxa"/>
            <w:hideMark/>
          </w:tcPr>
          <w:p w14:paraId="7330859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w:t>
            </w:r>
          </w:p>
        </w:tc>
        <w:tc>
          <w:tcPr>
            <w:tcW w:w="847" w:type="dxa"/>
            <w:hideMark/>
          </w:tcPr>
          <w:p w14:paraId="2783205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C7BB17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055287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DFDE9B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0FD04A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5A934D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175D0DB3" w14:textId="46F22F3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21DE235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624713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(république Démocratique Du Congo) / Solar network development and refinancing</w:t>
            </w:r>
          </w:p>
        </w:tc>
        <w:tc>
          <w:tcPr>
            <w:tcW w:w="1476" w:type="dxa"/>
            <w:hideMark/>
          </w:tcPr>
          <w:p w14:paraId="0F18699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w:t>
            </w:r>
          </w:p>
        </w:tc>
        <w:tc>
          <w:tcPr>
            <w:tcW w:w="847" w:type="dxa"/>
            <w:hideMark/>
          </w:tcPr>
          <w:p w14:paraId="3698273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626376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3279DD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21DF28E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09302F8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89C658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42F09057" w14:textId="35B4ECB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37918A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1FE69E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(république Démocratique Du Congo) / Adduction project of drinkable water Mpungwe-Bukavu</w:t>
            </w:r>
          </w:p>
        </w:tc>
        <w:tc>
          <w:tcPr>
            <w:tcW w:w="1476" w:type="dxa"/>
            <w:hideMark/>
          </w:tcPr>
          <w:p w14:paraId="78312CE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13,500,000.00</w:t>
            </w:r>
          </w:p>
        </w:tc>
        <w:tc>
          <w:tcPr>
            <w:tcW w:w="847" w:type="dxa"/>
            <w:hideMark/>
          </w:tcPr>
          <w:p w14:paraId="1193F13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39A4C8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175FC8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665B71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72CA97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76F337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0015E830" w14:textId="1CCD7D9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6B6C58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7B4C19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(république Démocratique Du Congo) / Programme of strenghtening of the health system in two health zones in the province of North Kivu</w:t>
            </w:r>
          </w:p>
        </w:tc>
        <w:tc>
          <w:tcPr>
            <w:tcW w:w="1476" w:type="dxa"/>
            <w:hideMark/>
          </w:tcPr>
          <w:p w14:paraId="2C73F1C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1,350,000.00</w:t>
            </w:r>
          </w:p>
        </w:tc>
        <w:tc>
          <w:tcPr>
            <w:tcW w:w="847" w:type="dxa"/>
            <w:hideMark/>
          </w:tcPr>
          <w:p w14:paraId="770E7DE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200423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EF8D5E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B31DE6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32EC33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4047AC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3AE74E61" w14:textId="55C33BE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C26B34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CC43078" w14:textId="77777777" w:rsidR="00927E59" w:rsidRPr="003402E2" w:rsidRDefault="00927E59" w:rsidP="00927E59">
            <w:pPr>
              <w:ind w:firstLineChars="100" w:firstLine="181"/>
              <w:jc w:val="left"/>
              <w:rPr>
                <w:rFonts w:ascii="Times New Roman" w:hAnsi="Times New Roman"/>
                <w:color w:val="000000"/>
                <w:sz w:val="18"/>
                <w:szCs w:val="18"/>
                <w:lang w:val="fr-FR"/>
              </w:rPr>
            </w:pPr>
            <w:r w:rsidRPr="003402E2">
              <w:rPr>
                <w:rFonts w:ascii="Times New Roman" w:hAnsi="Times New Roman"/>
                <w:sz w:val="18"/>
                <w:lang w:val="fr-FR"/>
              </w:rPr>
              <w:t>Other (république Démocratique Du Congo) / Programme Convention - Reinforcement programme of civil society initiatives for change</w:t>
            </w:r>
          </w:p>
        </w:tc>
        <w:tc>
          <w:tcPr>
            <w:tcW w:w="1476" w:type="dxa"/>
            <w:hideMark/>
          </w:tcPr>
          <w:p w14:paraId="4D844B6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w:t>
            </w:r>
          </w:p>
        </w:tc>
        <w:tc>
          <w:tcPr>
            <w:tcW w:w="847" w:type="dxa"/>
            <w:hideMark/>
          </w:tcPr>
          <w:p w14:paraId="674E7AA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8C41B4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6575EF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0E3F4D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434A94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34F0C7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7A9D35D2" w14:textId="17D8D81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324CAD6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3B8532D" w14:textId="77777777" w:rsidR="00927E59" w:rsidRPr="003402E2" w:rsidRDefault="00927E59" w:rsidP="00927E59">
            <w:pPr>
              <w:ind w:firstLineChars="100" w:firstLine="181"/>
              <w:jc w:val="left"/>
              <w:rPr>
                <w:rFonts w:ascii="Times New Roman" w:hAnsi="Times New Roman"/>
                <w:color w:val="000000"/>
                <w:sz w:val="18"/>
                <w:szCs w:val="18"/>
                <w:lang w:val="fr-FR"/>
              </w:rPr>
            </w:pPr>
            <w:r w:rsidRPr="003402E2">
              <w:rPr>
                <w:rFonts w:ascii="Times New Roman" w:hAnsi="Times New Roman"/>
                <w:sz w:val="18"/>
                <w:lang w:val="fr-FR"/>
              </w:rPr>
              <w:t>Other (république Démocratique Du Congo) / Programme Convention - Reinforcement programme of civil society initiatives for change</w:t>
            </w:r>
          </w:p>
        </w:tc>
        <w:tc>
          <w:tcPr>
            <w:tcW w:w="1476" w:type="dxa"/>
            <w:hideMark/>
          </w:tcPr>
          <w:p w14:paraId="015BE1F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w:t>
            </w:r>
          </w:p>
        </w:tc>
        <w:tc>
          <w:tcPr>
            <w:tcW w:w="847" w:type="dxa"/>
            <w:hideMark/>
          </w:tcPr>
          <w:p w14:paraId="3CF82A2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776E6B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77D4AF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CB22C8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A6299A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3AE2D8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0C159047" w14:textId="6A48834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344E7A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2A5892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Djibouti / Project of extension and strenghtening of the sanitation network of Djibouti - phase II (global projet 12 EURM)</w:t>
            </w:r>
          </w:p>
        </w:tc>
        <w:tc>
          <w:tcPr>
            <w:tcW w:w="1476" w:type="dxa"/>
            <w:hideMark/>
          </w:tcPr>
          <w:p w14:paraId="638ABE1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5,440,000.00</w:t>
            </w:r>
          </w:p>
        </w:tc>
        <w:tc>
          <w:tcPr>
            <w:tcW w:w="847" w:type="dxa"/>
            <w:hideMark/>
          </w:tcPr>
          <w:p w14:paraId="5CAB189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ADA9D4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FD0EA3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CB5FAA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C5D94C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D20CA3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3DFB785A" w14:textId="049F729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CF2FB0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5775B5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Egypt / Implementation of decentralised water treatment systems</w:t>
            </w:r>
          </w:p>
        </w:tc>
        <w:tc>
          <w:tcPr>
            <w:tcW w:w="1476" w:type="dxa"/>
            <w:hideMark/>
          </w:tcPr>
          <w:p w14:paraId="3EF7EDA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790,450.00</w:t>
            </w:r>
          </w:p>
        </w:tc>
        <w:tc>
          <w:tcPr>
            <w:tcW w:w="847" w:type="dxa"/>
            <w:hideMark/>
          </w:tcPr>
          <w:p w14:paraId="4864D95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FF399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F4FFAD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A57442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0DE668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4F104B7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3F2D03AE" w14:textId="3A3535D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BCE926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09647E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Egypt / Building of the French University of Egypt</w:t>
            </w:r>
          </w:p>
        </w:tc>
        <w:tc>
          <w:tcPr>
            <w:tcW w:w="1476" w:type="dxa"/>
            <w:hideMark/>
          </w:tcPr>
          <w:p w14:paraId="3051B13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840,000.00</w:t>
            </w:r>
          </w:p>
        </w:tc>
        <w:tc>
          <w:tcPr>
            <w:tcW w:w="847" w:type="dxa"/>
            <w:hideMark/>
          </w:tcPr>
          <w:p w14:paraId="4907DF8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E16E40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F36E44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7DFEAF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44676B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E4490D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07762DFA" w14:textId="1350C0E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29C844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ED4722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Egypt / Building of the French University of Egypt</w:t>
            </w:r>
          </w:p>
        </w:tc>
        <w:tc>
          <w:tcPr>
            <w:tcW w:w="1476" w:type="dxa"/>
            <w:hideMark/>
          </w:tcPr>
          <w:p w14:paraId="572C4D7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140,000.00</w:t>
            </w:r>
          </w:p>
        </w:tc>
        <w:tc>
          <w:tcPr>
            <w:tcW w:w="847" w:type="dxa"/>
            <w:hideMark/>
          </w:tcPr>
          <w:p w14:paraId="59A4750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52B044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E501D7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28739D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8C3D91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C6CCA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49CE8D1" w14:textId="11E5005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D0E1C0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98A5B8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Egypt / Loan of public policy in the social protection sector (phase 2)</w:t>
            </w:r>
          </w:p>
        </w:tc>
        <w:tc>
          <w:tcPr>
            <w:tcW w:w="1476" w:type="dxa"/>
            <w:hideMark/>
          </w:tcPr>
          <w:p w14:paraId="1BE5059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9,000,000.00</w:t>
            </w:r>
          </w:p>
        </w:tc>
        <w:tc>
          <w:tcPr>
            <w:tcW w:w="847" w:type="dxa"/>
            <w:hideMark/>
          </w:tcPr>
          <w:p w14:paraId="3C13F4E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4A8131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EF1683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E38FB4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B0C83B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A261B2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w:t>
            </w:r>
          </w:p>
        </w:tc>
        <w:tc>
          <w:tcPr>
            <w:tcW w:w="2031" w:type="dxa"/>
            <w:hideMark/>
          </w:tcPr>
          <w:p w14:paraId="72EBD9C4" w14:textId="13AF72A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EFDD36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15715A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Ethiopia / INTERAIDE Ethiopia - South Ethiopian Rural development</w:t>
            </w:r>
          </w:p>
        </w:tc>
        <w:tc>
          <w:tcPr>
            <w:tcW w:w="1476" w:type="dxa"/>
            <w:hideMark/>
          </w:tcPr>
          <w:p w14:paraId="04E5CBC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2,550,000.00</w:t>
            </w:r>
          </w:p>
        </w:tc>
        <w:tc>
          <w:tcPr>
            <w:tcW w:w="847" w:type="dxa"/>
            <w:hideMark/>
          </w:tcPr>
          <w:p w14:paraId="7EC8838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D6A309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DD6A59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E9C37A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A0FBD4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8DE700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787C2E01" w14:textId="1A113F5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D9BC70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AA4C83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Ethiopia / INTERAIDE Ethiopia - South Ethiopian Rural development</w:t>
            </w:r>
          </w:p>
        </w:tc>
        <w:tc>
          <w:tcPr>
            <w:tcW w:w="1476" w:type="dxa"/>
            <w:hideMark/>
          </w:tcPr>
          <w:p w14:paraId="1EA130E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2,000,000.00</w:t>
            </w:r>
          </w:p>
        </w:tc>
        <w:tc>
          <w:tcPr>
            <w:tcW w:w="847" w:type="dxa"/>
            <w:hideMark/>
          </w:tcPr>
          <w:p w14:paraId="28DF039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E99654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DCE980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9AB127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2F05BD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9FFFD3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CA19347" w14:textId="7E25620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4EC39BD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C2F7F9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Ethiopia / INTERAIDE Ethiopia - South Ethiopian Rural development</w:t>
            </w:r>
          </w:p>
        </w:tc>
        <w:tc>
          <w:tcPr>
            <w:tcW w:w="1476" w:type="dxa"/>
            <w:hideMark/>
          </w:tcPr>
          <w:p w14:paraId="753F474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w:t>
            </w:r>
          </w:p>
        </w:tc>
        <w:tc>
          <w:tcPr>
            <w:tcW w:w="847" w:type="dxa"/>
            <w:hideMark/>
          </w:tcPr>
          <w:p w14:paraId="179D82D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0B0960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1780E9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5D4895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5A61B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067095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6BDE6B34" w14:textId="34F3D7A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75893F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13F050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Gambia / Resilience of Organisations for Transformative Smallholder Agriculture</w:t>
            </w:r>
          </w:p>
        </w:tc>
        <w:tc>
          <w:tcPr>
            <w:tcW w:w="1476" w:type="dxa"/>
            <w:hideMark/>
          </w:tcPr>
          <w:p w14:paraId="29B11A5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2,730,000.00</w:t>
            </w:r>
          </w:p>
        </w:tc>
        <w:tc>
          <w:tcPr>
            <w:tcW w:w="847" w:type="dxa"/>
            <w:hideMark/>
          </w:tcPr>
          <w:p w14:paraId="0A4D317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E6E4C6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8753C5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499CA2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AECF22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F121CD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4E9C5DE" w14:textId="710D8BA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447130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C322F8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Ghana / Credit Line to Ghana Infrastructure Investment Fund (GIIF)</w:t>
            </w:r>
          </w:p>
        </w:tc>
        <w:tc>
          <w:tcPr>
            <w:tcW w:w="1476" w:type="dxa"/>
            <w:hideMark/>
          </w:tcPr>
          <w:p w14:paraId="6C56D12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7,528,119.80</w:t>
            </w:r>
          </w:p>
        </w:tc>
        <w:tc>
          <w:tcPr>
            <w:tcW w:w="847" w:type="dxa"/>
            <w:hideMark/>
          </w:tcPr>
          <w:p w14:paraId="59A256A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3E21E6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4B52CE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589AC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DB18F1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FCB019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1A095D25" w14:textId="1C0E3E1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53ADBB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5B100E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Ghana / Credit Line to Ghana Infrastructure Investment Fund (GIIF)</w:t>
            </w:r>
          </w:p>
        </w:tc>
        <w:tc>
          <w:tcPr>
            <w:tcW w:w="1476" w:type="dxa"/>
            <w:hideMark/>
          </w:tcPr>
          <w:p w14:paraId="527C7B5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30,112,479.20</w:t>
            </w:r>
          </w:p>
        </w:tc>
        <w:tc>
          <w:tcPr>
            <w:tcW w:w="847" w:type="dxa"/>
            <w:hideMark/>
          </w:tcPr>
          <w:p w14:paraId="0C9518F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EEAA8F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B602C2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38983C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D91D7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EF6619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0D0B4AA2" w14:textId="2DF977C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2724BF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E0C553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Ghana / Project of agricultural management of water in the North West of Ghana</w:t>
            </w:r>
          </w:p>
        </w:tc>
        <w:tc>
          <w:tcPr>
            <w:tcW w:w="1476" w:type="dxa"/>
            <w:hideMark/>
          </w:tcPr>
          <w:p w14:paraId="7A2E3FB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3,500,000.00</w:t>
            </w:r>
          </w:p>
        </w:tc>
        <w:tc>
          <w:tcPr>
            <w:tcW w:w="847" w:type="dxa"/>
            <w:hideMark/>
          </w:tcPr>
          <w:p w14:paraId="5B4EA79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381405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08D878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094CB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74A84A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0CFDAA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104064C" w14:textId="36227E3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BD51FD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5D9A2C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Guinea / Financing complement for the project of rehabilitation and extension of the transport and electricity distribution network</w:t>
            </w:r>
          </w:p>
        </w:tc>
        <w:tc>
          <w:tcPr>
            <w:tcW w:w="1476" w:type="dxa"/>
            <w:hideMark/>
          </w:tcPr>
          <w:p w14:paraId="4946229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18,000,000.00</w:t>
            </w:r>
          </w:p>
        </w:tc>
        <w:tc>
          <w:tcPr>
            <w:tcW w:w="847" w:type="dxa"/>
            <w:hideMark/>
          </w:tcPr>
          <w:p w14:paraId="22A9D3D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831E3C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CFB69D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41800D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7E550F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35FB5D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9CF2BEF" w14:textId="6946D27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81E8B0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A33D89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Guinea-bissau / Sustainable development of mangrove agriculture in Guinea-Buissau</w:t>
            </w:r>
          </w:p>
        </w:tc>
        <w:tc>
          <w:tcPr>
            <w:tcW w:w="1476" w:type="dxa"/>
            <w:hideMark/>
          </w:tcPr>
          <w:p w14:paraId="3209165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187,500.00</w:t>
            </w:r>
          </w:p>
        </w:tc>
        <w:tc>
          <w:tcPr>
            <w:tcW w:w="847" w:type="dxa"/>
            <w:hideMark/>
          </w:tcPr>
          <w:p w14:paraId="21ABAAD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1C6487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ED6937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8E4D3D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DA09AA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558E80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ECB4B90" w14:textId="4059053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5BD608D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6C99DA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Guinea-bissau / Sustainable development of mangrove agriculture in Guinea-Buissau</w:t>
            </w:r>
          </w:p>
        </w:tc>
        <w:tc>
          <w:tcPr>
            <w:tcW w:w="1476" w:type="dxa"/>
            <w:hideMark/>
          </w:tcPr>
          <w:p w14:paraId="3FB3175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187,500.00</w:t>
            </w:r>
          </w:p>
        </w:tc>
        <w:tc>
          <w:tcPr>
            <w:tcW w:w="847" w:type="dxa"/>
            <w:hideMark/>
          </w:tcPr>
          <w:p w14:paraId="549268F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FD1FD8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5F84BE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183F22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DED557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4F5E41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83C4955" w14:textId="0A65CE0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2A78B3C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D1DD41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Kenya / Agricultural yield improvements by satellite</w:t>
            </w:r>
          </w:p>
        </w:tc>
        <w:tc>
          <w:tcPr>
            <w:tcW w:w="1476" w:type="dxa"/>
            <w:hideMark/>
          </w:tcPr>
          <w:p w14:paraId="3C5EEBE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800,000.00</w:t>
            </w:r>
          </w:p>
        </w:tc>
        <w:tc>
          <w:tcPr>
            <w:tcW w:w="847" w:type="dxa"/>
            <w:hideMark/>
          </w:tcPr>
          <w:p w14:paraId="208C931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BF3F6E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954E1E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86C164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5A002E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469B3E1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CA9D5B7" w14:textId="0048DBB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A448F4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394F0F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Kenya / Director scheme for river regeneration in Nairobi</w:t>
            </w:r>
          </w:p>
        </w:tc>
        <w:tc>
          <w:tcPr>
            <w:tcW w:w="1476" w:type="dxa"/>
            <w:hideMark/>
          </w:tcPr>
          <w:p w14:paraId="33EE201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699,000.00</w:t>
            </w:r>
          </w:p>
        </w:tc>
        <w:tc>
          <w:tcPr>
            <w:tcW w:w="847" w:type="dxa"/>
            <w:hideMark/>
          </w:tcPr>
          <w:p w14:paraId="515291E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7B56DC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640E04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1E8E91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F432DB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1F3E746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3A04EEA9" w14:textId="4732E09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Treasury loan</w:t>
            </w:r>
          </w:p>
        </w:tc>
      </w:tr>
      <w:tr w:rsidR="00927E59" w:rsidRPr="005B54EE" w14:paraId="7667F9B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33A68D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Kenya / Rehabilitation, extension, exploitation of line 4 of the urban rail network of Nairobi</w:t>
            </w:r>
          </w:p>
        </w:tc>
        <w:tc>
          <w:tcPr>
            <w:tcW w:w="1476" w:type="dxa"/>
            <w:hideMark/>
          </w:tcPr>
          <w:p w14:paraId="52D5FC1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51,200,000.00</w:t>
            </w:r>
          </w:p>
        </w:tc>
        <w:tc>
          <w:tcPr>
            <w:tcW w:w="847" w:type="dxa"/>
            <w:hideMark/>
          </w:tcPr>
          <w:p w14:paraId="7633F5D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26AEE8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B4D9E8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BC6EFE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9EDD1A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391972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636009E1" w14:textId="56632DB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Treasury loan</w:t>
            </w:r>
          </w:p>
        </w:tc>
      </w:tr>
      <w:tr w:rsidR="00927E59" w:rsidRPr="005B54EE" w14:paraId="11641F6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DE3E0C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Kenya / Interconnexion project between geothermal crater of Menengai and Rongai station</w:t>
            </w:r>
          </w:p>
        </w:tc>
        <w:tc>
          <w:tcPr>
            <w:tcW w:w="1476" w:type="dxa"/>
            <w:hideMark/>
          </w:tcPr>
          <w:p w14:paraId="7A3349D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65,200,000.00</w:t>
            </w:r>
          </w:p>
        </w:tc>
        <w:tc>
          <w:tcPr>
            <w:tcW w:w="847" w:type="dxa"/>
            <w:hideMark/>
          </w:tcPr>
          <w:p w14:paraId="1CA5DB7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1E103A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054EF1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564F04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C6323C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3261059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4F1FC8B8" w14:textId="434A492D"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55B5214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9155CC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Kenya / SME financing</w:t>
            </w:r>
          </w:p>
        </w:tc>
        <w:tc>
          <w:tcPr>
            <w:tcW w:w="1476" w:type="dxa"/>
            <w:hideMark/>
          </w:tcPr>
          <w:p w14:paraId="539423A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18,516,804.00</w:t>
            </w:r>
          </w:p>
        </w:tc>
        <w:tc>
          <w:tcPr>
            <w:tcW w:w="847" w:type="dxa"/>
            <w:hideMark/>
          </w:tcPr>
          <w:p w14:paraId="7528280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093E85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544FEC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22EF532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52564C8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3C36BF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0B123CDA" w14:textId="008CCE7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218099B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0CB8A5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Kenya / Refinancing of a senior loan - food industry sector</w:t>
            </w:r>
          </w:p>
        </w:tc>
        <w:tc>
          <w:tcPr>
            <w:tcW w:w="1476" w:type="dxa"/>
            <w:hideMark/>
          </w:tcPr>
          <w:p w14:paraId="3B86559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376,975.00</w:t>
            </w:r>
          </w:p>
        </w:tc>
        <w:tc>
          <w:tcPr>
            <w:tcW w:w="847" w:type="dxa"/>
            <w:hideMark/>
          </w:tcPr>
          <w:p w14:paraId="2B8E479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C5E300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4641AF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F6A1FB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550522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56B85D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8FB733C" w14:textId="424D0BF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B84224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D94ED6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Kenya / Fight against Covid-19 spread through the improvement of  access to sanitation and hygiene in informal districts of Nairobi</w:t>
            </w:r>
          </w:p>
        </w:tc>
        <w:tc>
          <w:tcPr>
            <w:tcW w:w="1476" w:type="dxa"/>
            <w:hideMark/>
          </w:tcPr>
          <w:p w14:paraId="3565251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990,000.00</w:t>
            </w:r>
          </w:p>
        </w:tc>
        <w:tc>
          <w:tcPr>
            <w:tcW w:w="847" w:type="dxa"/>
            <w:hideMark/>
          </w:tcPr>
          <w:p w14:paraId="044BFF6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291E06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15B461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59C6BF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CE6E8D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17FD24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3FB2DAE4" w14:textId="12A7502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1BB764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72432F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Vegetalized sanitation system</w:t>
            </w:r>
          </w:p>
        </w:tc>
        <w:tc>
          <w:tcPr>
            <w:tcW w:w="1476" w:type="dxa"/>
            <w:hideMark/>
          </w:tcPr>
          <w:p w14:paraId="32C435E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739,110.00</w:t>
            </w:r>
          </w:p>
        </w:tc>
        <w:tc>
          <w:tcPr>
            <w:tcW w:w="847" w:type="dxa"/>
            <w:hideMark/>
          </w:tcPr>
          <w:p w14:paraId="2C53ADC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13EE8F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57B0EC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CF224E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07FB35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E1044F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61324CDC" w14:textId="6EF6F3E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2C68B88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FB654C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Study for the reduction of physical and commercial losses associated to drinkable water distribution</w:t>
            </w:r>
          </w:p>
        </w:tc>
        <w:tc>
          <w:tcPr>
            <w:tcW w:w="1476" w:type="dxa"/>
            <w:hideMark/>
          </w:tcPr>
          <w:p w14:paraId="40DED98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245,974.40</w:t>
            </w:r>
          </w:p>
        </w:tc>
        <w:tc>
          <w:tcPr>
            <w:tcW w:w="847" w:type="dxa"/>
            <w:hideMark/>
          </w:tcPr>
          <w:p w14:paraId="404B6F9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90527D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5D5FBC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D28121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54B340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116EBE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1765833F" w14:textId="557DB08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60A34B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87B755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Project of support to professional training in Madagascar</w:t>
            </w:r>
          </w:p>
        </w:tc>
        <w:tc>
          <w:tcPr>
            <w:tcW w:w="1476" w:type="dxa"/>
            <w:hideMark/>
          </w:tcPr>
          <w:p w14:paraId="43529A0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495,000.00</w:t>
            </w:r>
          </w:p>
        </w:tc>
        <w:tc>
          <w:tcPr>
            <w:tcW w:w="847" w:type="dxa"/>
            <w:hideMark/>
          </w:tcPr>
          <w:p w14:paraId="52ECA4B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B77B89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AF1C7A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8855E7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F8593F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289F59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019FAF06" w14:textId="0249D27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A2AA7A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09683B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Project of support to professional training in Madagascar</w:t>
            </w:r>
          </w:p>
        </w:tc>
        <w:tc>
          <w:tcPr>
            <w:tcW w:w="1476" w:type="dxa"/>
            <w:hideMark/>
          </w:tcPr>
          <w:p w14:paraId="19488FC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495,000.00</w:t>
            </w:r>
          </w:p>
        </w:tc>
        <w:tc>
          <w:tcPr>
            <w:tcW w:w="847" w:type="dxa"/>
            <w:hideMark/>
          </w:tcPr>
          <w:p w14:paraId="0FC1706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B0223D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C24E13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DDFED9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2AA9D2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65B150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F430BDB" w14:textId="6AEA2BA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BB1197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16D818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Projet of support to professional training in Madagascar</w:t>
            </w:r>
          </w:p>
        </w:tc>
        <w:tc>
          <w:tcPr>
            <w:tcW w:w="1476" w:type="dxa"/>
            <w:hideMark/>
          </w:tcPr>
          <w:p w14:paraId="010E570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55,000.00</w:t>
            </w:r>
          </w:p>
        </w:tc>
        <w:tc>
          <w:tcPr>
            <w:tcW w:w="847" w:type="dxa"/>
            <w:hideMark/>
          </w:tcPr>
          <w:p w14:paraId="1E2CA81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239555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C8AFD6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B2802A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8FA21C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EEF6F3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28B7916" w14:textId="5995E76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FAAE61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42B716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Projet of support to professional training in Madagascar</w:t>
            </w:r>
          </w:p>
        </w:tc>
        <w:tc>
          <w:tcPr>
            <w:tcW w:w="1476" w:type="dxa"/>
            <w:hideMark/>
          </w:tcPr>
          <w:p w14:paraId="41A96D1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55,000.00</w:t>
            </w:r>
          </w:p>
        </w:tc>
        <w:tc>
          <w:tcPr>
            <w:tcW w:w="847" w:type="dxa"/>
            <w:hideMark/>
          </w:tcPr>
          <w:p w14:paraId="1BCA863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38AA4D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8E1EDC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E6B847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DC5CAA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7FB76E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050E4648" w14:textId="2046220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C33743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A49C11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Projet of support to professional training in Madagascar</w:t>
            </w:r>
          </w:p>
        </w:tc>
        <w:tc>
          <w:tcPr>
            <w:tcW w:w="1476" w:type="dxa"/>
            <w:hideMark/>
          </w:tcPr>
          <w:p w14:paraId="6A818D2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275,000.00</w:t>
            </w:r>
          </w:p>
        </w:tc>
        <w:tc>
          <w:tcPr>
            <w:tcW w:w="847" w:type="dxa"/>
            <w:hideMark/>
          </w:tcPr>
          <w:p w14:paraId="071136C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A6E9AA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02FBAE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2221FA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224836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DD1384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5E688E99" w14:textId="7EBB3BA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F5F1DE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CFDA29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Projet of support to professional training in Madagascar</w:t>
            </w:r>
          </w:p>
        </w:tc>
        <w:tc>
          <w:tcPr>
            <w:tcW w:w="1476" w:type="dxa"/>
            <w:hideMark/>
          </w:tcPr>
          <w:p w14:paraId="7953619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275,000.00</w:t>
            </w:r>
          </w:p>
        </w:tc>
        <w:tc>
          <w:tcPr>
            <w:tcW w:w="847" w:type="dxa"/>
            <w:hideMark/>
          </w:tcPr>
          <w:p w14:paraId="0ED36C1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FE69BF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CFA95B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44D994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FFDAA1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173B6E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5F3DC298" w14:textId="44E4388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5421A2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F0B1B3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Support to Pasteur Institute Madagascar</w:t>
            </w:r>
          </w:p>
        </w:tc>
        <w:tc>
          <w:tcPr>
            <w:tcW w:w="1476" w:type="dxa"/>
            <w:hideMark/>
          </w:tcPr>
          <w:p w14:paraId="481F967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210,000.00</w:t>
            </w:r>
          </w:p>
        </w:tc>
        <w:tc>
          <w:tcPr>
            <w:tcW w:w="847" w:type="dxa"/>
            <w:hideMark/>
          </w:tcPr>
          <w:p w14:paraId="7EDD629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E1C66F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2A6F46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9FB427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7311B9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1FCDD6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5CC5A46F" w14:textId="2FC07561"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2256EAC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3F152B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Inclusive and lasting access to water, hygiene and sanitation services for vulnerable populations in Manakara</w:t>
            </w:r>
          </w:p>
        </w:tc>
        <w:tc>
          <w:tcPr>
            <w:tcW w:w="1476" w:type="dxa"/>
            <w:hideMark/>
          </w:tcPr>
          <w:p w14:paraId="0BFFBB9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800,000.00</w:t>
            </w:r>
          </w:p>
        </w:tc>
        <w:tc>
          <w:tcPr>
            <w:tcW w:w="847" w:type="dxa"/>
            <w:hideMark/>
          </w:tcPr>
          <w:p w14:paraId="6CCD03E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01B593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439369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1F11D5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A00946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34A644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17F4B881" w14:textId="6015AB4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16C1376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B78C94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Young farmers project - phase 2 (PROJA 2)</w:t>
            </w:r>
          </w:p>
        </w:tc>
        <w:tc>
          <w:tcPr>
            <w:tcW w:w="1476" w:type="dxa"/>
            <w:hideMark/>
          </w:tcPr>
          <w:p w14:paraId="63CF6AF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700,000.00</w:t>
            </w:r>
          </w:p>
        </w:tc>
        <w:tc>
          <w:tcPr>
            <w:tcW w:w="847" w:type="dxa"/>
            <w:hideMark/>
          </w:tcPr>
          <w:p w14:paraId="2748217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539670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631DD8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20CF63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64E51D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15A7090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4128D3D" w14:textId="6F22A23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BB96E3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D762C0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Consolidation and development of inclusive microfinance institutions' networks of Madagascar</w:t>
            </w:r>
          </w:p>
        </w:tc>
        <w:tc>
          <w:tcPr>
            <w:tcW w:w="1476" w:type="dxa"/>
            <w:hideMark/>
          </w:tcPr>
          <w:p w14:paraId="0983CD5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800,000.00</w:t>
            </w:r>
          </w:p>
        </w:tc>
        <w:tc>
          <w:tcPr>
            <w:tcW w:w="847" w:type="dxa"/>
            <w:hideMark/>
          </w:tcPr>
          <w:p w14:paraId="2068DF9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2576A8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E9F2E8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BC9281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F13F0E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4B0D424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56B57E41" w14:textId="409B6A0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55307CA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3C6DFD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Economy to the service of biodiversity and men</w:t>
            </w:r>
          </w:p>
        </w:tc>
        <w:tc>
          <w:tcPr>
            <w:tcW w:w="1476" w:type="dxa"/>
            <w:hideMark/>
          </w:tcPr>
          <w:p w14:paraId="5F86387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300,000.00</w:t>
            </w:r>
          </w:p>
        </w:tc>
        <w:tc>
          <w:tcPr>
            <w:tcW w:w="847" w:type="dxa"/>
            <w:hideMark/>
          </w:tcPr>
          <w:p w14:paraId="3B30DC4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C7FB90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AEB347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C478B2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FB2F2B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0F157D1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66CC0E2" w14:textId="25FD449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319271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02B421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Agrisud International</w:t>
            </w:r>
          </w:p>
        </w:tc>
        <w:tc>
          <w:tcPr>
            <w:tcW w:w="1476" w:type="dxa"/>
            <w:hideMark/>
          </w:tcPr>
          <w:p w14:paraId="5692B53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w:t>
            </w:r>
          </w:p>
        </w:tc>
        <w:tc>
          <w:tcPr>
            <w:tcW w:w="847" w:type="dxa"/>
            <w:hideMark/>
          </w:tcPr>
          <w:p w14:paraId="553E981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D5D31B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B48723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552D88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648F15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75F184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6324F4E" w14:textId="6255D05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FFEM</w:t>
            </w:r>
          </w:p>
        </w:tc>
      </w:tr>
      <w:tr w:rsidR="00927E59" w:rsidRPr="005B54EE" w14:paraId="70F86E4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6FCBF2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Madagascar / Towards a lateral electrification model for rural zones in the North of Madagascar</w:t>
            </w:r>
          </w:p>
        </w:tc>
        <w:tc>
          <w:tcPr>
            <w:tcW w:w="1476" w:type="dxa"/>
            <w:hideMark/>
          </w:tcPr>
          <w:p w14:paraId="493EC88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2,440,000.00</w:t>
            </w:r>
          </w:p>
        </w:tc>
        <w:tc>
          <w:tcPr>
            <w:tcW w:w="847" w:type="dxa"/>
            <w:hideMark/>
          </w:tcPr>
          <w:p w14:paraId="08A0098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E9A977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BB1DA7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116FB7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9B913B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C35278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5E39F853" w14:textId="3E4D0F6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5F6669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5AB89B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Malawi / Maintenance models and support to the governance of Water and Sanitation</w:t>
            </w:r>
          </w:p>
        </w:tc>
        <w:tc>
          <w:tcPr>
            <w:tcW w:w="1476" w:type="dxa"/>
            <w:hideMark/>
          </w:tcPr>
          <w:p w14:paraId="20CFD98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2,500,000.00</w:t>
            </w:r>
          </w:p>
        </w:tc>
        <w:tc>
          <w:tcPr>
            <w:tcW w:w="847" w:type="dxa"/>
            <w:hideMark/>
          </w:tcPr>
          <w:p w14:paraId="60D8B68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4E04D5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C04B23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B35C21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864E67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1E96C5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22ED5584" w14:textId="18BB037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F02E6E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8CBA80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Malawi / Support to family agricultures</w:t>
            </w:r>
          </w:p>
        </w:tc>
        <w:tc>
          <w:tcPr>
            <w:tcW w:w="1476" w:type="dxa"/>
            <w:hideMark/>
          </w:tcPr>
          <w:p w14:paraId="17FA966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2,000,000.00</w:t>
            </w:r>
          </w:p>
        </w:tc>
        <w:tc>
          <w:tcPr>
            <w:tcW w:w="847" w:type="dxa"/>
            <w:hideMark/>
          </w:tcPr>
          <w:p w14:paraId="0367955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7D870B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567DA1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C2783F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2FF91F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718FCA1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449670B" w14:textId="10628B3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5D1A75E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D626C2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Treatment of disposed waste in the city of Bamako</w:t>
            </w:r>
          </w:p>
        </w:tc>
        <w:tc>
          <w:tcPr>
            <w:tcW w:w="1476" w:type="dxa"/>
            <w:hideMark/>
          </w:tcPr>
          <w:p w14:paraId="33DB6AB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117,843.60</w:t>
            </w:r>
          </w:p>
        </w:tc>
        <w:tc>
          <w:tcPr>
            <w:tcW w:w="847" w:type="dxa"/>
            <w:hideMark/>
          </w:tcPr>
          <w:p w14:paraId="039A76F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7D3360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CCB8E6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8227DD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E42E0C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6B5D7D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1925E04C" w14:textId="7A31C22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8F52ED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B295AB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Credit line with portfolio guarantee Euriz and technical assistance on grant</w:t>
            </w:r>
          </w:p>
        </w:tc>
        <w:tc>
          <w:tcPr>
            <w:tcW w:w="1476" w:type="dxa"/>
            <w:hideMark/>
          </w:tcPr>
          <w:p w14:paraId="5C8AACE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w:t>
            </w:r>
          </w:p>
        </w:tc>
        <w:tc>
          <w:tcPr>
            <w:tcW w:w="847" w:type="dxa"/>
            <w:hideMark/>
          </w:tcPr>
          <w:p w14:paraId="4F17BBC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C8BEBC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EE02DD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94C86E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7E0ED8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B04BC7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5FBE0C92" w14:textId="1D61F62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AA8821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1135E0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Credit line with portfolio guarantee Euriz and technical assistance on grant</w:t>
            </w:r>
          </w:p>
        </w:tc>
        <w:tc>
          <w:tcPr>
            <w:tcW w:w="1476" w:type="dxa"/>
            <w:hideMark/>
          </w:tcPr>
          <w:p w14:paraId="2F0AFD8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12,000,000.00</w:t>
            </w:r>
          </w:p>
        </w:tc>
        <w:tc>
          <w:tcPr>
            <w:tcW w:w="847" w:type="dxa"/>
            <w:hideMark/>
          </w:tcPr>
          <w:p w14:paraId="53ADB6E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A4DB97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2D101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72E45A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532A44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2D43F3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738AB0AB" w14:textId="3C100DF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ECD034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D936A7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Credit line with portfolio guarantee Euriz and technical assistance on grant</w:t>
            </w:r>
          </w:p>
        </w:tc>
        <w:tc>
          <w:tcPr>
            <w:tcW w:w="1476" w:type="dxa"/>
            <w:hideMark/>
          </w:tcPr>
          <w:p w14:paraId="3B686DB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w:t>
            </w:r>
          </w:p>
        </w:tc>
        <w:tc>
          <w:tcPr>
            <w:tcW w:w="847" w:type="dxa"/>
            <w:hideMark/>
          </w:tcPr>
          <w:p w14:paraId="3044C89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9CFFF8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B8BB4F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9AB35E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84009F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BCBAFF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002A38AD" w14:textId="7B575DB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BD28A4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A0306F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Credit line with portfolio guarantee Euriz and technical assistance on grant</w:t>
            </w:r>
          </w:p>
        </w:tc>
        <w:tc>
          <w:tcPr>
            <w:tcW w:w="1476" w:type="dxa"/>
            <w:hideMark/>
          </w:tcPr>
          <w:p w14:paraId="712E3F7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600,000.00</w:t>
            </w:r>
          </w:p>
        </w:tc>
        <w:tc>
          <w:tcPr>
            <w:tcW w:w="847" w:type="dxa"/>
            <w:hideMark/>
          </w:tcPr>
          <w:p w14:paraId="164591F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5FEAE7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678DCD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5BDA98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81D966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220D38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305EB1AA" w14:textId="3C51827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C8AC8C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70F45C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Security and Development in  North and Centre Mali - Phase 3</w:t>
            </w:r>
          </w:p>
        </w:tc>
        <w:tc>
          <w:tcPr>
            <w:tcW w:w="1476" w:type="dxa"/>
            <w:hideMark/>
          </w:tcPr>
          <w:p w14:paraId="3FF5569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2,800,000.00</w:t>
            </w:r>
          </w:p>
        </w:tc>
        <w:tc>
          <w:tcPr>
            <w:tcW w:w="847" w:type="dxa"/>
            <w:hideMark/>
          </w:tcPr>
          <w:p w14:paraId="42078A2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64C46A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73F1C8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B36592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F0745E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5105CE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(security)</w:t>
            </w:r>
          </w:p>
        </w:tc>
        <w:tc>
          <w:tcPr>
            <w:tcW w:w="2031" w:type="dxa"/>
            <w:hideMark/>
          </w:tcPr>
          <w:p w14:paraId="1FC891B6" w14:textId="1D8C69DE"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7664D8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344ABE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Security and Development in  North and Centre Mali - Phase 3</w:t>
            </w:r>
          </w:p>
        </w:tc>
        <w:tc>
          <w:tcPr>
            <w:tcW w:w="1476" w:type="dxa"/>
            <w:hideMark/>
          </w:tcPr>
          <w:p w14:paraId="1C84308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w:t>
            </w:r>
          </w:p>
        </w:tc>
        <w:tc>
          <w:tcPr>
            <w:tcW w:w="847" w:type="dxa"/>
            <w:hideMark/>
          </w:tcPr>
          <w:p w14:paraId="1645D8C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099ECD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C1F9D7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3E8C24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3714AB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C4B7E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(security)</w:t>
            </w:r>
          </w:p>
        </w:tc>
        <w:tc>
          <w:tcPr>
            <w:tcW w:w="2031" w:type="dxa"/>
            <w:hideMark/>
          </w:tcPr>
          <w:p w14:paraId="572DE991" w14:textId="040CE72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15D77F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AB8CC1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Security and Development in  North and Centre Mali - Phase 3</w:t>
            </w:r>
          </w:p>
        </w:tc>
        <w:tc>
          <w:tcPr>
            <w:tcW w:w="1476" w:type="dxa"/>
            <w:hideMark/>
          </w:tcPr>
          <w:p w14:paraId="2E7A9A5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700,000.00</w:t>
            </w:r>
          </w:p>
        </w:tc>
        <w:tc>
          <w:tcPr>
            <w:tcW w:w="847" w:type="dxa"/>
            <w:hideMark/>
          </w:tcPr>
          <w:p w14:paraId="307F215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82DFEF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79BEC3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3C24F6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06BFBB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9A3FC8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(security)</w:t>
            </w:r>
          </w:p>
        </w:tc>
        <w:tc>
          <w:tcPr>
            <w:tcW w:w="2031" w:type="dxa"/>
            <w:hideMark/>
          </w:tcPr>
          <w:p w14:paraId="331BECF0" w14:textId="23044E1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4F779AC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9D05B8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GERES - Renewable Energy Group, Environment and Solidarities</w:t>
            </w:r>
          </w:p>
        </w:tc>
        <w:tc>
          <w:tcPr>
            <w:tcW w:w="1476" w:type="dxa"/>
            <w:hideMark/>
          </w:tcPr>
          <w:p w14:paraId="1955371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w:t>
            </w:r>
          </w:p>
        </w:tc>
        <w:tc>
          <w:tcPr>
            <w:tcW w:w="847" w:type="dxa"/>
            <w:hideMark/>
          </w:tcPr>
          <w:p w14:paraId="752F6BC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745DBB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E0B37E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F6D524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FF9EC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1EDC10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0913963F" w14:textId="3C3047F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B80FA3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A7A488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3 Frontiers</w:t>
            </w:r>
          </w:p>
        </w:tc>
        <w:tc>
          <w:tcPr>
            <w:tcW w:w="1476" w:type="dxa"/>
            <w:hideMark/>
          </w:tcPr>
          <w:p w14:paraId="003CE9F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w:t>
            </w:r>
          </w:p>
        </w:tc>
        <w:tc>
          <w:tcPr>
            <w:tcW w:w="847" w:type="dxa"/>
            <w:hideMark/>
          </w:tcPr>
          <w:p w14:paraId="3BE76AF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7FE4F5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23739F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BB68AE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4FB63C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B30D64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B98AF11" w14:textId="303B8BB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DCA19C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E0BDE0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3 Frontiers</w:t>
            </w:r>
          </w:p>
        </w:tc>
        <w:tc>
          <w:tcPr>
            <w:tcW w:w="1476" w:type="dxa"/>
            <w:hideMark/>
          </w:tcPr>
          <w:p w14:paraId="0852A34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w:t>
            </w:r>
          </w:p>
        </w:tc>
        <w:tc>
          <w:tcPr>
            <w:tcW w:w="847" w:type="dxa"/>
            <w:hideMark/>
          </w:tcPr>
          <w:p w14:paraId="654E3BE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55DACD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5BD9C3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61E9C1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F57A59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077FC9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56217D20" w14:textId="68D74EC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6429E4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D4BC96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3 Frontiers</w:t>
            </w:r>
          </w:p>
        </w:tc>
        <w:tc>
          <w:tcPr>
            <w:tcW w:w="1476" w:type="dxa"/>
            <w:hideMark/>
          </w:tcPr>
          <w:p w14:paraId="4F7938C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w:t>
            </w:r>
          </w:p>
        </w:tc>
        <w:tc>
          <w:tcPr>
            <w:tcW w:w="847" w:type="dxa"/>
            <w:hideMark/>
          </w:tcPr>
          <w:p w14:paraId="7884CA8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95B079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43E34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16538E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345E95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C15713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DA5372E" w14:textId="4C59E35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C4E6AA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4BED6F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3 Frontiers</w:t>
            </w:r>
          </w:p>
        </w:tc>
        <w:tc>
          <w:tcPr>
            <w:tcW w:w="1476" w:type="dxa"/>
            <w:hideMark/>
          </w:tcPr>
          <w:p w14:paraId="4849C56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w:t>
            </w:r>
          </w:p>
        </w:tc>
        <w:tc>
          <w:tcPr>
            <w:tcW w:w="847" w:type="dxa"/>
            <w:hideMark/>
          </w:tcPr>
          <w:p w14:paraId="5125F98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8E34B7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2D4269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FD97EC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5E208F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B7EC6B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99961EC" w14:textId="15B87BA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3DF64BF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75F8E2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Control and adaptation of intermediary cities in the medium valley of Senegalan river</w:t>
            </w:r>
          </w:p>
        </w:tc>
        <w:tc>
          <w:tcPr>
            <w:tcW w:w="1476" w:type="dxa"/>
            <w:hideMark/>
          </w:tcPr>
          <w:p w14:paraId="77DD01B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1,500,000.00</w:t>
            </w:r>
          </w:p>
        </w:tc>
        <w:tc>
          <w:tcPr>
            <w:tcW w:w="847" w:type="dxa"/>
            <w:hideMark/>
          </w:tcPr>
          <w:p w14:paraId="7497FFB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639930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9C9558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BE2A61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10A5A8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53EEFD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w:t>
            </w:r>
          </w:p>
        </w:tc>
        <w:tc>
          <w:tcPr>
            <w:tcW w:w="2031" w:type="dxa"/>
            <w:hideMark/>
          </w:tcPr>
          <w:p w14:paraId="4A83D103" w14:textId="158393B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C</w:t>
            </w:r>
          </w:p>
        </w:tc>
      </w:tr>
      <w:tr w:rsidR="00927E59" w:rsidRPr="005B54EE" w14:paraId="7030C16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CCDF1F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Mali / PISCCA - Environment protechtion, fighting against climate change and sustainable development</w:t>
            </w:r>
          </w:p>
        </w:tc>
        <w:tc>
          <w:tcPr>
            <w:tcW w:w="1476" w:type="dxa"/>
            <w:hideMark/>
          </w:tcPr>
          <w:p w14:paraId="73C86E6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210,000.00</w:t>
            </w:r>
          </w:p>
        </w:tc>
        <w:tc>
          <w:tcPr>
            <w:tcW w:w="847" w:type="dxa"/>
            <w:hideMark/>
          </w:tcPr>
          <w:p w14:paraId="6B3FCE1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9D31C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2E63AB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5683F7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B57E47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w:t>
            </w:r>
          </w:p>
        </w:tc>
        <w:tc>
          <w:tcPr>
            <w:tcW w:w="1336" w:type="dxa"/>
            <w:hideMark/>
          </w:tcPr>
          <w:p w14:paraId="15E596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23DCFF09" w14:textId="146495C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DE5863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979658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Mauritania / Improvement of food security with draining stimulus in the regions of Gorgol and Guidimaka - Phase 2</w:t>
            </w:r>
          </w:p>
        </w:tc>
        <w:tc>
          <w:tcPr>
            <w:tcW w:w="1476" w:type="dxa"/>
            <w:hideMark/>
          </w:tcPr>
          <w:p w14:paraId="61392B2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8,425,000.00</w:t>
            </w:r>
          </w:p>
        </w:tc>
        <w:tc>
          <w:tcPr>
            <w:tcW w:w="847" w:type="dxa"/>
            <w:hideMark/>
          </w:tcPr>
          <w:p w14:paraId="693A91E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6FD018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32F3B2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5FD351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DEA78B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726CC2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67266FB" w14:textId="11C2ECF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77969B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95B06C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Mauritania / Improvement of food security with draining stimulus in the regions of Gorgol and Guidimaka - Phase 2</w:t>
            </w:r>
          </w:p>
        </w:tc>
        <w:tc>
          <w:tcPr>
            <w:tcW w:w="1476" w:type="dxa"/>
            <w:hideMark/>
          </w:tcPr>
          <w:p w14:paraId="34200AD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1,500,000.00</w:t>
            </w:r>
          </w:p>
        </w:tc>
        <w:tc>
          <w:tcPr>
            <w:tcW w:w="847" w:type="dxa"/>
            <w:hideMark/>
          </w:tcPr>
          <w:p w14:paraId="4C4C880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F0BA85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471BF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C08388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26C973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AF0DC9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54C3425" w14:textId="6B791AA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D2EF45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7D9C8D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Mauritania / Improvement of food security with draining stimulus in the regions of Gorgol and Guidimaka - Phase 2</w:t>
            </w:r>
          </w:p>
        </w:tc>
        <w:tc>
          <w:tcPr>
            <w:tcW w:w="1476" w:type="dxa"/>
            <w:hideMark/>
          </w:tcPr>
          <w:p w14:paraId="08FA591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w:t>
            </w:r>
          </w:p>
        </w:tc>
        <w:tc>
          <w:tcPr>
            <w:tcW w:w="847" w:type="dxa"/>
            <w:hideMark/>
          </w:tcPr>
          <w:p w14:paraId="073791C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9E1614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65CD72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2B6B33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606C3E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C95B30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60306F7" w14:textId="35AC634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DF9AB9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D6099C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Mauritania / Project in support of the national facility for adaptive social protection</w:t>
            </w:r>
          </w:p>
        </w:tc>
        <w:tc>
          <w:tcPr>
            <w:tcW w:w="1476" w:type="dxa"/>
            <w:hideMark/>
          </w:tcPr>
          <w:p w14:paraId="5DF9326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2,500,000.00</w:t>
            </w:r>
          </w:p>
        </w:tc>
        <w:tc>
          <w:tcPr>
            <w:tcW w:w="847" w:type="dxa"/>
            <w:hideMark/>
          </w:tcPr>
          <w:p w14:paraId="3C0F669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5DFB28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1CFDE2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E8B199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962C83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DA7F61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4F97CF54" w14:textId="6311D1A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038E4F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E38DD8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Mauritania / Project in support of the national facility for adaptive social protection</w:t>
            </w:r>
          </w:p>
        </w:tc>
        <w:tc>
          <w:tcPr>
            <w:tcW w:w="1476" w:type="dxa"/>
            <w:hideMark/>
          </w:tcPr>
          <w:p w14:paraId="26967E4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2,500,000.00</w:t>
            </w:r>
          </w:p>
        </w:tc>
        <w:tc>
          <w:tcPr>
            <w:tcW w:w="847" w:type="dxa"/>
            <w:hideMark/>
          </w:tcPr>
          <w:p w14:paraId="7677FAA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3D8D39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039C40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3225D1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859402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2FFC08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7889240C" w14:textId="0017B68E"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48E4FE6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1B55E8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Mauritania / GRET - Professionals of united development</w:t>
            </w:r>
          </w:p>
        </w:tc>
        <w:tc>
          <w:tcPr>
            <w:tcW w:w="1476" w:type="dxa"/>
            <w:hideMark/>
          </w:tcPr>
          <w:p w14:paraId="05F7553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900,000.00</w:t>
            </w:r>
          </w:p>
        </w:tc>
        <w:tc>
          <w:tcPr>
            <w:tcW w:w="847" w:type="dxa"/>
            <w:hideMark/>
          </w:tcPr>
          <w:p w14:paraId="7C8D6E2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8C7D76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5A0B48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13AC53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6AD63F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4E1CEE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65CB7218" w14:textId="5CC28DB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7BAF57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401712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Mauritius / Contingency loan covid and Adaptation at CC Mauritius</w:t>
            </w:r>
          </w:p>
        </w:tc>
        <w:tc>
          <w:tcPr>
            <w:tcW w:w="1476" w:type="dxa"/>
            <w:hideMark/>
          </w:tcPr>
          <w:p w14:paraId="165F42B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99,000,000.00</w:t>
            </w:r>
          </w:p>
        </w:tc>
        <w:tc>
          <w:tcPr>
            <w:tcW w:w="847" w:type="dxa"/>
            <w:hideMark/>
          </w:tcPr>
          <w:p w14:paraId="5F8FDE0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D462B3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7F54B1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84F080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AF3B77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2D1BED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23935F47" w14:textId="282FDD4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73D855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A67CBC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Mauritius / Contingency loan covid and Adaptation at CC Mauritius</w:t>
            </w:r>
          </w:p>
        </w:tc>
        <w:tc>
          <w:tcPr>
            <w:tcW w:w="1476" w:type="dxa"/>
            <w:hideMark/>
          </w:tcPr>
          <w:p w14:paraId="4B02045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48,000,000.00</w:t>
            </w:r>
          </w:p>
        </w:tc>
        <w:tc>
          <w:tcPr>
            <w:tcW w:w="847" w:type="dxa"/>
            <w:hideMark/>
          </w:tcPr>
          <w:p w14:paraId="276E208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6E3A6F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68991E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6AFE10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459932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B6F1A6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1055D0F2" w14:textId="22D9C2C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9595BB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E323C7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Mauritius / Contingency loan covid and Adaptation at CC Mauritius</w:t>
            </w:r>
          </w:p>
        </w:tc>
        <w:tc>
          <w:tcPr>
            <w:tcW w:w="1476" w:type="dxa"/>
            <w:hideMark/>
          </w:tcPr>
          <w:p w14:paraId="0847835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495,000.00</w:t>
            </w:r>
          </w:p>
        </w:tc>
        <w:tc>
          <w:tcPr>
            <w:tcW w:w="847" w:type="dxa"/>
            <w:hideMark/>
          </w:tcPr>
          <w:p w14:paraId="3A868B1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6925C6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7EEAE1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A9A3CD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A1CE7A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1F10DC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57AA3FAB" w14:textId="1CA4237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72F04A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41F3D3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Mauritius / Contingency loan covid and Adaptation at CC Mauritius</w:t>
            </w:r>
          </w:p>
        </w:tc>
        <w:tc>
          <w:tcPr>
            <w:tcW w:w="1476" w:type="dxa"/>
            <w:hideMark/>
          </w:tcPr>
          <w:p w14:paraId="2D7D1FE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240,000.00</w:t>
            </w:r>
          </w:p>
        </w:tc>
        <w:tc>
          <w:tcPr>
            <w:tcW w:w="847" w:type="dxa"/>
            <w:hideMark/>
          </w:tcPr>
          <w:p w14:paraId="343CE8F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FC1E04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BC53B5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88239A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6EA3BE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308889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596C34B6" w14:textId="396FBB5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80B3A6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1D17E8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Convergence and resilience of territories - FEC 2</w:t>
            </w:r>
          </w:p>
        </w:tc>
        <w:tc>
          <w:tcPr>
            <w:tcW w:w="1476" w:type="dxa"/>
            <w:hideMark/>
          </w:tcPr>
          <w:p w14:paraId="6CEF424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40,000,000.00</w:t>
            </w:r>
          </w:p>
        </w:tc>
        <w:tc>
          <w:tcPr>
            <w:tcW w:w="847" w:type="dxa"/>
            <w:hideMark/>
          </w:tcPr>
          <w:p w14:paraId="31CD893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515AF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BEBC4D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EEBA67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15D800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B04E50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75D42E90" w14:textId="3DED1EA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6E1FA9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1CC776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Convergence and resilience of territories - FEC 2</w:t>
            </w:r>
          </w:p>
        </w:tc>
        <w:tc>
          <w:tcPr>
            <w:tcW w:w="1476" w:type="dxa"/>
            <w:hideMark/>
          </w:tcPr>
          <w:p w14:paraId="6C0E940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40,000,000.00</w:t>
            </w:r>
          </w:p>
        </w:tc>
        <w:tc>
          <w:tcPr>
            <w:tcW w:w="847" w:type="dxa"/>
            <w:hideMark/>
          </w:tcPr>
          <w:p w14:paraId="0651749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DF2603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661903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7E597D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DFE1BF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883DA6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555F5F90" w14:textId="23E0442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B0B4A8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657668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Convergence and resilience of territories - FEC 2</w:t>
            </w:r>
          </w:p>
        </w:tc>
        <w:tc>
          <w:tcPr>
            <w:tcW w:w="1476" w:type="dxa"/>
            <w:hideMark/>
          </w:tcPr>
          <w:p w14:paraId="4205CDB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700,000.00</w:t>
            </w:r>
          </w:p>
        </w:tc>
        <w:tc>
          <w:tcPr>
            <w:tcW w:w="847" w:type="dxa"/>
            <w:hideMark/>
          </w:tcPr>
          <w:p w14:paraId="73B1E2E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A5AE10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B77C86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D4FB86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66184C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630C0A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075CB7FE" w14:textId="3205BB7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D1D298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B36691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Convergence and resilience of territories - FEC 2</w:t>
            </w:r>
          </w:p>
        </w:tc>
        <w:tc>
          <w:tcPr>
            <w:tcW w:w="1476" w:type="dxa"/>
            <w:hideMark/>
          </w:tcPr>
          <w:p w14:paraId="016B827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700,000.00</w:t>
            </w:r>
          </w:p>
        </w:tc>
        <w:tc>
          <w:tcPr>
            <w:tcW w:w="847" w:type="dxa"/>
            <w:hideMark/>
          </w:tcPr>
          <w:p w14:paraId="1478A53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365DE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611209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A1B3D8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2136E1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E73DF8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7E53BA40" w14:textId="7DC5B41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68A8D6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2CEF8B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Revitalisation of Moroccan rural lands through jobs and entrepreneurship in the agricultural and para-agricultural sector</w:t>
            </w:r>
          </w:p>
        </w:tc>
        <w:tc>
          <w:tcPr>
            <w:tcW w:w="1476" w:type="dxa"/>
            <w:hideMark/>
          </w:tcPr>
          <w:p w14:paraId="292726E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52,500,000.00</w:t>
            </w:r>
          </w:p>
        </w:tc>
        <w:tc>
          <w:tcPr>
            <w:tcW w:w="847" w:type="dxa"/>
            <w:hideMark/>
          </w:tcPr>
          <w:p w14:paraId="5E0CDAF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E3813A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857188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053EC1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E954FC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1215C5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7DFFA19" w14:textId="438769E1"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F4B189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C5EF5E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Revitalisation of Moroccan rural lands through jobs and entrepreneurship in the agricultural and para-agricultural sector</w:t>
            </w:r>
          </w:p>
        </w:tc>
        <w:tc>
          <w:tcPr>
            <w:tcW w:w="1476" w:type="dxa"/>
            <w:hideMark/>
          </w:tcPr>
          <w:p w14:paraId="420D01E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210,000.00</w:t>
            </w:r>
          </w:p>
        </w:tc>
        <w:tc>
          <w:tcPr>
            <w:tcW w:w="847" w:type="dxa"/>
            <w:hideMark/>
          </w:tcPr>
          <w:p w14:paraId="080DCF7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4DD8B1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22E7A7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C1C805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C747F6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C480DD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348149A" w14:textId="3784534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5DAFAF3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EFBE92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Women autonomisation by sustainable entrepreneurship in rural zones of the region of Marrakech-Safi</w:t>
            </w:r>
          </w:p>
        </w:tc>
        <w:tc>
          <w:tcPr>
            <w:tcW w:w="1476" w:type="dxa"/>
            <w:hideMark/>
          </w:tcPr>
          <w:p w14:paraId="412C0D6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w:t>
            </w:r>
          </w:p>
        </w:tc>
        <w:tc>
          <w:tcPr>
            <w:tcW w:w="847" w:type="dxa"/>
            <w:hideMark/>
          </w:tcPr>
          <w:p w14:paraId="520BF86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04526D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7EED78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0CF00F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06553B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A4A0FC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464B9C15" w14:textId="3C387A3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F4E065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7E1A5C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Women autonomisation by sustainable entrepreneurship in rural zones of the region of Marrakech-Safi</w:t>
            </w:r>
          </w:p>
        </w:tc>
        <w:tc>
          <w:tcPr>
            <w:tcW w:w="1476" w:type="dxa"/>
            <w:hideMark/>
          </w:tcPr>
          <w:p w14:paraId="66A274A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w:t>
            </w:r>
          </w:p>
        </w:tc>
        <w:tc>
          <w:tcPr>
            <w:tcW w:w="847" w:type="dxa"/>
            <w:hideMark/>
          </w:tcPr>
          <w:p w14:paraId="0160FF1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126A41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272E46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CB1DA3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E0C319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4D732A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1EBE8DAE" w14:textId="200080D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6D103BE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F56A91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Project of improvement of agricultural sector performances</w:t>
            </w:r>
          </w:p>
        </w:tc>
        <w:tc>
          <w:tcPr>
            <w:tcW w:w="1476" w:type="dxa"/>
            <w:hideMark/>
          </w:tcPr>
          <w:p w14:paraId="7AA20E5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w:t>
            </w:r>
          </w:p>
        </w:tc>
        <w:tc>
          <w:tcPr>
            <w:tcW w:w="847" w:type="dxa"/>
            <w:hideMark/>
          </w:tcPr>
          <w:p w14:paraId="360C9C1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CCCBD4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5870D7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91D381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0FCE54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0F4AD5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5AB70BA" w14:textId="1E16AB8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7620CF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2D7E15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Territorial approach Climate-Energy: Adaptation and mitigation measures on rural territories and link cities</w:t>
            </w:r>
          </w:p>
        </w:tc>
        <w:tc>
          <w:tcPr>
            <w:tcW w:w="1476" w:type="dxa"/>
            <w:hideMark/>
          </w:tcPr>
          <w:p w14:paraId="4EEBC1C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700,000.00</w:t>
            </w:r>
          </w:p>
        </w:tc>
        <w:tc>
          <w:tcPr>
            <w:tcW w:w="847" w:type="dxa"/>
            <w:hideMark/>
          </w:tcPr>
          <w:p w14:paraId="4575077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5AB5D5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A28533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80CDD1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08B789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19E885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69E0FD4B" w14:textId="65C25E9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14D5585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798876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Morocco / Territorial approach Climate-Energy: Adaptation and mitigation measures on rural territories and link cities</w:t>
            </w:r>
          </w:p>
        </w:tc>
        <w:tc>
          <w:tcPr>
            <w:tcW w:w="1476" w:type="dxa"/>
            <w:hideMark/>
          </w:tcPr>
          <w:p w14:paraId="0190017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700,000.00</w:t>
            </w:r>
          </w:p>
        </w:tc>
        <w:tc>
          <w:tcPr>
            <w:tcW w:w="847" w:type="dxa"/>
            <w:hideMark/>
          </w:tcPr>
          <w:p w14:paraId="0C960EA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3BCC1E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B67D13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8D0EFE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28F9BF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A5E93D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095B7648" w14:textId="4CC5041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FE39CE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7AAAD3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Mozambique / Resilience of mangrove ecosystems and natural disaster risk reduction in Mozambique</w:t>
            </w:r>
          </w:p>
        </w:tc>
        <w:tc>
          <w:tcPr>
            <w:tcW w:w="1476" w:type="dxa"/>
            <w:hideMark/>
          </w:tcPr>
          <w:p w14:paraId="49C3E5E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950,000.00</w:t>
            </w:r>
          </w:p>
        </w:tc>
        <w:tc>
          <w:tcPr>
            <w:tcW w:w="847" w:type="dxa"/>
            <w:hideMark/>
          </w:tcPr>
          <w:p w14:paraId="7B56CCD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BFD47B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EB5422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AB8742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14C60F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A30E66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103F53B" w14:textId="42A75E9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9469C5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A07BDF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Mozambique / Resilience of mangrove ecosystems and natural disaster risk reduction in Mozambique</w:t>
            </w:r>
          </w:p>
        </w:tc>
        <w:tc>
          <w:tcPr>
            <w:tcW w:w="1476" w:type="dxa"/>
            <w:hideMark/>
          </w:tcPr>
          <w:p w14:paraId="260F50F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950,000.00</w:t>
            </w:r>
          </w:p>
        </w:tc>
        <w:tc>
          <w:tcPr>
            <w:tcW w:w="847" w:type="dxa"/>
            <w:hideMark/>
          </w:tcPr>
          <w:p w14:paraId="34A31D2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0A33FA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1CEEB7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A2C652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430C3E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DD987F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D419D91" w14:textId="196FBC9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14B81D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4E7A4B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Mozambique / Resilience of mangrove ecosystems and natural disaster risk reduction in Mozambique</w:t>
            </w:r>
          </w:p>
        </w:tc>
        <w:tc>
          <w:tcPr>
            <w:tcW w:w="1476" w:type="dxa"/>
            <w:hideMark/>
          </w:tcPr>
          <w:p w14:paraId="55A60F4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2,050,000.00</w:t>
            </w:r>
          </w:p>
        </w:tc>
        <w:tc>
          <w:tcPr>
            <w:tcW w:w="847" w:type="dxa"/>
            <w:hideMark/>
          </w:tcPr>
          <w:p w14:paraId="5EA46BE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4CD8D8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CBC89B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7FBA7A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C5C067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170D7A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10ED69A" w14:textId="6B86E13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7FF3B5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8C0581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Mozambique / Resilience of mangrove ecosystems and natural disaster risk reduction in Mozambique</w:t>
            </w:r>
          </w:p>
        </w:tc>
        <w:tc>
          <w:tcPr>
            <w:tcW w:w="1476" w:type="dxa"/>
            <w:hideMark/>
          </w:tcPr>
          <w:p w14:paraId="16012FE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2,050,000.00</w:t>
            </w:r>
          </w:p>
        </w:tc>
        <w:tc>
          <w:tcPr>
            <w:tcW w:w="847" w:type="dxa"/>
            <w:hideMark/>
          </w:tcPr>
          <w:p w14:paraId="4698387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8BA1A5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69287C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E6EB76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87EBE9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161738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29ACEE0" w14:textId="21D6B59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DEEAD9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59576B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Niger / Karey Gorou - Strenghtening of water supply in Niamey</w:t>
            </w:r>
          </w:p>
        </w:tc>
        <w:tc>
          <w:tcPr>
            <w:tcW w:w="1476" w:type="dxa"/>
            <w:hideMark/>
          </w:tcPr>
          <w:p w14:paraId="21F9189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24,400,000.00</w:t>
            </w:r>
          </w:p>
        </w:tc>
        <w:tc>
          <w:tcPr>
            <w:tcW w:w="847" w:type="dxa"/>
            <w:hideMark/>
          </w:tcPr>
          <w:p w14:paraId="6C3109D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0540ED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3C9564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E006A7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10039C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0B67C1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63C23EC3" w14:textId="5EB766A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0B314E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88618C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Niger / Nariindu 3: promoting local milk in Sahel</w:t>
            </w:r>
          </w:p>
        </w:tc>
        <w:tc>
          <w:tcPr>
            <w:tcW w:w="1476" w:type="dxa"/>
            <w:hideMark/>
          </w:tcPr>
          <w:p w14:paraId="0B724AF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285,000.00</w:t>
            </w:r>
          </w:p>
        </w:tc>
        <w:tc>
          <w:tcPr>
            <w:tcW w:w="847" w:type="dxa"/>
            <w:hideMark/>
          </w:tcPr>
          <w:p w14:paraId="3AB38F9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597AEB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71600F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230BC5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2B5DB3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5A80B7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ACC0A47" w14:textId="0BAE22B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6952483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1364E0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Nigeria / Financing in the renewable energy sector</w:t>
            </w:r>
          </w:p>
        </w:tc>
        <w:tc>
          <w:tcPr>
            <w:tcW w:w="1476" w:type="dxa"/>
            <w:hideMark/>
          </w:tcPr>
          <w:p w14:paraId="3B5BD6C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w:t>
            </w:r>
          </w:p>
        </w:tc>
        <w:tc>
          <w:tcPr>
            <w:tcW w:w="847" w:type="dxa"/>
            <w:hideMark/>
          </w:tcPr>
          <w:p w14:paraId="4D4B7CA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3F96C1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2B4268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438405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1016" w:type="dxa"/>
            <w:hideMark/>
          </w:tcPr>
          <w:p w14:paraId="7D096EA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DE79C3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961D5C1" w14:textId="7BC315D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43D3FA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4A976E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Nigeria / Project of urban transport in the town of Kaduna</w:t>
            </w:r>
          </w:p>
        </w:tc>
        <w:tc>
          <w:tcPr>
            <w:tcW w:w="1476" w:type="dxa"/>
            <w:hideMark/>
          </w:tcPr>
          <w:p w14:paraId="4442EDE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110,000,000.00</w:t>
            </w:r>
          </w:p>
        </w:tc>
        <w:tc>
          <w:tcPr>
            <w:tcW w:w="847" w:type="dxa"/>
            <w:hideMark/>
          </w:tcPr>
          <w:p w14:paraId="56ADB86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187CFB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2393F5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9405AA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4E2954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385B2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4B0EDCE6" w14:textId="6AC4F90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D5116A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CBF597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Rwanda / Contribution to the national program of energy access</w:t>
            </w:r>
          </w:p>
        </w:tc>
        <w:tc>
          <w:tcPr>
            <w:tcW w:w="1476" w:type="dxa"/>
            <w:hideMark/>
          </w:tcPr>
          <w:p w14:paraId="23D8BAE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80,000,000.00</w:t>
            </w:r>
          </w:p>
        </w:tc>
        <w:tc>
          <w:tcPr>
            <w:tcW w:w="847" w:type="dxa"/>
            <w:hideMark/>
          </w:tcPr>
          <w:p w14:paraId="4C86BCA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8004E3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EC5CEB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5979BB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43EA57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25E66C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A98A725" w14:textId="7507FCE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024337B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ADEC0D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Rwanda / Citizen platform for sustainable city</w:t>
            </w:r>
          </w:p>
        </w:tc>
        <w:tc>
          <w:tcPr>
            <w:tcW w:w="1476" w:type="dxa"/>
            <w:hideMark/>
          </w:tcPr>
          <w:p w14:paraId="4E98A61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158,832.00</w:t>
            </w:r>
          </w:p>
        </w:tc>
        <w:tc>
          <w:tcPr>
            <w:tcW w:w="847" w:type="dxa"/>
            <w:hideMark/>
          </w:tcPr>
          <w:p w14:paraId="51296E6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D7CD39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8CDF27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FDC8CD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B12D48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C6F945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(digital)</w:t>
            </w:r>
          </w:p>
        </w:tc>
        <w:tc>
          <w:tcPr>
            <w:tcW w:w="2031" w:type="dxa"/>
            <w:hideMark/>
          </w:tcPr>
          <w:p w14:paraId="1F9A6C8E" w14:textId="3D7517D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7035CD1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7BE115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Improvement project of management and information tools on air and seawater quality in Dakar</w:t>
            </w:r>
          </w:p>
        </w:tc>
        <w:tc>
          <w:tcPr>
            <w:tcW w:w="1476" w:type="dxa"/>
            <w:hideMark/>
          </w:tcPr>
          <w:p w14:paraId="01AB517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784,583.71</w:t>
            </w:r>
          </w:p>
        </w:tc>
        <w:tc>
          <w:tcPr>
            <w:tcW w:w="847" w:type="dxa"/>
            <w:hideMark/>
          </w:tcPr>
          <w:p w14:paraId="2460B7B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D75BD6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8EF1C6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821D0B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451F8B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7C0643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(digital)</w:t>
            </w:r>
          </w:p>
        </w:tc>
        <w:tc>
          <w:tcPr>
            <w:tcW w:w="2031" w:type="dxa"/>
            <w:hideMark/>
          </w:tcPr>
          <w:p w14:paraId="3AD09D78" w14:textId="35D5D62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28CE78B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B0B17D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Implementation of a low-carbon district for the train station area Petersen (Dakar)</w:t>
            </w:r>
          </w:p>
        </w:tc>
        <w:tc>
          <w:tcPr>
            <w:tcW w:w="1476" w:type="dxa"/>
            <w:hideMark/>
          </w:tcPr>
          <w:p w14:paraId="539F985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570,000.00</w:t>
            </w:r>
          </w:p>
        </w:tc>
        <w:tc>
          <w:tcPr>
            <w:tcW w:w="847" w:type="dxa"/>
            <w:hideMark/>
          </w:tcPr>
          <w:p w14:paraId="2CA4CCC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951A3F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C0C569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06264C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9C0E7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3871B51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7D3D03FA" w14:textId="1BC12A11"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EA04C0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3FAF2A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Demonstrator of ecoconstruction for youth learning</w:t>
            </w:r>
          </w:p>
        </w:tc>
        <w:tc>
          <w:tcPr>
            <w:tcW w:w="1476" w:type="dxa"/>
            <w:hideMark/>
          </w:tcPr>
          <w:p w14:paraId="1D3BE48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72,000.00</w:t>
            </w:r>
          </w:p>
        </w:tc>
        <w:tc>
          <w:tcPr>
            <w:tcW w:w="847" w:type="dxa"/>
            <w:hideMark/>
          </w:tcPr>
          <w:p w14:paraId="1DBA220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8B80F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824768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9E2DDD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F6697E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DDDE48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04954C64" w14:textId="7402A3CE"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6A0BD0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6918F1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Express Regional Train of Dakar</w:t>
            </w:r>
          </w:p>
        </w:tc>
        <w:tc>
          <w:tcPr>
            <w:tcW w:w="1476" w:type="dxa"/>
            <w:hideMark/>
          </w:tcPr>
          <w:p w14:paraId="692C655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30,000,000.00</w:t>
            </w:r>
          </w:p>
        </w:tc>
        <w:tc>
          <w:tcPr>
            <w:tcW w:w="847" w:type="dxa"/>
            <w:hideMark/>
          </w:tcPr>
          <w:p w14:paraId="6739771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29B03E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FF083A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8F6E7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31040F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199B28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1062BAB0" w14:textId="219E398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FC742E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F801C7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Autonomous Sanitation in Dakar region (PAAD in French)</w:t>
            </w:r>
          </w:p>
        </w:tc>
        <w:tc>
          <w:tcPr>
            <w:tcW w:w="1476" w:type="dxa"/>
            <w:hideMark/>
          </w:tcPr>
          <w:p w14:paraId="00CFFAAA"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10,800,000.00</w:t>
            </w:r>
          </w:p>
        </w:tc>
        <w:tc>
          <w:tcPr>
            <w:tcW w:w="847" w:type="dxa"/>
            <w:hideMark/>
          </w:tcPr>
          <w:p w14:paraId="45CFF68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632017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76F4F2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43B8C7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B88852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F68ED6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17695AA6" w14:textId="12B5B9C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1BC8BA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A5FA03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Autonomous Sanitation in Dakar region (PAAD in French)</w:t>
            </w:r>
          </w:p>
        </w:tc>
        <w:tc>
          <w:tcPr>
            <w:tcW w:w="1476" w:type="dxa"/>
            <w:hideMark/>
          </w:tcPr>
          <w:p w14:paraId="2193471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800,000.00</w:t>
            </w:r>
          </w:p>
        </w:tc>
        <w:tc>
          <w:tcPr>
            <w:tcW w:w="847" w:type="dxa"/>
            <w:hideMark/>
          </w:tcPr>
          <w:p w14:paraId="2A19F0C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037C6F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6D880B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ACED2E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B7DF3B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9FC4AE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2ED1CD45" w14:textId="2FB40EA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531661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945AF3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Autonomous Sanitation in Dakar region (PAAD in French)</w:t>
            </w:r>
          </w:p>
        </w:tc>
        <w:tc>
          <w:tcPr>
            <w:tcW w:w="1476" w:type="dxa"/>
            <w:hideMark/>
          </w:tcPr>
          <w:p w14:paraId="015F203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2,700,000.00</w:t>
            </w:r>
          </w:p>
        </w:tc>
        <w:tc>
          <w:tcPr>
            <w:tcW w:w="847" w:type="dxa"/>
            <w:hideMark/>
          </w:tcPr>
          <w:p w14:paraId="39633B4A"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EE65BE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6607FF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F18FDE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CD1F12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D1CEAE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096DD281" w14:textId="6DB7B54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DE41DE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327832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Autonomous Sanitation in Dakar region (PAAD in French)</w:t>
            </w:r>
          </w:p>
        </w:tc>
        <w:tc>
          <w:tcPr>
            <w:tcW w:w="1476" w:type="dxa"/>
            <w:hideMark/>
          </w:tcPr>
          <w:p w14:paraId="7DDEA15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w:t>
            </w:r>
          </w:p>
        </w:tc>
        <w:tc>
          <w:tcPr>
            <w:tcW w:w="847" w:type="dxa"/>
            <w:hideMark/>
          </w:tcPr>
          <w:p w14:paraId="60DF84D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9F7A22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C1412D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923EBA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214DAF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521C38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3B57AF12" w14:textId="62DFEE0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192488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35B208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Support to the development of secondary education - phase 2</w:t>
            </w:r>
          </w:p>
        </w:tc>
        <w:tc>
          <w:tcPr>
            <w:tcW w:w="1476" w:type="dxa"/>
            <w:hideMark/>
          </w:tcPr>
          <w:p w14:paraId="79FA873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5,700,000.00</w:t>
            </w:r>
          </w:p>
        </w:tc>
        <w:tc>
          <w:tcPr>
            <w:tcW w:w="847" w:type="dxa"/>
            <w:hideMark/>
          </w:tcPr>
          <w:p w14:paraId="1B225C7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041208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D8903A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C5EE5A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F9C2CE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573647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36E24588" w14:textId="5F5348B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ECB3E4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3F4250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Support to the development of secondary education - phase 2</w:t>
            </w:r>
          </w:p>
        </w:tc>
        <w:tc>
          <w:tcPr>
            <w:tcW w:w="1476" w:type="dxa"/>
            <w:hideMark/>
          </w:tcPr>
          <w:p w14:paraId="483D3EC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1,350,000.00</w:t>
            </w:r>
          </w:p>
        </w:tc>
        <w:tc>
          <w:tcPr>
            <w:tcW w:w="847" w:type="dxa"/>
            <w:hideMark/>
          </w:tcPr>
          <w:p w14:paraId="709F46B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967D6A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FA3BE1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7C0028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C2E834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F704E5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727ADF09" w14:textId="189A523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CC28F7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620F3C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Sustainable management of forestry resources of Bignona</w:t>
            </w:r>
          </w:p>
        </w:tc>
        <w:tc>
          <w:tcPr>
            <w:tcW w:w="1476" w:type="dxa"/>
            <w:hideMark/>
          </w:tcPr>
          <w:p w14:paraId="3933CB0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w:t>
            </w:r>
          </w:p>
        </w:tc>
        <w:tc>
          <w:tcPr>
            <w:tcW w:w="847" w:type="dxa"/>
            <w:hideMark/>
          </w:tcPr>
          <w:p w14:paraId="1300301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942DCA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51869E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4A4B92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E61253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1FDE044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Forestry</w:t>
            </w:r>
          </w:p>
        </w:tc>
        <w:tc>
          <w:tcPr>
            <w:tcW w:w="2031" w:type="dxa"/>
            <w:hideMark/>
          </w:tcPr>
          <w:p w14:paraId="2357DCE9" w14:textId="1486458D"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1CF236B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F05AFC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Rural communities and electricity access in Casamance</w:t>
            </w:r>
          </w:p>
        </w:tc>
        <w:tc>
          <w:tcPr>
            <w:tcW w:w="1476" w:type="dxa"/>
            <w:hideMark/>
          </w:tcPr>
          <w:p w14:paraId="2834408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480,000.00</w:t>
            </w:r>
          </w:p>
        </w:tc>
        <w:tc>
          <w:tcPr>
            <w:tcW w:w="847" w:type="dxa"/>
            <w:hideMark/>
          </w:tcPr>
          <w:p w14:paraId="779C447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0FBB01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29F765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A8BB77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D0AB54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ED995E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4C5967DC" w14:textId="33DCA5F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3D34265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32900F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Access Programme to Renewable Energies - phase 2</w:t>
            </w:r>
          </w:p>
        </w:tc>
        <w:tc>
          <w:tcPr>
            <w:tcW w:w="1476" w:type="dxa"/>
            <w:hideMark/>
          </w:tcPr>
          <w:p w14:paraId="2717B7D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w:t>
            </w:r>
          </w:p>
        </w:tc>
        <w:tc>
          <w:tcPr>
            <w:tcW w:w="847" w:type="dxa"/>
            <w:hideMark/>
          </w:tcPr>
          <w:p w14:paraId="53F462F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1863A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56C3E1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4979AC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7199FA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D0DCD7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58F1561" w14:textId="475D168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961D6D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4AEE9D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Strenghtening sanitary, social and economic covid-19 crisis resilience for populations of the Podor Department</w:t>
            </w:r>
          </w:p>
        </w:tc>
        <w:tc>
          <w:tcPr>
            <w:tcW w:w="1476" w:type="dxa"/>
            <w:hideMark/>
          </w:tcPr>
          <w:p w14:paraId="154D8C9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w:t>
            </w:r>
          </w:p>
        </w:tc>
        <w:tc>
          <w:tcPr>
            <w:tcW w:w="847" w:type="dxa"/>
            <w:hideMark/>
          </w:tcPr>
          <w:p w14:paraId="5B181CA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71026A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1A7DBC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FA6B4C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97260E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3FC6E9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262C37B5" w14:textId="2863218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43B09DE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97C103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Women Engage for a Common Future - WECF France</w:t>
            </w:r>
          </w:p>
        </w:tc>
        <w:tc>
          <w:tcPr>
            <w:tcW w:w="1476" w:type="dxa"/>
            <w:hideMark/>
          </w:tcPr>
          <w:p w14:paraId="7787999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450,000.00</w:t>
            </w:r>
          </w:p>
        </w:tc>
        <w:tc>
          <w:tcPr>
            <w:tcW w:w="847" w:type="dxa"/>
            <w:hideMark/>
          </w:tcPr>
          <w:p w14:paraId="281D621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A4829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D6823B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F2FD7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9714B9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A6E51A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653F2D10" w14:textId="46CC25C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FFEM</w:t>
            </w:r>
          </w:p>
        </w:tc>
      </w:tr>
      <w:tr w:rsidR="00927E59" w:rsidRPr="005B54EE" w14:paraId="7D2DA2B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9A6474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Senegal / Fight against desertification with the support to pastoralism in FERLO</w:t>
            </w:r>
          </w:p>
        </w:tc>
        <w:tc>
          <w:tcPr>
            <w:tcW w:w="1476" w:type="dxa"/>
            <w:hideMark/>
          </w:tcPr>
          <w:p w14:paraId="2B09A75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48,000.00</w:t>
            </w:r>
          </w:p>
        </w:tc>
        <w:tc>
          <w:tcPr>
            <w:tcW w:w="847" w:type="dxa"/>
            <w:hideMark/>
          </w:tcPr>
          <w:p w14:paraId="2C659D0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14703D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C6C371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E892B5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F5184B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55D834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F82EF93" w14:textId="3946E0E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0BFF9B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AC7DE7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Seychelles / Project in support to epidemiological surveillance network and emergy management (SEGA One Health Network) - Third phase (2018-2022)</w:t>
            </w:r>
          </w:p>
        </w:tc>
        <w:tc>
          <w:tcPr>
            <w:tcW w:w="1476" w:type="dxa"/>
            <w:hideMark/>
          </w:tcPr>
          <w:p w14:paraId="40AE0D2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1,080,000.00</w:t>
            </w:r>
          </w:p>
        </w:tc>
        <w:tc>
          <w:tcPr>
            <w:tcW w:w="847" w:type="dxa"/>
            <w:hideMark/>
          </w:tcPr>
          <w:p w14:paraId="703AE15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DE48AF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3B432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2FD3E0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84172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1CDB2E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6B561712" w14:textId="09CC39A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0B6732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FDC863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Sudan / Aflasafe Sudan</w:t>
            </w:r>
          </w:p>
        </w:tc>
        <w:tc>
          <w:tcPr>
            <w:tcW w:w="1476" w:type="dxa"/>
            <w:hideMark/>
          </w:tcPr>
          <w:p w14:paraId="0A162C4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550,000.00</w:t>
            </w:r>
          </w:p>
        </w:tc>
        <w:tc>
          <w:tcPr>
            <w:tcW w:w="847" w:type="dxa"/>
            <w:hideMark/>
          </w:tcPr>
          <w:p w14:paraId="0FAC4A2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FA6594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BBC6DE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6D0568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195958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2960CE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1799784" w14:textId="144E7C6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CF6374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26B7A1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TANZANIA / Phase 5 of the Bus Rapid Transit (BRT) of Dar Es Salaam</w:t>
            </w:r>
          </w:p>
        </w:tc>
        <w:tc>
          <w:tcPr>
            <w:tcW w:w="1476" w:type="dxa"/>
            <w:hideMark/>
          </w:tcPr>
          <w:p w14:paraId="10380B7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178,000,000.00</w:t>
            </w:r>
          </w:p>
        </w:tc>
        <w:tc>
          <w:tcPr>
            <w:tcW w:w="847" w:type="dxa"/>
            <w:hideMark/>
          </w:tcPr>
          <w:p w14:paraId="511BB94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F9FC0B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EB12A3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DAD2B8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76B2EE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5F27C5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72986F64" w14:textId="71C2602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8E681F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CB2900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TANZANIA / Complementary financing to a field hospital project of Aga Khan Hospital of Dar Es Salaam to improve treatment of patients affected with covid-19 in Tanzania</w:t>
            </w:r>
          </w:p>
        </w:tc>
        <w:tc>
          <w:tcPr>
            <w:tcW w:w="1476" w:type="dxa"/>
            <w:hideMark/>
          </w:tcPr>
          <w:p w14:paraId="194D41F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54,000.00</w:t>
            </w:r>
          </w:p>
        </w:tc>
        <w:tc>
          <w:tcPr>
            <w:tcW w:w="847" w:type="dxa"/>
            <w:hideMark/>
          </w:tcPr>
          <w:p w14:paraId="43E7F19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42C711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7FC736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AE2FDC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12F3F5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C9EE5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56CB8628" w14:textId="44C53151"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D4F118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E1423D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Togo / Programme of extension of electric networks in Urban centres of Togo</w:t>
            </w:r>
          </w:p>
        </w:tc>
        <w:tc>
          <w:tcPr>
            <w:tcW w:w="1476" w:type="dxa"/>
            <w:hideMark/>
          </w:tcPr>
          <w:p w14:paraId="05AEC8E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40,000,000.00</w:t>
            </w:r>
          </w:p>
        </w:tc>
        <w:tc>
          <w:tcPr>
            <w:tcW w:w="847" w:type="dxa"/>
            <w:hideMark/>
          </w:tcPr>
          <w:p w14:paraId="1D5E977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0E6987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974B37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D160E6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233A9B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303781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7233903" w14:textId="4A12D76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6E5253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D5FBE3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Togo / Project of improvement of sanitary conditions in scolar and rural environment in the Savanas' Region (phase II)</w:t>
            </w:r>
          </w:p>
        </w:tc>
        <w:tc>
          <w:tcPr>
            <w:tcW w:w="1476" w:type="dxa"/>
            <w:hideMark/>
          </w:tcPr>
          <w:p w14:paraId="0D11D00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7,600,000.00</w:t>
            </w:r>
          </w:p>
        </w:tc>
        <w:tc>
          <w:tcPr>
            <w:tcW w:w="847" w:type="dxa"/>
            <w:hideMark/>
          </w:tcPr>
          <w:p w14:paraId="7F655F7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F0D809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40C4CC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6EA08E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B63FF4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6440DB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6BCF3305" w14:textId="0975412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1995D1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FD1F6D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Togo / Agroecology for food soverainety and climate change adaptation in West Africa - phase 2</w:t>
            </w:r>
          </w:p>
        </w:tc>
        <w:tc>
          <w:tcPr>
            <w:tcW w:w="1476" w:type="dxa"/>
            <w:hideMark/>
          </w:tcPr>
          <w:p w14:paraId="54F6741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w:t>
            </w:r>
          </w:p>
        </w:tc>
        <w:tc>
          <w:tcPr>
            <w:tcW w:w="847" w:type="dxa"/>
            <w:hideMark/>
          </w:tcPr>
          <w:p w14:paraId="0DD13B4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EDAE15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E0481D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DF5821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E8BE77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83CCFC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FFABFB4" w14:textId="070DBAB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41DF529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396242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Togo / Agroecology for food soverainety and climate change adaptation in West Africa - phase 2</w:t>
            </w:r>
          </w:p>
        </w:tc>
        <w:tc>
          <w:tcPr>
            <w:tcW w:w="1476" w:type="dxa"/>
            <w:hideMark/>
          </w:tcPr>
          <w:p w14:paraId="61F51D3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w:t>
            </w:r>
          </w:p>
        </w:tc>
        <w:tc>
          <w:tcPr>
            <w:tcW w:w="847" w:type="dxa"/>
            <w:hideMark/>
          </w:tcPr>
          <w:p w14:paraId="136DDB5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8833ED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E0F83F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446994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373575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AEA8BE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30715E3" w14:textId="5F83552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2F6ADF6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F6F923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Togo / Entrepreneurs of the World</w:t>
            </w:r>
          </w:p>
        </w:tc>
        <w:tc>
          <w:tcPr>
            <w:tcW w:w="1476" w:type="dxa"/>
            <w:hideMark/>
          </w:tcPr>
          <w:p w14:paraId="66493D6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900,000.00</w:t>
            </w:r>
          </w:p>
        </w:tc>
        <w:tc>
          <w:tcPr>
            <w:tcW w:w="847" w:type="dxa"/>
            <w:hideMark/>
          </w:tcPr>
          <w:p w14:paraId="22C5175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E1E5C8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D03F5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91A00E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5A2AA1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C630E7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F2EBF3A" w14:textId="1F185E3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1EB17A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2082E6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Tunisia / Hydro-meteorological monitoring system</w:t>
            </w:r>
          </w:p>
        </w:tc>
        <w:tc>
          <w:tcPr>
            <w:tcW w:w="1476" w:type="dxa"/>
            <w:hideMark/>
          </w:tcPr>
          <w:p w14:paraId="7EE91F0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567,522.00</w:t>
            </w:r>
          </w:p>
        </w:tc>
        <w:tc>
          <w:tcPr>
            <w:tcW w:w="847" w:type="dxa"/>
            <w:hideMark/>
          </w:tcPr>
          <w:p w14:paraId="505821D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016137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9F65D9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B71C9D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7582DD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CE385E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(research)</w:t>
            </w:r>
          </w:p>
        </w:tc>
        <w:tc>
          <w:tcPr>
            <w:tcW w:w="2031" w:type="dxa"/>
            <w:hideMark/>
          </w:tcPr>
          <w:p w14:paraId="3F956907" w14:textId="018FAC7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75443F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2F7EB1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Tunisia / Loan of public policy to support reforms in favour of the resilience of Tunisian economy</w:t>
            </w:r>
          </w:p>
        </w:tc>
        <w:tc>
          <w:tcPr>
            <w:tcW w:w="1476" w:type="dxa"/>
            <w:hideMark/>
          </w:tcPr>
          <w:p w14:paraId="4C01ACE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12,000,000.00</w:t>
            </w:r>
          </w:p>
        </w:tc>
        <w:tc>
          <w:tcPr>
            <w:tcW w:w="847" w:type="dxa"/>
            <w:hideMark/>
          </w:tcPr>
          <w:p w14:paraId="775265C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F17003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070537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03EBE0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20C8BB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659241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64CAE8DD" w14:textId="0868153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7911D5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6BF76B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Tunisia / Loan of public policy to support reforms in favour of the resilience of Tunisian economy</w:t>
            </w:r>
          </w:p>
        </w:tc>
        <w:tc>
          <w:tcPr>
            <w:tcW w:w="1476" w:type="dxa"/>
            <w:hideMark/>
          </w:tcPr>
          <w:p w14:paraId="0A399E6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w:t>
            </w:r>
          </w:p>
        </w:tc>
        <w:tc>
          <w:tcPr>
            <w:tcW w:w="847" w:type="dxa"/>
            <w:hideMark/>
          </w:tcPr>
          <w:p w14:paraId="5F7F769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7F470A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79226D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CE9933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7C2C31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5C3E04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7681406A" w14:textId="154F8F4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74B7675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51E7B2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Uganda / Artificial smart solution for the performance of the drinkable water network of Kampala</w:t>
            </w:r>
          </w:p>
        </w:tc>
        <w:tc>
          <w:tcPr>
            <w:tcW w:w="1476" w:type="dxa"/>
            <w:hideMark/>
          </w:tcPr>
          <w:p w14:paraId="2D68438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599,396.00</w:t>
            </w:r>
          </w:p>
        </w:tc>
        <w:tc>
          <w:tcPr>
            <w:tcW w:w="847" w:type="dxa"/>
            <w:hideMark/>
          </w:tcPr>
          <w:p w14:paraId="13F2F49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A9E5C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855996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6EA243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F7BFCC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29CBA2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219F3B6C" w14:textId="2B22EF4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6C777DC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B053F6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Uganda / Financing of a hospital construction</w:t>
            </w:r>
          </w:p>
        </w:tc>
        <w:tc>
          <w:tcPr>
            <w:tcW w:w="1476" w:type="dxa"/>
            <w:hideMark/>
          </w:tcPr>
          <w:p w14:paraId="535E9D3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5,777,484.00</w:t>
            </w:r>
          </w:p>
        </w:tc>
        <w:tc>
          <w:tcPr>
            <w:tcW w:w="847" w:type="dxa"/>
            <w:hideMark/>
          </w:tcPr>
          <w:p w14:paraId="6FC36E9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777C9D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9861AB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78BC86E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38FEEE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3CD33E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24C842D" w14:textId="499A536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A7464F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F21F7F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Albania / Project of improvement of the drinkable water service in the region of Durrës</w:t>
            </w:r>
          </w:p>
        </w:tc>
        <w:tc>
          <w:tcPr>
            <w:tcW w:w="1476" w:type="dxa"/>
            <w:hideMark/>
          </w:tcPr>
          <w:p w14:paraId="1531A3B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46,800,000.00</w:t>
            </w:r>
          </w:p>
        </w:tc>
        <w:tc>
          <w:tcPr>
            <w:tcW w:w="847" w:type="dxa"/>
            <w:hideMark/>
          </w:tcPr>
          <w:p w14:paraId="2C62115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9405ED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5826FD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8084A0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10C51E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0AF95B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2B1046AF" w14:textId="5B8645CD"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0AB6BA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E51425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Albania / Project of improvement of the drinkable water service in the region of Durrës</w:t>
            </w:r>
          </w:p>
        </w:tc>
        <w:tc>
          <w:tcPr>
            <w:tcW w:w="1476" w:type="dxa"/>
            <w:hideMark/>
          </w:tcPr>
          <w:p w14:paraId="1E6A3CA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1,200,000.00</w:t>
            </w:r>
          </w:p>
        </w:tc>
        <w:tc>
          <w:tcPr>
            <w:tcW w:w="847" w:type="dxa"/>
            <w:hideMark/>
          </w:tcPr>
          <w:p w14:paraId="6CA5859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503EC0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2824BC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BA170C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B703C3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BC2CD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1B46A818" w14:textId="6B32378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83A38B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B4D8B5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Albania / Project of improvement of the drinkable water service in the region of Durrës</w:t>
            </w:r>
          </w:p>
        </w:tc>
        <w:tc>
          <w:tcPr>
            <w:tcW w:w="1476" w:type="dxa"/>
            <w:hideMark/>
          </w:tcPr>
          <w:p w14:paraId="78E809E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780,000.00</w:t>
            </w:r>
          </w:p>
        </w:tc>
        <w:tc>
          <w:tcPr>
            <w:tcW w:w="847" w:type="dxa"/>
            <w:hideMark/>
          </w:tcPr>
          <w:p w14:paraId="78D10B8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6B348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6EC761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87B742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323B23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B77DA3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1FFB56B6" w14:textId="0971628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3D2012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C9EB1F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Albania / Project of improvement of the drinkable water service in the region of Durrës</w:t>
            </w:r>
          </w:p>
        </w:tc>
        <w:tc>
          <w:tcPr>
            <w:tcW w:w="1476" w:type="dxa"/>
            <w:hideMark/>
          </w:tcPr>
          <w:p w14:paraId="2F1D9F9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w:t>
            </w:r>
          </w:p>
        </w:tc>
        <w:tc>
          <w:tcPr>
            <w:tcW w:w="847" w:type="dxa"/>
            <w:hideMark/>
          </w:tcPr>
          <w:p w14:paraId="1E7FC49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6A6785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B62F85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EDD386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7C9C6B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2D9720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4AF994E5" w14:textId="31E91B2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4A583FA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A83784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Albania / Strenghtening project of humid zones management in the Balkans for the conservation of the dalmatian Pelican</w:t>
            </w:r>
          </w:p>
        </w:tc>
        <w:tc>
          <w:tcPr>
            <w:tcW w:w="1476" w:type="dxa"/>
            <w:hideMark/>
          </w:tcPr>
          <w:p w14:paraId="70AA3BB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w:t>
            </w:r>
          </w:p>
        </w:tc>
        <w:tc>
          <w:tcPr>
            <w:tcW w:w="847" w:type="dxa"/>
            <w:hideMark/>
          </w:tcPr>
          <w:p w14:paraId="4DC0F7D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EF043A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2611E8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2DC595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A5C189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5A28960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62113CD9" w14:textId="3BEA560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16C0194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68EB5F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Albania / Strenghtening project of humid zones management in the Balkans for the conservation of the dalmatian Pelican</w:t>
            </w:r>
          </w:p>
        </w:tc>
        <w:tc>
          <w:tcPr>
            <w:tcW w:w="1476" w:type="dxa"/>
            <w:hideMark/>
          </w:tcPr>
          <w:p w14:paraId="1BE6DB4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w:t>
            </w:r>
          </w:p>
        </w:tc>
        <w:tc>
          <w:tcPr>
            <w:tcW w:w="847" w:type="dxa"/>
            <w:hideMark/>
          </w:tcPr>
          <w:p w14:paraId="027829B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6E5E87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D12F40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B29354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6EE5C4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1570E8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3D3FDE6" w14:textId="3AE37A6E"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5C85C0C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2967F8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Armenia / Development of floating solar power station</w:t>
            </w:r>
          </w:p>
        </w:tc>
        <w:tc>
          <w:tcPr>
            <w:tcW w:w="1476" w:type="dxa"/>
            <w:hideMark/>
          </w:tcPr>
          <w:p w14:paraId="42A7238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794,016.00</w:t>
            </w:r>
          </w:p>
        </w:tc>
        <w:tc>
          <w:tcPr>
            <w:tcW w:w="847" w:type="dxa"/>
            <w:hideMark/>
          </w:tcPr>
          <w:p w14:paraId="2109CDF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02EC51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4AABD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4B007D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02992C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5EFD32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C852FC1" w14:textId="03C20DC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38F95E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240641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Bangladesh / Financing of investments in renewable energy, energy efficiency and women' entrepreneurship</w:t>
            </w:r>
          </w:p>
        </w:tc>
        <w:tc>
          <w:tcPr>
            <w:tcW w:w="1476" w:type="dxa"/>
            <w:hideMark/>
          </w:tcPr>
          <w:p w14:paraId="4B4C6DC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45,000,000.00</w:t>
            </w:r>
          </w:p>
        </w:tc>
        <w:tc>
          <w:tcPr>
            <w:tcW w:w="847" w:type="dxa"/>
            <w:hideMark/>
          </w:tcPr>
          <w:p w14:paraId="4E1BE6D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F74DDB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16A94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0C1062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817174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8E425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3732642" w14:textId="3289862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167D91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677B14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Bangladesh / Modernisation of social programs and support to the covid-19 crisis' response</w:t>
            </w:r>
          </w:p>
        </w:tc>
        <w:tc>
          <w:tcPr>
            <w:tcW w:w="1476" w:type="dxa"/>
            <w:hideMark/>
          </w:tcPr>
          <w:p w14:paraId="48D937F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34,500,000.00</w:t>
            </w:r>
          </w:p>
        </w:tc>
        <w:tc>
          <w:tcPr>
            <w:tcW w:w="847" w:type="dxa"/>
            <w:hideMark/>
          </w:tcPr>
          <w:p w14:paraId="50445DD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9D0BE8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82AD89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EC45A5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DC9D57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30F937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(cities)</w:t>
            </w:r>
          </w:p>
        </w:tc>
        <w:tc>
          <w:tcPr>
            <w:tcW w:w="2031" w:type="dxa"/>
            <w:hideMark/>
          </w:tcPr>
          <w:p w14:paraId="479A3173" w14:textId="74F8BF7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EE8AB5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800898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Cambodia / Development program of rural infrastructures "RID4CAM"</w:t>
            </w:r>
          </w:p>
        </w:tc>
        <w:tc>
          <w:tcPr>
            <w:tcW w:w="1476" w:type="dxa"/>
            <w:hideMark/>
          </w:tcPr>
          <w:p w14:paraId="17A798D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50,000,000.00</w:t>
            </w:r>
          </w:p>
        </w:tc>
        <w:tc>
          <w:tcPr>
            <w:tcW w:w="847" w:type="dxa"/>
            <w:hideMark/>
          </w:tcPr>
          <w:p w14:paraId="139E5A7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D0047F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ED6166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6254D3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010503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CE1EC8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23CBB42" w14:textId="74CFB4F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8307ED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F01223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Cambodia / Agricultural Value Chain Competitiveness and Safety Enhancement Project</w:t>
            </w:r>
          </w:p>
        </w:tc>
        <w:tc>
          <w:tcPr>
            <w:tcW w:w="1476" w:type="dxa"/>
            <w:hideMark/>
          </w:tcPr>
          <w:p w14:paraId="0989442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20,000,000.00</w:t>
            </w:r>
          </w:p>
        </w:tc>
        <w:tc>
          <w:tcPr>
            <w:tcW w:w="847" w:type="dxa"/>
            <w:hideMark/>
          </w:tcPr>
          <w:p w14:paraId="72089FA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FE0A8F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8BE347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3EE957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2E7C12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FE8E7D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5513805E" w14:textId="618A56CD"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6237AB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77E34F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China / Ecological revitalisation in the District of Pingnan  (Fujian Province)</w:t>
            </w:r>
          </w:p>
        </w:tc>
        <w:tc>
          <w:tcPr>
            <w:tcW w:w="1476" w:type="dxa"/>
            <w:hideMark/>
          </w:tcPr>
          <w:p w14:paraId="2FC329D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16,400,000.00</w:t>
            </w:r>
          </w:p>
        </w:tc>
        <w:tc>
          <w:tcPr>
            <w:tcW w:w="847" w:type="dxa"/>
            <w:hideMark/>
          </w:tcPr>
          <w:p w14:paraId="6D2A1BB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3751A5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E7F2DC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00C066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85E98D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019B6B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58338B6" w14:textId="5604589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137547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A281EE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China / Ecological revitalisation in the District of Pingnan  (Fujian Province)</w:t>
            </w:r>
          </w:p>
        </w:tc>
        <w:tc>
          <w:tcPr>
            <w:tcW w:w="1476" w:type="dxa"/>
            <w:hideMark/>
          </w:tcPr>
          <w:p w14:paraId="1035EB3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2,800,000.00</w:t>
            </w:r>
          </w:p>
        </w:tc>
        <w:tc>
          <w:tcPr>
            <w:tcW w:w="847" w:type="dxa"/>
            <w:hideMark/>
          </w:tcPr>
          <w:p w14:paraId="7F8C92E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EEBF15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C979A5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F0994E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DA19D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C2A241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7B7CCC5" w14:textId="17C038F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05A2E8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2AF59B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 xml:space="preserve">China / Energy cogeneration from agricultural and forestry biomass in the city of Xinzhou (Shanxi Province) </w:t>
            </w:r>
          </w:p>
        </w:tc>
        <w:tc>
          <w:tcPr>
            <w:tcW w:w="1476" w:type="dxa"/>
            <w:hideMark/>
          </w:tcPr>
          <w:p w14:paraId="5C11226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27,000,000.00</w:t>
            </w:r>
          </w:p>
        </w:tc>
        <w:tc>
          <w:tcPr>
            <w:tcW w:w="847" w:type="dxa"/>
            <w:hideMark/>
          </w:tcPr>
          <w:p w14:paraId="186106A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D493AF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D66F63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200341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CDBDC6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9A256A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3E2D6DF" w14:textId="4EC1885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0F50CB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EB80B9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Cook Islands / Financing grant of Oceanian Network of Public Health Surveillance (ROSSP in French)</w:t>
            </w:r>
          </w:p>
        </w:tc>
        <w:tc>
          <w:tcPr>
            <w:tcW w:w="1476" w:type="dxa"/>
            <w:hideMark/>
          </w:tcPr>
          <w:p w14:paraId="75A2A20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2,000,000.00</w:t>
            </w:r>
          </w:p>
        </w:tc>
        <w:tc>
          <w:tcPr>
            <w:tcW w:w="847" w:type="dxa"/>
            <w:hideMark/>
          </w:tcPr>
          <w:p w14:paraId="7B2F140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81F310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FA871B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C20799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4E4669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940DAE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181A3878" w14:textId="7796887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23945AA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3F4A58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Georgia / Improvement of floading risk prevention and water surface quality deradation in Tbilissi</w:t>
            </w:r>
          </w:p>
        </w:tc>
        <w:tc>
          <w:tcPr>
            <w:tcW w:w="1476" w:type="dxa"/>
            <w:hideMark/>
          </w:tcPr>
          <w:p w14:paraId="2B7E69C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735,095.00</w:t>
            </w:r>
          </w:p>
        </w:tc>
        <w:tc>
          <w:tcPr>
            <w:tcW w:w="847" w:type="dxa"/>
            <w:hideMark/>
          </w:tcPr>
          <w:p w14:paraId="2BADEE2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A966B1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79652A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CEDA49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3CFF91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C94B99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00A06020" w14:textId="22C26EF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89CA12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D67A1C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Georgia / Third loan of public policy for the development of energy efficiency and reform implementation (top-up Covid)</w:t>
            </w:r>
          </w:p>
        </w:tc>
        <w:tc>
          <w:tcPr>
            <w:tcW w:w="1476" w:type="dxa"/>
            <w:hideMark/>
          </w:tcPr>
          <w:p w14:paraId="5BB50E3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120,000,000.00</w:t>
            </w:r>
          </w:p>
        </w:tc>
        <w:tc>
          <w:tcPr>
            <w:tcW w:w="847" w:type="dxa"/>
            <w:hideMark/>
          </w:tcPr>
          <w:p w14:paraId="4BF0274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720446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BED33A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5E380C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3CF6C5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77B311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C176578" w14:textId="4C426A5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77E2122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BE053D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India / Acquisition of a stake - energy sector</w:t>
            </w:r>
          </w:p>
        </w:tc>
        <w:tc>
          <w:tcPr>
            <w:tcW w:w="1476" w:type="dxa"/>
            <w:hideMark/>
          </w:tcPr>
          <w:p w14:paraId="07FCB7F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4,466,262.00</w:t>
            </w:r>
          </w:p>
        </w:tc>
        <w:tc>
          <w:tcPr>
            <w:tcW w:w="847" w:type="dxa"/>
            <w:hideMark/>
          </w:tcPr>
          <w:p w14:paraId="052B6C2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DE10F0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E0B3B5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3FF1504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16" w:type="dxa"/>
            <w:hideMark/>
          </w:tcPr>
          <w:p w14:paraId="27A27B0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F55B7D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679C0B1" w14:textId="2E0DB59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741F874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6DE4EE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India / Financing of a photovoltaic plant</w:t>
            </w:r>
          </w:p>
        </w:tc>
        <w:tc>
          <w:tcPr>
            <w:tcW w:w="1476" w:type="dxa"/>
            <w:hideMark/>
          </w:tcPr>
          <w:p w14:paraId="098703AA"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33,875,935.00</w:t>
            </w:r>
          </w:p>
        </w:tc>
        <w:tc>
          <w:tcPr>
            <w:tcW w:w="847" w:type="dxa"/>
            <w:hideMark/>
          </w:tcPr>
          <w:p w14:paraId="1BA4464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8281FF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65F970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C31E64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(Guarantee)</w:t>
            </w:r>
          </w:p>
        </w:tc>
        <w:tc>
          <w:tcPr>
            <w:tcW w:w="1016" w:type="dxa"/>
            <w:hideMark/>
          </w:tcPr>
          <w:p w14:paraId="415ADEA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61C3F0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4AAB647" w14:textId="005F250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2163C0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8948AB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India / Project of continuous supply of drinkable water in the city of Chandigarh</w:t>
            </w:r>
          </w:p>
        </w:tc>
        <w:tc>
          <w:tcPr>
            <w:tcW w:w="1476" w:type="dxa"/>
            <w:hideMark/>
          </w:tcPr>
          <w:p w14:paraId="7599D6F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22,080,000.00</w:t>
            </w:r>
          </w:p>
        </w:tc>
        <w:tc>
          <w:tcPr>
            <w:tcW w:w="847" w:type="dxa"/>
            <w:hideMark/>
          </w:tcPr>
          <w:p w14:paraId="29D85E6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CAB6B5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740D59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D4F1A0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EA6A1B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9979AA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68153EC7" w14:textId="2EC7F83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D0DB29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A0982F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India / Project of continuous supply of drinkable water in the city of Chandigarh</w:t>
            </w:r>
          </w:p>
        </w:tc>
        <w:tc>
          <w:tcPr>
            <w:tcW w:w="1476" w:type="dxa"/>
            <w:hideMark/>
          </w:tcPr>
          <w:p w14:paraId="59F19D2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22,560,000.00</w:t>
            </w:r>
          </w:p>
        </w:tc>
        <w:tc>
          <w:tcPr>
            <w:tcW w:w="847" w:type="dxa"/>
            <w:hideMark/>
          </w:tcPr>
          <w:p w14:paraId="2526211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2D0D70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0D6400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662F22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CF0C96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C6BBC0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7C192E2F" w14:textId="134946B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51AD33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1892BE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India / Public policy loan in the sector of the social protection in the framework of the Covid-19 pandemics in India</w:t>
            </w:r>
          </w:p>
        </w:tc>
        <w:tc>
          <w:tcPr>
            <w:tcW w:w="1476" w:type="dxa"/>
            <w:hideMark/>
          </w:tcPr>
          <w:p w14:paraId="466585F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w:t>
            </w:r>
          </w:p>
        </w:tc>
        <w:tc>
          <w:tcPr>
            <w:tcW w:w="847" w:type="dxa"/>
            <w:hideMark/>
          </w:tcPr>
          <w:p w14:paraId="3FD25C0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420807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EBF5A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03B942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8B08F7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87B96A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084F4BC7" w14:textId="6075D12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AFD/STOA</w:t>
            </w:r>
          </w:p>
        </w:tc>
      </w:tr>
      <w:tr w:rsidR="00927E59" w:rsidRPr="005B54EE" w14:paraId="79B178F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126524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 xml:space="preserve">India / Calabria windpower farm </w:t>
            </w:r>
          </w:p>
        </w:tc>
        <w:tc>
          <w:tcPr>
            <w:tcW w:w="1476" w:type="dxa"/>
            <w:hideMark/>
          </w:tcPr>
          <w:p w14:paraId="462F517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45,000,000.00</w:t>
            </w:r>
          </w:p>
        </w:tc>
        <w:tc>
          <w:tcPr>
            <w:tcW w:w="847" w:type="dxa"/>
            <w:hideMark/>
          </w:tcPr>
          <w:p w14:paraId="2054729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2BC94B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7A33C5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4C4E2D4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16" w:type="dxa"/>
            <w:hideMark/>
          </w:tcPr>
          <w:p w14:paraId="6E2C7AD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B72BB0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B7E5C8E" w14:textId="49744ED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E07BEA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87AA39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Indonesia / KRisNA - capacity building  of Indonesian oceanographic research project</w:t>
            </w:r>
          </w:p>
        </w:tc>
        <w:tc>
          <w:tcPr>
            <w:tcW w:w="1476" w:type="dxa"/>
            <w:hideMark/>
          </w:tcPr>
          <w:p w14:paraId="03E2246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43,200,000.00</w:t>
            </w:r>
          </w:p>
        </w:tc>
        <w:tc>
          <w:tcPr>
            <w:tcW w:w="847" w:type="dxa"/>
            <w:hideMark/>
          </w:tcPr>
          <w:p w14:paraId="159A7F3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3105DD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5ECE5A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C33551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854454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3F15F5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DE2BA08" w14:textId="6839B25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2322FD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A2A600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Indonesia / KRisNA - capacity building  of Indonesian oceanographic research project</w:t>
            </w:r>
          </w:p>
        </w:tc>
        <w:tc>
          <w:tcPr>
            <w:tcW w:w="1476" w:type="dxa"/>
            <w:hideMark/>
          </w:tcPr>
          <w:p w14:paraId="16B3493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64,800,000.00</w:t>
            </w:r>
          </w:p>
        </w:tc>
        <w:tc>
          <w:tcPr>
            <w:tcW w:w="847" w:type="dxa"/>
            <w:hideMark/>
          </w:tcPr>
          <w:p w14:paraId="770C4D7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E04DEE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BE8AD9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85974D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AE4524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434E5C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C5FCC6C" w14:textId="24A9C9A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18F998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A6308F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Indonesia / Program to strengthen resilience against natural disasters (PrPP DREAM: Disaster Risk Enhancement and Management Programme)</w:t>
            </w:r>
          </w:p>
        </w:tc>
        <w:tc>
          <w:tcPr>
            <w:tcW w:w="1476" w:type="dxa"/>
            <w:hideMark/>
          </w:tcPr>
          <w:p w14:paraId="645B400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77,000,000.00</w:t>
            </w:r>
          </w:p>
        </w:tc>
        <w:tc>
          <w:tcPr>
            <w:tcW w:w="847" w:type="dxa"/>
            <w:hideMark/>
          </w:tcPr>
          <w:p w14:paraId="1BB4EA2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6885D5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871DE1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3632D5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ECF59E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3B8604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(disaster Risk)</w:t>
            </w:r>
          </w:p>
        </w:tc>
        <w:tc>
          <w:tcPr>
            <w:tcW w:w="2031" w:type="dxa"/>
            <w:hideMark/>
          </w:tcPr>
          <w:p w14:paraId="1351BB6A" w14:textId="116BA7C1"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07ACE3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D0125C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Indonesia / Public policy Loan for resilience strenghtening of Indonesian financial system</w:t>
            </w:r>
          </w:p>
        </w:tc>
        <w:tc>
          <w:tcPr>
            <w:tcW w:w="1476" w:type="dxa"/>
            <w:hideMark/>
          </w:tcPr>
          <w:p w14:paraId="701358C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13,900,000.00</w:t>
            </w:r>
          </w:p>
        </w:tc>
        <w:tc>
          <w:tcPr>
            <w:tcW w:w="847" w:type="dxa"/>
            <w:hideMark/>
          </w:tcPr>
          <w:p w14:paraId="31418C1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AA7C7B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1A47E6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E9242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C1F8F6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1CDAA4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A0943CC" w14:textId="6ADDAFC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10A11A3"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244E28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Indonesia / Public policy Loan for resilience strenghtening of Indonesian financial system</w:t>
            </w:r>
          </w:p>
        </w:tc>
        <w:tc>
          <w:tcPr>
            <w:tcW w:w="1476" w:type="dxa"/>
            <w:hideMark/>
          </w:tcPr>
          <w:p w14:paraId="27B4104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2,800,000.00</w:t>
            </w:r>
          </w:p>
        </w:tc>
        <w:tc>
          <w:tcPr>
            <w:tcW w:w="847" w:type="dxa"/>
            <w:hideMark/>
          </w:tcPr>
          <w:p w14:paraId="41E0EC4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CD4929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2081DD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C6CC40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3A9FA7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AFB909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FE78C9B" w14:textId="11DDA23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3BF7C4E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A5399D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Jordan / Partial refinancing - waste water treatment</w:t>
            </w:r>
          </w:p>
        </w:tc>
        <w:tc>
          <w:tcPr>
            <w:tcW w:w="1476" w:type="dxa"/>
            <w:hideMark/>
          </w:tcPr>
          <w:p w14:paraId="6440CDA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28,676,405.00</w:t>
            </w:r>
          </w:p>
        </w:tc>
        <w:tc>
          <w:tcPr>
            <w:tcW w:w="847" w:type="dxa"/>
            <w:hideMark/>
          </w:tcPr>
          <w:p w14:paraId="251E5AA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887BFF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ADC024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5513E2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8CB4E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1A8A35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4344A842" w14:textId="11A58A1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E04F4B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B4A362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Jordan / Sanitation project in the region of Ramtha and Sahel Houran</w:t>
            </w:r>
          </w:p>
        </w:tc>
        <w:tc>
          <w:tcPr>
            <w:tcW w:w="1476" w:type="dxa"/>
            <w:hideMark/>
          </w:tcPr>
          <w:p w14:paraId="590C344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10,000,000.00</w:t>
            </w:r>
          </w:p>
        </w:tc>
        <w:tc>
          <w:tcPr>
            <w:tcW w:w="847" w:type="dxa"/>
            <w:hideMark/>
          </w:tcPr>
          <w:p w14:paraId="443E9E4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149CCE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746709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45B27C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812CB8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4179F2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3941D7EA" w14:textId="0BBD723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8290D7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F2BE51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Jordan / Sanitation project in the region of Ramtha and Sahel Houran</w:t>
            </w:r>
          </w:p>
        </w:tc>
        <w:tc>
          <w:tcPr>
            <w:tcW w:w="1476" w:type="dxa"/>
            <w:hideMark/>
          </w:tcPr>
          <w:p w14:paraId="2201A04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10,000,000.00</w:t>
            </w:r>
          </w:p>
        </w:tc>
        <w:tc>
          <w:tcPr>
            <w:tcW w:w="847" w:type="dxa"/>
            <w:hideMark/>
          </w:tcPr>
          <w:p w14:paraId="336F226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987BC5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751E15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B3E071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5A1EFD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079FA3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02801EC5" w14:textId="16D44FC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8A60FE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9F5391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Jordan / Support to the mobility and urban transport of Grand Amman Municipality: proceedng of financing of BRT (Bus Rapid Transit) Network</w:t>
            </w:r>
          </w:p>
        </w:tc>
        <w:tc>
          <w:tcPr>
            <w:tcW w:w="1476" w:type="dxa"/>
            <w:hideMark/>
          </w:tcPr>
          <w:p w14:paraId="3F9AEE3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50,000,000.00</w:t>
            </w:r>
          </w:p>
        </w:tc>
        <w:tc>
          <w:tcPr>
            <w:tcW w:w="847" w:type="dxa"/>
            <w:hideMark/>
          </w:tcPr>
          <w:p w14:paraId="35B0EB7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F46EB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EB93C9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355865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310185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B81AB4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38957493" w14:textId="6F1EBEF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810571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5BC1AD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Jordan / Smart development of eco-friendly solutions and economic regional agricultural techniques (Smart Desert)</w:t>
            </w:r>
          </w:p>
        </w:tc>
        <w:tc>
          <w:tcPr>
            <w:tcW w:w="1476" w:type="dxa"/>
            <w:hideMark/>
          </w:tcPr>
          <w:p w14:paraId="4C5E2D0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7,500,000.00</w:t>
            </w:r>
          </w:p>
        </w:tc>
        <w:tc>
          <w:tcPr>
            <w:tcW w:w="847" w:type="dxa"/>
            <w:hideMark/>
          </w:tcPr>
          <w:p w14:paraId="53F242A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FF4DE9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00BDE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250D17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17F7FF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35C1A9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5F75DF9C" w14:textId="31C02F8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7DD6DA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5E8D02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LAOS / Project of sustainable management in micro-watershed plans in the North of Laos (SWAN Laos)</w:t>
            </w:r>
          </w:p>
        </w:tc>
        <w:tc>
          <w:tcPr>
            <w:tcW w:w="1476" w:type="dxa"/>
            <w:hideMark/>
          </w:tcPr>
          <w:p w14:paraId="3F869C7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4,500,000.00</w:t>
            </w:r>
          </w:p>
        </w:tc>
        <w:tc>
          <w:tcPr>
            <w:tcW w:w="847" w:type="dxa"/>
            <w:hideMark/>
          </w:tcPr>
          <w:p w14:paraId="2A2C9C4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C751C7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3D23A6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3166EB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EA1FCE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77114D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383A83C2" w14:textId="5DC9741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168AF95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4C4D17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LAOS / Sustainable management project of Nyot Ou Land: Soil protection and support to tea producers</w:t>
            </w:r>
          </w:p>
        </w:tc>
        <w:tc>
          <w:tcPr>
            <w:tcW w:w="1476" w:type="dxa"/>
            <w:hideMark/>
          </w:tcPr>
          <w:p w14:paraId="4DA4EA1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155,000.00</w:t>
            </w:r>
          </w:p>
        </w:tc>
        <w:tc>
          <w:tcPr>
            <w:tcW w:w="847" w:type="dxa"/>
            <w:hideMark/>
          </w:tcPr>
          <w:p w14:paraId="4AB4899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B0EF93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87A7B0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DCEBE8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F6FBB4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C7046D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A5B95B5" w14:textId="2029C93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6CC969C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C8BC44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LAOS / Sustainable management project of Nyot Ou Land: Soil protection and support to tea producers</w:t>
            </w:r>
          </w:p>
        </w:tc>
        <w:tc>
          <w:tcPr>
            <w:tcW w:w="1476" w:type="dxa"/>
            <w:hideMark/>
          </w:tcPr>
          <w:p w14:paraId="48F6FEC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155,000.00</w:t>
            </w:r>
          </w:p>
        </w:tc>
        <w:tc>
          <w:tcPr>
            <w:tcW w:w="847" w:type="dxa"/>
            <w:hideMark/>
          </w:tcPr>
          <w:p w14:paraId="4698669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FA584D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BE5932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14B2CB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BFF318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81C326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5CC781BF" w14:textId="7DED11AD"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50375B0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5EBFEF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Caracterization and recyling of  waste for reconstruction</w:t>
            </w:r>
          </w:p>
        </w:tc>
        <w:tc>
          <w:tcPr>
            <w:tcW w:w="1476" w:type="dxa"/>
            <w:hideMark/>
          </w:tcPr>
          <w:p w14:paraId="49A207F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328,000.00</w:t>
            </w:r>
          </w:p>
        </w:tc>
        <w:tc>
          <w:tcPr>
            <w:tcW w:w="847" w:type="dxa"/>
            <w:hideMark/>
          </w:tcPr>
          <w:p w14:paraId="6817DF8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6E7073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80DE77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876539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E71B60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B5FF84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(waste Management)</w:t>
            </w:r>
          </w:p>
        </w:tc>
        <w:tc>
          <w:tcPr>
            <w:tcW w:w="2031" w:type="dxa"/>
            <w:hideMark/>
          </w:tcPr>
          <w:p w14:paraId="7BC503FF" w14:textId="5080D3F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82B642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6ABEC1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Structuration of the drinkable water and sanitation service at Ersaal and Valley</w:t>
            </w:r>
          </w:p>
        </w:tc>
        <w:tc>
          <w:tcPr>
            <w:tcW w:w="1476" w:type="dxa"/>
            <w:hideMark/>
          </w:tcPr>
          <w:p w14:paraId="3C8D124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11,288,000.00</w:t>
            </w:r>
          </w:p>
        </w:tc>
        <w:tc>
          <w:tcPr>
            <w:tcW w:w="847" w:type="dxa"/>
            <w:hideMark/>
          </w:tcPr>
          <w:p w14:paraId="0B04468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E127D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65693B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26E50B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D1C3A6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EF94FC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7D76F895" w14:textId="1389E18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13AF35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3AE78C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Structuration of the drinkable water and sanitation service at Ersaal and Valley</w:t>
            </w:r>
          </w:p>
        </w:tc>
        <w:tc>
          <w:tcPr>
            <w:tcW w:w="1476" w:type="dxa"/>
            <w:hideMark/>
          </w:tcPr>
          <w:p w14:paraId="275D064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1,162,000.00</w:t>
            </w:r>
          </w:p>
        </w:tc>
        <w:tc>
          <w:tcPr>
            <w:tcW w:w="847" w:type="dxa"/>
            <w:hideMark/>
          </w:tcPr>
          <w:p w14:paraId="36C66EF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59AE04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19ADDA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D35619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3EE0AF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E2689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477BBE29" w14:textId="4CD7BF9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A7DE8E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D968FF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I. MO Disaster Risk Reduction Lebanon</w:t>
            </w:r>
          </w:p>
        </w:tc>
        <w:tc>
          <w:tcPr>
            <w:tcW w:w="1476" w:type="dxa"/>
            <w:hideMark/>
          </w:tcPr>
          <w:p w14:paraId="141E1A0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9,600,000.00</w:t>
            </w:r>
          </w:p>
        </w:tc>
        <w:tc>
          <w:tcPr>
            <w:tcW w:w="847" w:type="dxa"/>
            <w:hideMark/>
          </w:tcPr>
          <w:p w14:paraId="61D8440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0B7563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473CF0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9DB19B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5763BD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3E2E0D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31D8F00D" w14:textId="78A3615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155911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B5DD3D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I. MO Disaster Risk Reduction Lebanon</w:t>
            </w:r>
          </w:p>
        </w:tc>
        <w:tc>
          <w:tcPr>
            <w:tcW w:w="1476" w:type="dxa"/>
            <w:hideMark/>
          </w:tcPr>
          <w:p w14:paraId="5995CA9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2,494,475.00</w:t>
            </w:r>
          </w:p>
        </w:tc>
        <w:tc>
          <w:tcPr>
            <w:tcW w:w="847" w:type="dxa"/>
            <w:hideMark/>
          </w:tcPr>
          <w:p w14:paraId="6289955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333E57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8F676B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72355A0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3CC32B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BC32EF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19EC8275" w14:textId="218ED16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EE18F4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AAC810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I. MO Disaster Risk Reduction Lebanon</w:t>
            </w:r>
          </w:p>
        </w:tc>
        <w:tc>
          <w:tcPr>
            <w:tcW w:w="1476" w:type="dxa"/>
            <w:hideMark/>
          </w:tcPr>
          <w:p w14:paraId="76DF3A5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1,500,000.00</w:t>
            </w:r>
          </w:p>
        </w:tc>
        <w:tc>
          <w:tcPr>
            <w:tcW w:w="847" w:type="dxa"/>
            <w:hideMark/>
          </w:tcPr>
          <w:p w14:paraId="6CCF0AE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DE2295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858DE5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455E95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EE4E07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D83B10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702B7983" w14:textId="6986C1B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5CF939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E43486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I. MO OICC Support to the NGO "Arc-en-ciel" (in French) or Rainbow</w:t>
            </w:r>
          </w:p>
        </w:tc>
        <w:tc>
          <w:tcPr>
            <w:tcW w:w="1476" w:type="dxa"/>
            <w:hideMark/>
          </w:tcPr>
          <w:p w14:paraId="363E541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210,000.00</w:t>
            </w:r>
          </w:p>
        </w:tc>
        <w:tc>
          <w:tcPr>
            <w:tcW w:w="847" w:type="dxa"/>
            <w:hideMark/>
          </w:tcPr>
          <w:p w14:paraId="102BDB2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D8446B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69A57A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A21E59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17244C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7C5354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03999401" w14:textId="45AEBD6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736B4C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75EB46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Lebanon / Rehabilitation of a public hospital of Quarantine in Beyrouth</w:t>
            </w:r>
          </w:p>
        </w:tc>
        <w:tc>
          <w:tcPr>
            <w:tcW w:w="1476" w:type="dxa"/>
            <w:hideMark/>
          </w:tcPr>
          <w:p w14:paraId="073CBF9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w:t>
            </w:r>
          </w:p>
        </w:tc>
        <w:tc>
          <w:tcPr>
            <w:tcW w:w="847" w:type="dxa"/>
            <w:hideMark/>
          </w:tcPr>
          <w:p w14:paraId="408E153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5CFA16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970243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E2A417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61EA39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076892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E78B14C" w14:textId="5A34F8A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C</w:t>
            </w:r>
          </w:p>
        </w:tc>
      </w:tr>
      <w:tr w:rsidR="00927E59" w:rsidRPr="005B54EE" w14:paraId="0D65934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8C2466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Malaysia / ClimaTe Resilient lAndscapes for wildLife conservation</w:t>
            </w:r>
          </w:p>
        </w:tc>
        <w:tc>
          <w:tcPr>
            <w:tcW w:w="1476" w:type="dxa"/>
            <w:hideMark/>
          </w:tcPr>
          <w:p w14:paraId="2012DC7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327,000.00</w:t>
            </w:r>
          </w:p>
        </w:tc>
        <w:tc>
          <w:tcPr>
            <w:tcW w:w="847" w:type="dxa"/>
            <w:hideMark/>
          </w:tcPr>
          <w:p w14:paraId="0EA0AA4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4B158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2AE8FC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DCFEC1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CA1EE4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3B3FCAA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194F2C5C" w14:textId="64F7FB6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Treasury loan</w:t>
            </w:r>
          </w:p>
        </w:tc>
      </w:tr>
      <w:tr w:rsidR="00927E59" w:rsidRPr="005B54EE" w14:paraId="462E955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CCFB3B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Mongolia / Construction of transport by urban cable</w:t>
            </w:r>
          </w:p>
        </w:tc>
        <w:tc>
          <w:tcPr>
            <w:tcW w:w="1476" w:type="dxa"/>
            <w:hideMark/>
          </w:tcPr>
          <w:p w14:paraId="172DE0F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60,700,000.00</w:t>
            </w:r>
          </w:p>
        </w:tc>
        <w:tc>
          <w:tcPr>
            <w:tcW w:w="847" w:type="dxa"/>
            <w:hideMark/>
          </w:tcPr>
          <w:p w14:paraId="561C8F7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0B8AE5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805C90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0FCED1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21FD73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A8FD5E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5B0E1453" w14:textId="2F00E47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0DD012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423CE4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Montenegro / Support to project financing Climate and Sustainability in Montenegro</w:t>
            </w:r>
          </w:p>
        </w:tc>
        <w:tc>
          <w:tcPr>
            <w:tcW w:w="1476" w:type="dxa"/>
            <w:hideMark/>
          </w:tcPr>
          <w:p w14:paraId="6CAD189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w:t>
            </w:r>
          </w:p>
        </w:tc>
        <w:tc>
          <w:tcPr>
            <w:tcW w:w="847" w:type="dxa"/>
            <w:hideMark/>
          </w:tcPr>
          <w:p w14:paraId="4795256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FC9DF6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E8B4DB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131A8F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92C081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940081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08835192" w14:textId="3E19AFB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C9F77E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981974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Montenegro / Support to project financing Climate and Sustainability in Montenegro</w:t>
            </w:r>
          </w:p>
        </w:tc>
        <w:tc>
          <w:tcPr>
            <w:tcW w:w="1476" w:type="dxa"/>
            <w:hideMark/>
          </w:tcPr>
          <w:p w14:paraId="6B95200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25,000,000.00</w:t>
            </w:r>
          </w:p>
        </w:tc>
        <w:tc>
          <w:tcPr>
            <w:tcW w:w="847" w:type="dxa"/>
            <w:hideMark/>
          </w:tcPr>
          <w:p w14:paraId="52FBD22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1BA72B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8CEDD8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316174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186F8D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20472D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6FB5CDA7" w14:textId="4B2047D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75890BD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CC73D9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Nepal / Integrated project for global reconstruction - phase 3</w:t>
            </w:r>
          </w:p>
        </w:tc>
        <w:tc>
          <w:tcPr>
            <w:tcW w:w="1476" w:type="dxa"/>
            <w:hideMark/>
          </w:tcPr>
          <w:p w14:paraId="0291D86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w:t>
            </w:r>
          </w:p>
        </w:tc>
        <w:tc>
          <w:tcPr>
            <w:tcW w:w="847" w:type="dxa"/>
            <w:hideMark/>
          </w:tcPr>
          <w:p w14:paraId="3028345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16D0C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F7272C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4A941A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C47D6C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B07F5A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B67BB4C" w14:textId="579BD25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B41C67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598A1B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Pakistan / Urban and touristic development in Fort of Lahort and surroundings</w:t>
            </w:r>
          </w:p>
        </w:tc>
        <w:tc>
          <w:tcPr>
            <w:tcW w:w="1476" w:type="dxa"/>
            <w:hideMark/>
          </w:tcPr>
          <w:p w14:paraId="6B806BC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11,660,000.00</w:t>
            </w:r>
          </w:p>
        </w:tc>
        <w:tc>
          <w:tcPr>
            <w:tcW w:w="847" w:type="dxa"/>
            <w:hideMark/>
          </w:tcPr>
          <w:p w14:paraId="38B4898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10C521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0B6EF1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14FFF77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AC4691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BFF81C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(urban Development)</w:t>
            </w:r>
          </w:p>
        </w:tc>
        <w:tc>
          <w:tcPr>
            <w:tcW w:w="2031" w:type="dxa"/>
            <w:hideMark/>
          </w:tcPr>
          <w:p w14:paraId="34235A08" w14:textId="5C34CC5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2C063A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56789B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Pakistan / Hydroelectric plant of Keyal Khwar</w:t>
            </w:r>
          </w:p>
        </w:tc>
        <w:tc>
          <w:tcPr>
            <w:tcW w:w="1476" w:type="dxa"/>
            <w:hideMark/>
          </w:tcPr>
          <w:p w14:paraId="601BEE9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120,000,000.00</w:t>
            </w:r>
          </w:p>
        </w:tc>
        <w:tc>
          <w:tcPr>
            <w:tcW w:w="847" w:type="dxa"/>
            <w:hideMark/>
          </w:tcPr>
          <w:p w14:paraId="2A9C723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ED688A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744BB3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2CE28C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A00572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A1C57B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C5E250E" w14:textId="4665A8A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F50DA0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9BACD4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Pakistan / Partial restoration of Clean Access Energy project</w:t>
            </w:r>
          </w:p>
        </w:tc>
        <w:tc>
          <w:tcPr>
            <w:tcW w:w="1476" w:type="dxa"/>
            <w:hideMark/>
          </w:tcPr>
          <w:p w14:paraId="2E62536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19,100,000.00</w:t>
            </w:r>
          </w:p>
        </w:tc>
        <w:tc>
          <w:tcPr>
            <w:tcW w:w="847" w:type="dxa"/>
            <w:hideMark/>
          </w:tcPr>
          <w:p w14:paraId="0D26166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936E0B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95777C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B9B59C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1CFCF2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C4AFD4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3E3A580" w14:textId="5EF3C73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4C3D299"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BC8C65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PALESTINIAN AUTONOMOUS TERRITORIES / Support to East-Jerusalem for its identity and resilience (AJIR)</w:t>
            </w:r>
          </w:p>
        </w:tc>
        <w:tc>
          <w:tcPr>
            <w:tcW w:w="1476" w:type="dxa"/>
            <w:hideMark/>
          </w:tcPr>
          <w:p w14:paraId="306DA6E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320,000.00</w:t>
            </w:r>
          </w:p>
        </w:tc>
        <w:tc>
          <w:tcPr>
            <w:tcW w:w="847" w:type="dxa"/>
            <w:hideMark/>
          </w:tcPr>
          <w:p w14:paraId="79A81D8A"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182377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B976FB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BA6310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1B48A9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63514D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2D6DB4F4" w14:textId="3524A14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0CE618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7732F3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PALESTINIAN AUTONOMOUS TERRITORIES / Support to East-Jerusalem for its identity and resilience (AJIR)</w:t>
            </w:r>
          </w:p>
        </w:tc>
        <w:tc>
          <w:tcPr>
            <w:tcW w:w="1476" w:type="dxa"/>
            <w:hideMark/>
          </w:tcPr>
          <w:p w14:paraId="28E83A7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320,000.00</w:t>
            </w:r>
          </w:p>
        </w:tc>
        <w:tc>
          <w:tcPr>
            <w:tcW w:w="847" w:type="dxa"/>
            <w:hideMark/>
          </w:tcPr>
          <w:p w14:paraId="7016972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DB1A36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2D6D0E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6182A7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8230D0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3B8671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0456CBA0" w14:textId="51AFF7F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A249D7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87FB4C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PALESTINIAN AUTONOMOUS TERRITORIES / Contribution to the project "Gaza Central Desalination Plant and Associated Works Program" (GCDP &amp; AWP) through WB fiduciary funds for associated works</w:t>
            </w:r>
          </w:p>
        </w:tc>
        <w:tc>
          <w:tcPr>
            <w:tcW w:w="1476" w:type="dxa"/>
            <w:hideMark/>
          </w:tcPr>
          <w:p w14:paraId="36464BF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4,180,000.00</w:t>
            </w:r>
          </w:p>
        </w:tc>
        <w:tc>
          <w:tcPr>
            <w:tcW w:w="847" w:type="dxa"/>
            <w:hideMark/>
          </w:tcPr>
          <w:p w14:paraId="41DD4C9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1D06BD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3C4E96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43BAC6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052A36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D54273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20709584" w14:textId="44FD1BAD"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E42BC0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9BA37D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PALESTINIAN AUTONOMOUS TERRITORIES / Complementary financing to "Municipal Development Programme" of MDLF to support local authorities in their response to the effects of covid-19 pandemics</w:t>
            </w:r>
          </w:p>
        </w:tc>
        <w:tc>
          <w:tcPr>
            <w:tcW w:w="1476" w:type="dxa"/>
            <w:hideMark/>
          </w:tcPr>
          <w:p w14:paraId="47FC5FB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420,000.00</w:t>
            </w:r>
          </w:p>
        </w:tc>
        <w:tc>
          <w:tcPr>
            <w:tcW w:w="847" w:type="dxa"/>
            <w:hideMark/>
          </w:tcPr>
          <w:p w14:paraId="37F09C9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4B40DA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A7D378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0C8312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B12695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C6086C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2E1F350B" w14:textId="6752C6B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60030FD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134ABB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Philippines / Extenion/cable transport in Manilla</w:t>
            </w:r>
          </w:p>
        </w:tc>
        <w:tc>
          <w:tcPr>
            <w:tcW w:w="1476" w:type="dxa"/>
            <w:hideMark/>
          </w:tcPr>
          <w:p w14:paraId="3CAB7A0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w:t>
            </w:r>
          </w:p>
        </w:tc>
        <w:tc>
          <w:tcPr>
            <w:tcW w:w="847" w:type="dxa"/>
            <w:hideMark/>
          </w:tcPr>
          <w:p w14:paraId="1975E28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A80D39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B41898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C4561F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CCD53B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C10A84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2613C897" w14:textId="64257AB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4AA82BA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08278E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Serbia / Demonstrator of a virtual natural reserve to sensitize populations to biodiversity preservation</w:t>
            </w:r>
          </w:p>
        </w:tc>
        <w:tc>
          <w:tcPr>
            <w:tcW w:w="1476" w:type="dxa"/>
            <w:hideMark/>
          </w:tcPr>
          <w:p w14:paraId="5865F82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475,425.00</w:t>
            </w:r>
          </w:p>
        </w:tc>
        <w:tc>
          <w:tcPr>
            <w:tcW w:w="847" w:type="dxa"/>
            <w:hideMark/>
          </w:tcPr>
          <w:p w14:paraId="5AEF060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EC81EE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E56594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1AB34E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01992E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02593F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(biodiversity)</w:t>
            </w:r>
          </w:p>
        </w:tc>
        <w:tc>
          <w:tcPr>
            <w:tcW w:w="2031" w:type="dxa"/>
            <w:hideMark/>
          </w:tcPr>
          <w:p w14:paraId="1CAA41BA" w14:textId="2432D45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71F5DCD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09E75A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Serbia / SME financing and green loans</w:t>
            </w:r>
          </w:p>
        </w:tc>
        <w:tc>
          <w:tcPr>
            <w:tcW w:w="1476" w:type="dxa"/>
            <w:hideMark/>
          </w:tcPr>
          <w:p w14:paraId="4A14BAB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13,500,000.00</w:t>
            </w:r>
          </w:p>
        </w:tc>
        <w:tc>
          <w:tcPr>
            <w:tcW w:w="847" w:type="dxa"/>
            <w:hideMark/>
          </w:tcPr>
          <w:p w14:paraId="184D0FE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F66B9B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2EFD4A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45BD304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05F2F7E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51E3CE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041342C9" w14:textId="6206E9C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C</w:t>
            </w:r>
          </w:p>
        </w:tc>
      </w:tr>
      <w:tr w:rsidR="00927E59" w:rsidRPr="005B54EE" w14:paraId="2DCF74B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025999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Sri Lanka / Infrastructure and coastal change management in the South and East of Sri Lanka</w:t>
            </w:r>
          </w:p>
        </w:tc>
        <w:tc>
          <w:tcPr>
            <w:tcW w:w="1476" w:type="dxa"/>
            <w:hideMark/>
          </w:tcPr>
          <w:p w14:paraId="3D830BC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w:t>
            </w:r>
          </w:p>
        </w:tc>
        <w:tc>
          <w:tcPr>
            <w:tcW w:w="847" w:type="dxa"/>
            <w:hideMark/>
          </w:tcPr>
          <w:p w14:paraId="6766BE4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B9ED03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6A66B5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9713D5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84A8CF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2F0FBF3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0A27A41C" w14:textId="2B04675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D14A34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ABCEF8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Vanuatu / Implementation of an integrated solution of waste management</w:t>
            </w:r>
          </w:p>
        </w:tc>
        <w:tc>
          <w:tcPr>
            <w:tcW w:w="1476" w:type="dxa"/>
            <w:hideMark/>
          </w:tcPr>
          <w:p w14:paraId="0D3D516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420,040.00</w:t>
            </w:r>
          </w:p>
        </w:tc>
        <w:tc>
          <w:tcPr>
            <w:tcW w:w="847" w:type="dxa"/>
            <w:hideMark/>
          </w:tcPr>
          <w:p w14:paraId="04699E7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2F0E2D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E3C3BD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7D13F4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174CD1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8ED175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(waste Management)</w:t>
            </w:r>
          </w:p>
        </w:tc>
        <w:tc>
          <w:tcPr>
            <w:tcW w:w="2031" w:type="dxa"/>
            <w:hideMark/>
          </w:tcPr>
          <w:p w14:paraId="6AA45318" w14:textId="3B38BEF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4920867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BC983C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VIETNAM / NAGIS - National Geographic Information System in support of sustainable management of aquacol sector resistant to the effects of climate change</w:t>
            </w:r>
          </w:p>
        </w:tc>
        <w:tc>
          <w:tcPr>
            <w:tcW w:w="1476" w:type="dxa"/>
            <w:hideMark/>
          </w:tcPr>
          <w:p w14:paraId="5CD276F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606,887.00</w:t>
            </w:r>
          </w:p>
        </w:tc>
        <w:tc>
          <w:tcPr>
            <w:tcW w:w="847" w:type="dxa"/>
            <w:hideMark/>
          </w:tcPr>
          <w:p w14:paraId="1129ADC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6FB936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C531C3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B6ECB4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479B73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C7690F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7BA37731" w14:textId="1A935DE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9C1D31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FD454A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VIETNAM / Green credit line with BIDV</w:t>
            </w:r>
          </w:p>
        </w:tc>
        <w:tc>
          <w:tcPr>
            <w:tcW w:w="1476" w:type="dxa"/>
            <w:hideMark/>
          </w:tcPr>
          <w:p w14:paraId="0FBFA1E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88,566,115.00</w:t>
            </w:r>
          </w:p>
        </w:tc>
        <w:tc>
          <w:tcPr>
            <w:tcW w:w="847" w:type="dxa"/>
            <w:hideMark/>
          </w:tcPr>
          <w:p w14:paraId="45B390E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4CAFAA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9FDF75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F0679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6816C1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E1BADA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6E0D115" w14:textId="06297D0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652ABCD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BCB151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VIETNAM / Senior loan to a bank for green projects financing</w:t>
            </w:r>
          </w:p>
        </w:tc>
        <w:tc>
          <w:tcPr>
            <w:tcW w:w="1476" w:type="dxa"/>
            <w:hideMark/>
          </w:tcPr>
          <w:p w14:paraId="28F5962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13,833,810.00</w:t>
            </w:r>
          </w:p>
        </w:tc>
        <w:tc>
          <w:tcPr>
            <w:tcW w:w="847" w:type="dxa"/>
            <w:hideMark/>
          </w:tcPr>
          <w:p w14:paraId="708E653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1CD729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1B166D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6DC22B9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4D0F9E5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B396E8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155125FB" w14:textId="22EFBFB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37E826A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39C4A5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VIETNAM / Portfolio financing of green credits</w:t>
            </w:r>
          </w:p>
        </w:tc>
        <w:tc>
          <w:tcPr>
            <w:tcW w:w="1476" w:type="dxa"/>
            <w:hideMark/>
          </w:tcPr>
          <w:p w14:paraId="0DDCE69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42,376,473.00</w:t>
            </w:r>
          </w:p>
        </w:tc>
        <w:tc>
          <w:tcPr>
            <w:tcW w:w="847" w:type="dxa"/>
            <w:hideMark/>
          </w:tcPr>
          <w:p w14:paraId="6E85FEE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591910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C76A08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4DF917B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6810661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82904D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38ABF524" w14:textId="68E780B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F6E8FB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02037A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VIETNAM / Energy Transition Partnership</w:t>
            </w:r>
          </w:p>
        </w:tc>
        <w:tc>
          <w:tcPr>
            <w:tcW w:w="1476" w:type="dxa"/>
            <w:hideMark/>
          </w:tcPr>
          <w:p w14:paraId="4F02D63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2,500,000.00</w:t>
            </w:r>
          </w:p>
        </w:tc>
        <w:tc>
          <w:tcPr>
            <w:tcW w:w="847" w:type="dxa"/>
            <w:hideMark/>
          </w:tcPr>
          <w:p w14:paraId="3AE17ED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7CC873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C6BA21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836423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4972D8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6BB07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00CA04E" w14:textId="1CC5FE7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CE4600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F8C9FA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VIETNAM / Support to Mekong River Commission</w:t>
            </w:r>
          </w:p>
        </w:tc>
        <w:tc>
          <w:tcPr>
            <w:tcW w:w="1476" w:type="dxa"/>
            <w:hideMark/>
          </w:tcPr>
          <w:p w14:paraId="00D65FC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1,500,000.00</w:t>
            </w:r>
          </w:p>
        </w:tc>
        <w:tc>
          <w:tcPr>
            <w:tcW w:w="847" w:type="dxa"/>
            <w:hideMark/>
          </w:tcPr>
          <w:p w14:paraId="3B261EE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07C5F2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E5C562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7620C5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77FDD9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F64B2F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2533522D" w14:textId="72E6048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4646CB80"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04440D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Uzbekistan / Financing of a 100 MW solar plant</w:t>
            </w:r>
          </w:p>
        </w:tc>
        <w:tc>
          <w:tcPr>
            <w:tcW w:w="1476" w:type="dxa"/>
            <w:hideMark/>
          </w:tcPr>
          <w:p w14:paraId="757915B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39,000,000.00</w:t>
            </w:r>
          </w:p>
        </w:tc>
        <w:tc>
          <w:tcPr>
            <w:tcW w:w="847" w:type="dxa"/>
            <w:hideMark/>
          </w:tcPr>
          <w:p w14:paraId="414390A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811624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DF3670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6DC4445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D7EC4C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34FD3D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487EDF3C" w14:textId="44447695"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350C496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4F9CB0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Uzbekistan / Financing of a 100 MW solar plant</w:t>
            </w:r>
          </w:p>
        </w:tc>
        <w:tc>
          <w:tcPr>
            <w:tcW w:w="1476" w:type="dxa"/>
            <w:hideMark/>
          </w:tcPr>
          <w:p w14:paraId="1DEDFFF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3,500,000.00</w:t>
            </w:r>
          </w:p>
        </w:tc>
        <w:tc>
          <w:tcPr>
            <w:tcW w:w="847" w:type="dxa"/>
            <w:hideMark/>
          </w:tcPr>
          <w:p w14:paraId="4E808FD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51A723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29D46C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76B232F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2D59F75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F7179E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F5F45F9" w14:textId="5BA61BDF"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3842C20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3680C0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Uzbekistan / Financing of a 100 MW solar plant</w:t>
            </w:r>
          </w:p>
        </w:tc>
        <w:tc>
          <w:tcPr>
            <w:tcW w:w="1476" w:type="dxa"/>
            <w:hideMark/>
          </w:tcPr>
          <w:p w14:paraId="39A2DAD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1,300,000.00</w:t>
            </w:r>
          </w:p>
        </w:tc>
        <w:tc>
          <w:tcPr>
            <w:tcW w:w="847" w:type="dxa"/>
            <w:hideMark/>
          </w:tcPr>
          <w:p w14:paraId="37B3141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C16C55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09CA42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5451F2B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66D81C3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BBF080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AA3C82A" w14:textId="183D038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FF05D1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4199CE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 xml:space="preserve">Uzbekistan / Project of development of urban sanitation systems in Uzbekistan, in the cities of Karmana, Kitob and Chakhrisabz </w:t>
            </w:r>
          </w:p>
        </w:tc>
        <w:tc>
          <w:tcPr>
            <w:tcW w:w="1476" w:type="dxa"/>
            <w:hideMark/>
          </w:tcPr>
          <w:p w14:paraId="15A4D2B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51,450,000.00</w:t>
            </w:r>
          </w:p>
        </w:tc>
        <w:tc>
          <w:tcPr>
            <w:tcW w:w="847" w:type="dxa"/>
            <w:hideMark/>
          </w:tcPr>
          <w:p w14:paraId="6F33672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2092C5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4F7ECE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647990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3C6963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47D41F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4458DBAD" w14:textId="3B8C418D"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F2E558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330A5C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 xml:space="preserve">Uzbekistan / Project of development of urban sanitation systems in Uzbekistan, in the cities of Karmana, Kitob and Chakhrisabz </w:t>
            </w:r>
          </w:p>
        </w:tc>
        <w:tc>
          <w:tcPr>
            <w:tcW w:w="1476" w:type="dxa"/>
            <w:hideMark/>
          </w:tcPr>
          <w:p w14:paraId="5C55B73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51,450,000.00</w:t>
            </w:r>
          </w:p>
        </w:tc>
        <w:tc>
          <w:tcPr>
            <w:tcW w:w="847" w:type="dxa"/>
            <w:hideMark/>
          </w:tcPr>
          <w:p w14:paraId="5F636C1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4375CE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AF468A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D60B5B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228643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29A062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79EB9E8C" w14:textId="4BF9842D"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D438BE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F93C87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Uzbekistan / Project of inclusive financing and  climate intelligent development in the sector of breeding</w:t>
            </w:r>
          </w:p>
        </w:tc>
        <w:tc>
          <w:tcPr>
            <w:tcW w:w="1476" w:type="dxa"/>
            <w:hideMark/>
          </w:tcPr>
          <w:p w14:paraId="337EBF2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30,000,000.00</w:t>
            </w:r>
          </w:p>
        </w:tc>
        <w:tc>
          <w:tcPr>
            <w:tcW w:w="847" w:type="dxa"/>
            <w:hideMark/>
          </w:tcPr>
          <w:p w14:paraId="2077CB9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EC9BE2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C90289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1722DE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458CDB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DD8BF8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F391E13" w14:textId="3421937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170090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35BF8C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Uzbekistan / Project of inclusive financing and  climate intelligent development in the sector of breeding</w:t>
            </w:r>
          </w:p>
        </w:tc>
        <w:tc>
          <w:tcPr>
            <w:tcW w:w="1476" w:type="dxa"/>
            <w:hideMark/>
          </w:tcPr>
          <w:p w14:paraId="2A6504C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40,000,000.00</w:t>
            </w:r>
          </w:p>
        </w:tc>
        <w:tc>
          <w:tcPr>
            <w:tcW w:w="847" w:type="dxa"/>
            <w:hideMark/>
          </w:tcPr>
          <w:p w14:paraId="007414C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04E577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87E07A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5F9A44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520ABE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16FDB6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B406BAF" w14:textId="6FA9AAC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756354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217B72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Uzbekistan / Public policy Loan Energy-Climate in the framework of the development program of the energy sector for a low-carbon economy</w:t>
            </w:r>
          </w:p>
        </w:tc>
        <w:tc>
          <w:tcPr>
            <w:tcW w:w="1476" w:type="dxa"/>
            <w:hideMark/>
          </w:tcPr>
          <w:p w14:paraId="22D90F1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120,000,000.00</w:t>
            </w:r>
          </w:p>
        </w:tc>
        <w:tc>
          <w:tcPr>
            <w:tcW w:w="847" w:type="dxa"/>
            <w:hideMark/>
          </w:tcPr>
          <w:p w14:paraId="7C24705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CF7BAE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6C9704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58E632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219501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0235D1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7B86061" w14:textId="2174831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5436CFE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1473FB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 xml:space="preserve">Brazil / Platform to improve water management, waste and public lighting </w:t>
            </w:r>
          </w:p>
        </w:tc>
        <w:tc>
          <w:tcPr>
            <w:tcW w:w="1476" w:type="dxa"/>
            <w:hideMark/>
          </w:tcPr>
          <w:p w14:paraId="0564DFB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102,000.00</w:t>
            </w:r>
          </w:p>
        </w:tc>
        <w:tc>
          <w:tcPr>
            <w:tcW w:w="847" w:type="dxa"/>
            <w:hideMark/>
          </w:tcPr>
          <w:p w14:paraId="09E685A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BA3522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392A7B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C39B8E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D78500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7BA25CD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1ED10844" w14:textId="6B97B25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0441603"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5D38BE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Reinforcement of the follow-up and evaluation of urban sanitation in two priority hydrographic bassins in Brazil</w:t>
            </w:r>
          </w:p>
        </w:tc>
        <w:tc>
          <w:tcPr>
            <w:tcW w:w="1476" w:type="dxa"/>
            <w:hideMark/>
          </w:tcPr>
          <w:p w14:paraId="2FAB818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800,000.00</w:t>
            </w:r>
          </w:p>
        </w:tc>
        <w:tc>
          <w:tcPr>
            <w:tcW w:w="847" w:type="dxa"/>
            <w:hideMark/>
          </w:tcPr>
          <w:p w14:paraId="6194D2A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56192B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B45D4E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105E07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980E55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0EADF3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7D8346E7" w14:textId="6AA6026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42C723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F0D41F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Second credit line to Banco de Desenvolvimento de Minas Gerais for the implementation of a carbon credit mechanism in the State of Minas Gerais</w:t>
            </w:r>
          </w:p>
        </w:tc>
        <w:tc>
          <w:tcPr>
            <w:tcW w:w="1476" w:type="dxa"/>
            <w:hideMark/>
          </w:tcPr>
          <w:p w14:paraId="7AA76DA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24,500,000.00</w:t>
            </w:r>
          </w:p>
        </w:tc>
        <w:tc>
          <w:tcPr>
            <w:tcW w:w="847" w:type="dxa"/>
            <w:hideMark/>
          </w:tcPr>
          <w:p w14:paraId="042674D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25E09F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CB2289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59CC287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0838F73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C716D6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767EA929" w14:textId="09AA50C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73986C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825BC0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Second credit line to Banco de Desenvolvimento de Minas Gerais for the implementation of a carbon credit mechanism in the State of Minas Gerais</w:t>
            </w:r>
          </w:p>
        </w:tc>
        <w:tc>
          <w:tcPr>
            <w:tcW w:w="1476" w:type="dxa"/>
            <w:hideMark/>
          </w:tcPr>
          <w:p w14:paraId="0AAA7C7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24,500,000.00</w:t>
            </w:r>
          </w:p>
        </w:tc>
        <w:tc>
          <w:tcPr>
            <w:tcW w:w="847" w:type="dxa"/>
            <w:hideMark/>
          </w:tcPr>
          <w:p w14:paraId="4975654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7BB274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1DF1B3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07233AC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6D9300E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B961CC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08DB7C3B" w14:textId="540868D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5CE5B3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4F5362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Teresina 2030, integrated development program in the municipality of Teresina</w:t>
            </w:r>
          </w:p>
        </w:tc>
        <w:tc>
          <w:tcPr>
            <w:tcW w:w="1476" w:type="dxa"/>
            <w:hideMark/>
          </w:tcPr>
          <w:p w14:paraId="6E2A205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15,480,000.00</w:t>
            </w:r>
          </w:p>
        </w:tc>
        <w:tc>
          <w:tcPr>
            <w:tcW w:w="847" w:type="dxa"/>
            <w:hideMark/>
          </w:tcPr>
          <w:p w14:paraId="6126DA8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A9B61A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5FE75B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DF61DA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5DD8B4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F341DC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7D67E523" w14:textId="67266CF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3931A0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88EFFD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Teresina 2030, integrated development program in the municipality of Teresina</w:t>
            </w:r>
          </w:p>
        </w:tc>
        <w:tc>
          <w:tcPr>
            <w:tcW w:w="1476" w:type="dxa"/>
            <w:hideMark/>
          </w:tcPr>
          <w:p w14:paraId="10F8A17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5,760,000.00</w:t>
            </w:r>
          </w:p>
        </w:tc>
        <w:tc>
          <w:tcPr>
            <w:tcW w:w="847" w:type="dxa"/>
            <w:hideMark/>
          </w:tcPr>
          <w:p w14:paraId="2D55F51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5A958E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CC4DAC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708FE7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F17320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7E85BF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681BF501" w14:textId="36C2C0F0"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6F811B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D596EC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Support to the financing strategy of sustainable economic boost of BADESC</w:t>
            </w:r>
          </w:p>
        </w:tc>
        <w:tc>
          <w:tcPr>
            <w:tcW w:w="1476" w:type="dxa"/>
            <w:hideMark/>
          </w:tcPr>
          <w:p w14:paraId="3AFACC8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10,000,000.00</w:t>
            </w:r>
          </w:p>
        </w:tc>
        <w:tc>
          <w:tcPr>
            <w:tcW w:w="847" w:type="dxa"/>
            <w:hideMark/>
          </w:tcPr>
          <w:p w14:paraId="428494B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34AAD4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2E6C4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A00D98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DA5C81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BF9EF1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E567CA1" w14:textId="426A005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62FE086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5CC829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Green credit line</w:t>
            </w:r>
          </w:p>
        </w:tc>
        <w:tc>
          <w:tcPr>
            <w:tcW w:w="1476" w:type="dxa"/>
            <w:hideMark/>
          </w:tcPr>
          <w:p w14:paraId="41BB481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85,940,186.00</w:t>
            </w:r>
          </w:p>
        </w:tc>
        <w:tc>
          <w:tcPr>
            <w:tcW w:w="847" w:type="dxa"/>
            <w:hideMark/>
          </w:tcPr>
          <w:p w14:paraId="48C9041A"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2AF354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69CE5B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7C24E13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2DE1B98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796435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AA1F9EE" w14:textId="437CD9C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09AEDDAA"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696768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Credit line for the financing of climate projects</w:t>
            </w:r>
          </w:p>
        </w:tc>
        <w:tc>
          <w:tcPr>
            <w:tcW w:w="1476" w:type="dxa"/>
            <w:hideMark/>
          </w:tcPr>
          <w:p w14:paraId="154DB13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62,134,754.00</w:t>
            </w:r>
          </w:p>
        </w:tc>
        <w:tc>
          <w:tcPr>
            <w:tcW w:w="847" w:type="dxa"/>
            <w:hideMark/>
          </w:tcPr>
          <w:p w14:paraId="60958B1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404C21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597186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308F8FF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0E92D63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22FD90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0A51F4E" w14:textId="536350A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13CB732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47A6CA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Green credit line</w:t>
            </w:r>
          </w:p>
        </w:tc>
        <w:tc>
          <w:tcPr>
            <w:tcW w:w="1476" w:type="dxa"/>
            <w:hideMark/>
          </w:tcPr>
          <w:p w14:paraId="37A6BE0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26,963,868.00</w:t>
            </w:r>
          </w:p>
        </w:tc>
        <w:tc>
          <w:tcPr>
            <w:tcW w:w="847" w:type="dxa"/>
            <w:hideMark/>
          </w:tcPr>
          <w:p w14:paraId="12D4BBF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63C50D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2F54A7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736068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EA5405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4A1EE2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533ADA09" w14:textId="6B91F985"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B2B5B7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F0C3CA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Support to local populations and Employment and social link Preservation in response to covid crisis</w:t>
            </w:r>
          </w:p>
        </w:tc>
        <w:tc>
          <w:tcPr>
            <w:tcW w:w="1476" w:type="dxa"/>
            <w:hideMark/>
          </w:tcPr>
          <w:p w14:paraId="137FF56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17,500,000.00</w:t>
            </w:r>
          </w:p>
        </w:tc>
        <w:tc>
          <w:tcPr>
            <w:tcW w:w="847" w:type="dxa"/>
            <w:hideMark/>
          </w:tcPr>
          <w:p w14:paraId="2EF6AB1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80D708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6A3FF6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C8B04D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C466D5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4DCD73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3739B040" w14:textId="56DD651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933DEC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960EAB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lang w:val="de-DE"/>
              </w:rPr>
              <w:t>Brazil / TerrIndigena: Strenghen autochtone land protection</w:t>
            </w:r>
          </w:p>
        </w:tc>
        <w:tc>
          <w:tcPr>
            <w:tcW w:w="1476" w:type="dxa"/>
            <w:hideMark/>
          </w:tcPr>
          <w:p w14:paraId="6619BD2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w:t>
            </w:r>
          </w:p>
        </w:tc>
        <w:tc>
          <w:tcPr>
            <w:tcW w:w="847" w:type="dxa"/>
            <w:hideMark/>
          </w:tcPr>
          <w:p w14:paraId="047999D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80FBAC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E7E215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7D0E7E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45D940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505E90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6ECA7D3F" w14:textId="714AF6E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AFD/STOA</w:t>
            </w:r>
          </w:p>
        </w:tc>
      </w:tr>
      <w:tr w:rsidR="00927E59" w:rsidRPr="005B54EE" w14:paraId="1D8EEAF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5F78E0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lang w:val="pt-BR"/>
              </w:rPr>
              <w:t>Brazil / Windpower (Ventos Serra do Mel III)</w:t>
            </w:r>
          </w:p>
        </w:tc>
        <w:tc>
          <w:tcPr>
            <w:tcW w:w="1476" w:type="dxa"/>
            <w:hideMark/>
          </w:tcPr>
          <w:p w14:paraId="051092C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17,000,000.00</w:t>
            </w:r>
          </w:p>
        </w:tc>
        <w:tc>
          <w:tcPr>
            <w:tcW w:w="847" w:type="dxa"/>
            <w:hideMark/>
          </w:tcPr>
          <w:p w14:paraId="67DC069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EF63D2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793E62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0FF0D4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16" w:type="dxa"/>
            <w:hideMark/>
          </w:tcPr>
          <w:p w14:paraId="250618A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75EBA5E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6C47E7A7" w14:textId="5E658FC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AFD/STOA</w:t>
            </w:r>
          </w:p>
        </w:tc>
      </w:tr>
      <w:tr w:rsidR="00927E59" w:rsidRPr="005B54EE" w14:paraId="454BD39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ED955A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Brazil / Metropolitan transport - Line 6 of the Sao Paulo subway</w:t>
            </w:r>
          </w:p>
        </w:tc>
        <w:tc>
          <w:tcPr>
            <w:tcW w:w="1476" w:type="dxa"/>
            <w:hideMark/>
          </w:tcPr>
          <w:p w14:paraId="42B7E9E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50,000,000.00</w:t>
            </w:r>
          </w:p>
        </w:tc>
        <w:tc>
          <w:tcPr>
            <w:tcW w:w="847" w:type="dxa"/>
            <w:hideMark/>
          </w:tcPr>
          <w:p w14:paraId="2494C43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A37690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AC4706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1D1A0BC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16" w:type="dxa"/>
            <w:hideMark/>
          </w:tcPr>
          <w:p w14:paraId="0B4350C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07F8B1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Transport</w:t>
            </w:r>
          </w:p>
        </w:tc>
        <w:tc>
          <w:tcPr>
            <w:tcW w:w="2031" w:type="dxa"/>
            <w:hideMark/>
          </w:tcPr>
          <w:p w14:paraId="280790D4" w14:textId="47ECA9D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46EDD85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900C84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Water purificators deployment for drinkable water access of rural and indigenous populations in Vichada region</w:t>
            </w:r>
          </w:p>
        </w:tc>
        <w:tc>
          <w:tcPr>
            <w:tcW w:w="1476" w:type="dxa"/>
            <w:hideMark/>
          </w:tcPr>
          <w:p w14:paraId="7E11359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513,868.00</w:t>
            </w:r>
          </w:p>
        </w:tc>
        <w:tc>
          <w:tcPr>
            <w:tcW w:w="847" w:type="dxa"/>
            <w:hideMark/>
          </w:tcPr>
          <w:p w14:paraId="7542F41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49A32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A83C7E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C97F34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C5CE44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2AD55F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4EC717EE" w14:textId="7C3A510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22D0D8C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D9121A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Mobile environmental DNA analysis laboratory</w:t>
            </w:r>
          </w:p>
        </w:tc>
        <w:tc>
          <w:tcPr>
            <w:tcW w:w="1476" w:type="dxa"/>
            <w:hideMark/>
          </w:tcPr>
          <w:p w14:paraId="33C5B9C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291,496.40</w:t>
            </w:r>
          </w:p>
        </w:tc>
        <w:tc>
          <w:tcPr>
            <w:tcW w:w="847" w:type="dxa"/>
            <w:hideMark/>
          </w:tcPr>
          <w:p w14:paraId="437599A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195887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0A2334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995D4A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40CDF4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CDF100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747760FE" w14:textId="17E558E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783A96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119F2EF" w14:textId="77777777" w:rsidR="00927E59" w:rsidRPr="003402E2" w:rsidRDefault="00927E59" w:rsidP="00927E59">
            <w:pPr>
              <w:ind w:firstLineChars="100" w:firstLine="181"/>
              <w:jc w:val="left"/>
              <w:rPr>
                <w:rFonts w:ascii="Times New Roman" w:hAnsi="Times New Roman"/>
                <w:color w:val="000000"/>
                <w:sz w:val="18"/>
                <w:szCs w:val="18"/>
                <w:lang w:val="fr-FR"/>
              </w:rPr>
            </w:pPr>
            <w:r w:rsidRPr="005B54EE">
              <w:rPr>
                <w:rFonts w:ascii="Times New Roman" w:hAnsi="Times New Roman"/>
                <w:sz w:val="18"/>
                <w:lang w:val="es-419"/>
              </w:rPr>
              <w:t>Colombia / FINDETER 2 (Financiera de Desarrollo Territorial)</w:t>
            </w:r>
          </w:p>
        </w:tc>
        <w:tc>
          <w:tcPr>
            <w:tcW w:w="1476" w:type="dxa"/>
            <w:hideMark/>
          </w:tcPr>
          <w:p w14:paraId="1B89991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27,000,000.00</w:t>
            </w:r>
          </w:p>
        </w:tc>
        <w:tc>
          <w:tcPr>
            <w:tcW w:w="847" w:type="dxa"/>
            <w:hideMark/>
          </w:tcPr>
          <w:p w14:paraId="08C2A7C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EAC2FE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EB66EE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7C8B64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A04D9D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726F5F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6CB6AFD0" w14:textId="4ED55BA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1F4815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106FBE2" w14:textId="77777777" w:rsidR="00927E59" w:rsidRPr="003402E2" w:rsidRDefault="00927E59" w:rsidP="00927E59">
            <w:pPr>
              <w:ind w:firstLineChars="100" w:firstLine="181"/>
              <w:jc w:val="left"/>
              <w:rPr>
                <w:rFonts w:ascii="Times New Roman" w:hAnsi="Times New Roman"/>
                <w:color w:val="000000"/>
                <w:sz w:val="18"/>
                <w:szCs w:val="18"/>
                <w:lang w:val="fr-FR"/>
              </w:rPr>
            </w:pPr>
            <w:r w:rsidRPr="005B54EE">
              <w:rPr>
                <w:rFonts w:ascii="Times New Roman" w:hAnsi="Times New Roman"/>
                <w:sz w:val="18"/>
                <w:lang w:val="es-419"/>
              </w:rPr>
              <w:t>Colombia / FINDETER 2 (Financiera de Desarrollo Territorial)</w:t>
            </w:r>
          </w:p>
        </w:tc>
        <w:tc>
          <w:tcPr>
            <w:tcW w:w="1476" w:type="dxa"/>
            <w:hideMark/>
          </w:tcPr>
          <w:p w14:paraId="13F9E5A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33,000,000.00</w:t>
            </w:r>
          </w:p>
        </w:tc>
        <w:tc>
          <w:tcPr>
            <w:tcW w:w="847" w:type="dxa"/>
            <w:hideMark/>
          </w:tcPr>
          <w:p w14:paraId="74EC9F6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4ACC4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30CB2D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936832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B534CB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5B2A33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312CE25B" w14:textId="56E42C0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F92F95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C11EC7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PN Municipality Barranquilla</w:t>
            </w:r>
          </w:p>
        </w:tc>
        <w:tc>
          <w:tcPr>
            <w:tcW w:w="1476" w:type="dxa"/>
            <w:hideMark/>
          </w:tcPr>
          <w:p w14:paraId="16A9B4F4"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60,000,000.00</w:t>
            </w:r>
          </w:p>
        </w:tc>
        <w:tc>
          <w:tcPr>
            <w:tcW w:w="847" w:type="dxa"/>
            <w:hideMark/>
          </w:tcPr>
          <w:p w14:paraId="078FA3B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C87C03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EE54AE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D76783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4EEFE7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FA6153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7189D3E5" w14:textId="067D7B4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E46905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4756AA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PN Municipality Barranquilla</w:t>
            </w:r>
          </w:p>
        </w:tc>
        <w:tc>
          <w:tcPr>
            <w:tcW w:w="1476" w:type="dxa"/>
            <w:hideMark/>
          </w:tcPr>
          <w:p w14:paraId="378A85C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19,200,000.00</w:t>
            </w:r>
          </w:p>
        </w:tc>
        <w:tc>
          <w:tcPr>
            <w:tcW w:w="847" w:type="dxa"/>
            <w:hideMark/>
          </w:tcPr>
          <w:p w14:paraId="583A103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68CABF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DAD7C4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3861C1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AF180B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DE2DF5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139DF82D" w14:textId="52C04BE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609097F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41C4A1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Supply financing for electric buses</w:t>
            </w:r>
          </w:p>
        </w:tc>
        <w:tc>
          <w:tcPr>
            <w:tcW w:w="1476" w:type="dxa"/>
            <w:hideMark/>
          </w:tcPr>
          <w:p w14:paraId="2C52870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12,525,841.00</w:t>
            </w:r>
          </w:p>
        </w:tc>
        <w:tc>
          <w:tcPr>
            <w:tcW w:w="847" w:type="dxa"/>
            <w:hideMark/>
          </w:tcPr>
          <w:p w14:paraId="7513065C"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5E7EA0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D0B3E5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363FB1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DA510A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07D9CD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 transport</w:t>
            </w:r>
          </w:p>
        </w:tc>
        <w:tc>
          <w:tcPr>
            <w:tcW w:w="2031" w:type="dxa"/>
            <w:hideMark/>
          </w:tcPr>
          <w:p w14:paraId="2DF66515" w14:textId="50C9E06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52C5433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622C78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Supply financing for electric buses</w:t>
            </w:r>
          </w:p>
        </w:tc>
        <w:tc>
          <w:tcPr>
            <w:tcW w:w="1476" w:type="dxa"/>
            <w:hideMark/>
          </w:tcPr>
          <w:p w14:paraId="1F4E70D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9,304,970.00</w:t>
            </w:r>
          </w:p>
        </w:tc>
        <w:tc>
          <w:tcPr>
            <w:tcW w:w="847" w:type="dxa"/>
            <w:hideMark/>
          </w:tcPr>
          <w:p w14:paraId="1F4BFBA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1018F0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3D7FDB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02C517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F3DCD8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10337C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 transport</w:t>
            </w:r>
          </w:p>
        </w:tc>
        <w:tc>
          <w:tcPr>
            <w:tcW w:w="2031" w:type="dxa"/>
            <w:hideMark/>
          </w:tcPr>
          <w:p w14:paraId="737E63BD" w14:textId="591B5A6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7261C6F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4AFAC0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Supply financing for electric buses</w:t>
            </w:r>
          </w:p>
        </w:tc>
        <w:tc>
          <w:tcPr>
            <w:tcW w:w="1476" w:type="dxa"/>
            <w:hideMark/>
          </w:tcPr>
          <w:p w14:paraId="1266903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12,104,523.00</w:t>
            </w:r>
          </w:p>
        </w:tc>
        <w:tc>
          <w:tcPr>
            <w:tcW w:w="847" w:type="dxa"/>
            <w:hideMark/>
          </w:tcPr>
          <w:p w14:paraId="03B7263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440A64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F36C28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2D1E11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8B497E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334586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 transport</w:t>
            </w:r>
          </w:p>
        </w:tc>
        <w:tc>
          <w:tcPr>
            <w:tcW w:w="2031" w:type="dxa"/>
            <w:hideMark/>
          </w:tcPr>
          <w:p w14:paraId="2A2F4473" w14:textId="55C54DB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7D47B13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C1BE89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Supply financing for electric buses</w:t>
            </w:r>
          </w:p>
        </w:tc>
        <w:tc>
          <w:tcPr>
            <w:tcW w:w="1476" w:type="dxa"/>
            <w:hideMark/>
          </w:tcPr>
          <w:p w14:paraId="45B705D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9,064,748.00</w:t>
            </w:r>
          </w:p>
        </w:tc>
        <w:tc>
          <w:tcPr>
            <w:tcW w:w="847" w:type="dxa"/>
            <w:hideMark/>
          </w:tcPr>
          <w:p w14:paraId="1967847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35172A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6A8CEC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510AAA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B6F17F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FF7360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 transport</w:t>
            </w:r>
          </w:p>
        </w:tc>
        <w:tc>
          <w:tcPr>
            <w:tcW w:w="2031" w:type="dxa"/>
            <w:hideMark/>
          </w:tcPr>
          <w:p w14:paraId="09E04F1D" w14:textId="789BFDC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223CED7"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266BF8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Loan in support of sustainable land development in the framework of PND 2018-2022</w:t>
            </w:r>
          </w:p>
        </w:tc>
        <w:tc>
          <w:tcPr>
            <w:tcW w:w="1476" w:type="dxa"/>
            <w:hideMark/>
          </w:tcPr>
          <w:p w14:paraId="7ACFA17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69,300,000.00</w:t>
            </w:r>
          </w:p>
        </w:tc>
        <w:tc>
          <w:tcPr>
            <w:tcW w:w="847" w:type="dxa"/>
            <w:hideMark/>
          </w:tcPr>
          <w:p w14:paraId="0A73691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8937D3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D36482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67A85A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6565A20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705719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76E24952" w14:textId="5CB6566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913657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2C2F84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Colombia / Loan in support of sustainable land development in the framework of PND 2018-2022</w:t>
            </w:r>
          </w:p>
        </w:tc>
        <w:tc>
          <w:tcPr>
            <w:tcW w:w="1476" w:type="dxa"/>
            <w:hideMark/>
          </w:tcPr>
          <w:p w14:paraId="5CBBA46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71,400,000.00</w:t>
            </w:r>
          </w:p>
        </w:tc>
        <w:tc>
          <w:tcPr>
            <w:tcW w:w="847" w:type="dxa"/>
            <w:hideMark/>
          </w:tcPr>
          <w:p w14:paraId="259E800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CA31F8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8FD6FB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DB361A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5B5F08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FDA237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5E90838B" w14:textId="3451A068"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67784B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828EE6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Costa Rica / "Climate" credit line to Costa Rica National Bank</w:t>
            </w:r>
          </w:p>
        </w:tc>
        <w:tc>
          <w:tcPr>
            <w:tcW w:w="1476" w:type="dxa"/>
            <w:hideMark/>
          </w:tcPr>
          <w:p w14:paraId="454FEE7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20,544,005.00</w:t>
            </w:r>
          </w:p>
        </w:tc>
        <w:tc>
          <w:tcPr>
            <w:tcW w:w="847" w:type="dxa"/>
            <w:hideMark/>
          </w:tcPr>
          <w:p w14:paraId="267D2D4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B3E6D3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4F06C7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67EAFE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52F2F7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E3D06C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639E79F" w14:textId="63DBFBE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0B65CCA"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22C5FE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Costa Rica / "Climate" credit line to Costa Rica National Bank</w:t>
            </w:r>
          </w:p>
        </w:tc>
        <w:tc>
          <w:tcPr>
            <w:tcW w:w="1476" w:type="dxa"/>
            <w:hideMark/>
          </w:tcPr>
          <w:p w14:paraId="7B6772C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20,544,005.00</w:t>
            </w:r>
          </w:p>
        </w:tc>
        <w:tc>
          <w:tcPr>
            <w:tcW w:w="847" w:type="dxa"/>
            <w:hideMark/>
          </w:tcPr>
          <w:p w14:paraId="4AAA80E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A1F00A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26889A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F7622C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22165A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646132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958DA2B" w14:textId="3DF3CC3B"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51EE2C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F12A1E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Costa Rica / "Climate" credit line to Costa Rica National Bank</w:t>
            </w:r>
          </w:p>
        </w:tc>
        <w:tc>
          <w:tcPr>
            <w:tcW w:w="1476" w:type="dxa"/>
            <w:hideMark/>
          </w:tcPr>
          <w:p w14:paraId="08DAD43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6,163,201.50</w:t>
            </w:r>
          </w:p>
        </w:tc>
        <w:tc>
          <w:tcPr>
            <w:tcW w:w="847" w:type="dxa"/>
            <w:hideMark/>
          </w:tcPr>
          <w:p w14:paraId="4E0B469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19F490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6C139E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6DD835A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1A8E372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CE5DE8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7995DBD1" w14:textId="00E9A0BC"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ADD66F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CEEBDE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Costa Rica / "Climate" credit line to Costa Rica National Bank</w:t>
            </w:r>
          </w:p>
        </w:tc>
        <w:tc>
          <w:tcPr>
            <w:tcW w:w="1476" w:type="dxa"/>
            <w:hideMark/>
          </w:tcPr>
          <w:p w14:paraId="3DF7A64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6,163,201.50</w:t>
            </w:r>
          </w:p>
        </w:tc>
        <w:tc>
          <w:tcPr>
            <w:tcW w:w="847" w:type="dxa"/>
            <w:hideMark/>
          </w:tcPr>
          <w:p w14:paraId="60B1B79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CDD33F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1F33D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61159AC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14DF709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AEE9EA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0F49520D" w14:textId="1BE5C98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3571FF4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AC4961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Costa Rica / Portfolio refinancing of small and medium-sized entreprises</w:t>
            </w:r>
          </w:p>
        </w:tc>
        <w:tc>
          <w:tcPr>
            <w:tcW w:w="1476" w:type="dxa"/>
            <w:hideMark/>
          </w:tcPr>
          <w:p w14:paraId="12BF6B5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26,642,984.00</w:t>
            </w:r>
          </w:p>
        </w:tc>
        <w:tc>
          <w:tcPr>
            <w:tcW w:w="847" w:type="dxa"/>
            <w:hideMark/>
          </w:tcPr>
          <w:p w14:paraId="5486BBA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FD9F2F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74A22B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72231A3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47B2093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417B32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6C41DAC1" w14:textId="614188A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5A6A73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15BD0B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Cuba / Support to the capacity enhancement of vaccine research and production of the Finlay Institute</w:t>
            </w:r>
          </w:p>
        </w:tc>
        <w:tc>
          <w:tcPr>
            <w:tcW w:w="1476" w:type="dxa"/>
            <w:hideMark/>
          </w:tcPr>
          <w:p w14:paraId="6A62C89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8,500,000.00</w:t>
            </w:r>
          </w:p>
        </w:tc>
        <w:tc>
          <w:tcPr>
            <w:tcW w:w="847" w:type="dxa"/>
            <w:hideMark/>
          </w:tcPr>
          <w:p w14:paraId="6AB6D12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281AB4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394261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586511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CE2DA0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5D3B24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756B6FA3" w14:textId="24A0A5D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120DD27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56AC61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Dominican Republic / Financing of wind plant</w:t>
            </w:r>
          </w:p>
        </w:tc>
        <w:tc>
          <w:tcPr>
            <w:tcW w:w="1476" w:type="dxa"/>
            <w:hideMark/>
          </w:tcPr>
          <w:p w14:paraId="7C3D847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18,445,080.00</w:t>
            </w:r>
          </w:p>
        </w:tc>
        <w:tc>
          <w:tcPr>
            <w:tcW w:w="847" w:type="dxa"/>
            <w:hideMark/>
          </w:tcPr>
          <w:p w14:paraId="5F10BB7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FF4175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23092B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4C7A3B9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084D157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03CD7D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093003C8" w14:textId="0C03ED3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58FE768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751068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Ecuador / Farm of insect breeding for aquaculture</w:t>
            </w:r>
          </w:p>
        </w:tc>
        <w:tc>
          <w:tcPr>
            <w:tcW w:w="1476" w:type="dxa"/>
            <w:hideMark/>
          </w:tcPr>
          <w:p w14:paraId="3A73A82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705,270.00</w:t>
            </w:r>
          </w:p>
        </w:tc>
        <w:tc>
          <w:tcPr>
            <w:tcW w:w="847" w:type="dxa"/>
            <w:hideMark/>
          </w:tcPr>
          <w:p w14:paraId="0206D4D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B1FC21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C66274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5FEAD3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6489EC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1B010DA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27621E1" w14:textId="1C80FCB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ADFA691"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515DEF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Urgency planning on the banks of the River of the Orange trees in Jacmel</w:t>
            </w:r>
          </w:p>
        </w:tc>
        <w:tc>
          <w:tcPr>
            <w:tcW w:w="1476" w:type="dxa"/>
            <w:hideMark/>
          </w:tcPr>
          <w:p w14:paraId="2316FC2D"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w:t>
            </w:r>
          </w:p>
        </w:tc>
        <w:tc>
          <w:tcPr>
            <w:tcW w:w="847" w:type="dxa"/>
            <w:hideMark/>
          </w:tcPr>
          <w:p w14:paraId="43D5136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056341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618BF0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E66431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429B73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F672A6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53D26E55" w14:textId="7F28E38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626B7F7"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105F3E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Project of support to irrigation in the South of Haiti</w:t>
            </w:r>
          </w:p>
        </w:tc>
        <w:tc>
          <w:tcPr>
            <w:tcW w:w="1476" w:type="dxa"/>
            <w:hideMark/>
          </w:tcPr>
          <w:p w14:paraId="5C6A959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9,100,000.00</w:t>
            </w:r>
          </w:p>
        </w:tc>
        <w:tc>
          <w:tcPr>
            <w:tcW w:w="847" w:type="dxa"/>
            <w:hideMark/>
          </w:tcPr>
          <w:p w14:paraId="7FFAD12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43682A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A40525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0A464A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DB5E3E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5F43C0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5B0AE98" w14:textId="2E587B0E"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CA5DD5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66C41C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Haitian fund for biodiversity</w:t>
            </w:r>
          </w:p>
        </w:tc>
        <w:tc>
          <w:tcPr>
            <w:tcW w:w="1476" w:type="dxa"/>
            <w:hideMark/>
          </w:tcPr>
          <w:p w14:paraId="5224D20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9,900,000.00</w:t>
            </w:r>
          </w:p>
        </w:tc>
        <w:tc>
          <w:tcPr>
            <w:tcW w:w="847" w:type="dxa"/>
            <w:hideMark/>
          </w:tcPr>
          <w:p w14:paraId="699A22B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933C8C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2AB9BB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C81B89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7941F8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88B26D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7D5DA592" w14:textId="1E7F249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A34DDE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228D32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Haitian fund for biodiversity</w:t>
            </w:r>
          </w:p>
        </w:tc>
        <w:tc>
          <w:tcPr>
            <w:tcW w:w="1476" w:type="dxa"/>
            <w:hideMark/>
          </w:tcPr>
          <w:p w14:paraId="03387D3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1,100,000.00</w:t>
            </w:r>
          </w:p>
        </w:tc>
        <w:tc>
          <w:tcPr>
            <w:tcW w:w="847" w:type="dxa"/>
            <w:hideMark/>
          </w:tcPr>
          <w:p w14:paraId="29298EB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A54B82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F28BCE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8E4C25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B0143B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A8F02A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1B662F64" w14:textId="3A8CEF2A"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C1F776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932BBB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Support to the fight againt Covid-19 and capacity building in medical biology</w:t>
            </w:r>
          </w:p>
        </w:tc>
        <w:tc>
          <w:tcPr>
            <w:tcW w:w="1476" w:type="dxa"/>
            <w:hideMark/>
          </w:tcPr>
          <w:p w14:paraId="4A57530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135,000.00</w:t>
            </w:r>
          </w:p>
        </w:tc>
        <w:tc>
          <w:tcPr>
            <w:tcW w:w="847" w:type="dxa"/>
            <w:hideMark/>
          </w:tcPr>
          <w:p w14:paraId="1319630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FF8C67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5E231D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19F264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18C407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C920AC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79B4E76F" w14:textId="1E784A7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448FBC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E354BD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Support to the fight againt Covid-19 and capacity building in medical biology</w:t>
            </w:r>
          </w:p>
        </w:tc>
        <w:tc>
          <w:tcPr>
            <w:tcW w:w="1476" w:type="dxa"/>
            <w:hideMark/>
          </w:tcPr>
          <w:p w14:paraId="6DAC511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405,000.00</w:t>
            </w:r>
          </w:p>
        </w:tc>
        <w:tc>
          <w:tcPr>
            <w:tcW w:w="847" w:type="dxa"/>
            <w:hideMark/>
          </w:tcPr>
          <w:p w14:paraId="06B10B6D"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10FFD2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6EE57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26586C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BEF7E7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DD2973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22FFA426" w14:textId="487B897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F0A5DA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EEEEC9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Support to the fight againt Covid-19 and capacity building in medical biology</w:t>
            </w:r>
          </w:p>
        </w:tc>
        <w:tc>
          <w:tcPr>
            <w:tcW w:w="1476" w:type="dxa"/>
            <w:hideMark/>
          </w:tcPr>
          <w:p w14:paraId="6EF614C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165,000.00</w:t>
            </w:r>
          </w:p>
        </w:tc>
        <w:tc>
          <w:tcPr>
            <w:tcW w:w="847" w:type="dxa"/>
            <w:hideMark/>
          </w:tcPr>
          <w:p w14:paraId="7188B0B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3EF8DB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81D1C8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FDBEF2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371DCD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233119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7C3742CB" w14:textId="45139A5E"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330995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BB6F26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Support to the fight againt Covid-19 and capacity building in medical biology</w:t>
            </w:r>
          </w:p>
        </w:tc>
        <w:tc>
          <w:tcPr>
            <w:tcW w:w="1476" w:type="dxa"/>
            <w:hideMark/>
          </w:tcPr>
          <w:p w14:paraId="347D6E0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495,000.00</w:t>
            </w:r>
          </w:p>
        </w:tc>
        <w:tc>
          <w:tcPr>
            <w:tcW w:w="847" w:type="dxa"/>
            <w:hideMark/>
          </w:tcPr>
          <w:p w14:paraId="4AF3911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D12B55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1C3A01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8E1C2A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7F5B69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86ABF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(health)</w:t>
            </w:r>
          </w:p>
        </w:tc>
        <w:tc>
          <w:tcPr>
            <w:tcW w:w="2031" w:type="dxa"/>
            <w:hideMark/>
          </w:tcPr>
          <w:p w14:paraId="1252F292" w14:textId="0BF3767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15FAD6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A77715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Public school as a vector of education and social development in rural communities of Grand'Anse and Nippes</w:t>
            </w:r>
          </w:p>
        </w:tc>
        <w:tc>
          <w:tcPr>
            <w:tcW w:w="1476" w:type="dxa"/>
            <w:hideMark/>
          </w:tcPr>
          <w:p w14:paraId="63436B5F"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2,000,000.00</w:t>
            </w:r>
          </w:p>
        </w:tc>
        <w:tc>
          <w:tcPr>
            <w:tcW w:w="847" w:type="dxa"/>
            <w:hideMark/>
          </w:tcPr>
          <w:p w14:paraId="2C7AFCC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53FE29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EE395B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BF35A6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1E11CC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419F10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(education)</w:t>
            </w:r>
          </w:p>
        </w:tc>
        <w:tc>
          <w:tcPr>
            <w:tcW w:w="2031" w:type="dxa"/>
            <w:hideMark/>
          </w:tcPr>
          <w:p w14:paraId="223FB717" w14:textId="20D2EEB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0A0F338C"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E8CC75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Improving life conditions of rural Haitian youth by the development of a sustainable and local milk channel in Lascahobas</w:t>
            </w:r>
          </w:p>
        </w:tc>
        <w:tc>
          <w:tcPr>
            <w:tcW w:w="1476" w:type="dxa"/>
            <w:hideMark/>
          </w:tcPr>
          <w:p w14:paraId="09C792C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240,000.00</w:t>
            </w:r>
          </w:p>
        </w:tc>
        <w:tc>
          <w:tcPr>
            <w:tcW w:w="847" w:type="dxa"/>
            <w:hideMark/>
          </w:tcPr>
          <w:p w14:paraId="4855754A"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18171C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DF777C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9B9D60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9544C6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72046D1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2EDA5C2F" w14:textId="724398D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C</w:t>
            </w:r>
          </w:p>
        </w:tc>
      </w:tr>
      <w:tr w:rsidR="00927E59" w:rsidRPr="005B54EE" w14:paraId="54559E9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439256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Haiti / Regional project to strenghten and structure civil society organisations and coalition of caribean actors to implement the Paris Agreement</w:t>
            </w:r>
          </w:p>
        </w:tc>
        <w:tc>
          <w:tcPr>
            <w:tcW w:w="1476" w:type="dxa"/>
            <w:hideMark/>
          </w:tcPr>
          <w:p w14:paraId="1F5BB17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340,000.00</w:t>
            </w:r>
          </w:p>
        </w:tc>
        <w:tc>
          <w:tcPr>
            <w:tcW w:w="847" w:type="dxa"/>
            <w:hideMark/>
          </w:tcPr>
          <w:p w14:paraId="1BB3D0B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C59BB1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96B424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2DBD28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6293CD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1336" w:type="dxa"/>
            <w:hideMark/>
          </w:tcPr>
          <w:p w14:paraId="570F16B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(other)</w:t>
            </w:r>
          </w:p>
        </w:tc>
        <w:tc>
          <w:tcPr>
            <w:tcW w:w="2031" w:type="dxa"/>
            <w:hideMark/>
          </w:tcPr>
          <w:p w14:paraId="78E71676" w14:textId="30D3C11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37E035D5"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3B2965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Mexico / Strengthening of geothermal plants' yield</w:t>
            </w:r>
          </w:p>
        </w:tc>
        <w:tc>
          <w:tcPr>
            <w:tcW w:w="1476" w:type="dxa"/>
            <w:hideMark/>
          </w:tcPr>
          <w:p w14:paraId="253DA4DA"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655,538.00</w:t>
            </w:r>
          </w:p>
        </w:tc>
        <w:tc>
          <w:tcPr>
            <w:tcW w:w="847" w:type="dxa"/>
            <w:hideMark/>
          </w:tcPr>
          <w:p w14:paraId="48EA09C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5584DA5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4B8783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3E9D76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CF9BEC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4186D6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82AAA9E" w14:textId="6CD2372C"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FASEP</w:t>
            </w:r>
          </w:p>
        </w:tc>
      </w:tr>
      <w:tr w:rsidR="00927E59" w:rsidRPr="005B54EE" w14:paraId="09B1992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F7DFC5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 xml:space="preserve">Mexico / Air quality prevision </w:t>
            </w:r>
          </w:p>
        </w:tc>
        <w:tc>
          <w:tcPr>
            <w:tcW w:w="1476" w:type="dxa"/>
            <w:hideMark/>
          </w:tcPr>
          <w:p w14:paraId="0F45F51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625,805.00</w:t>
            </w:r>
          </w:p>
        </w:tc>
        <w:tc>
          <w:tcPr>
            <w:tcW w:w="847" w:type="dxa"/>
            <w:hideMark/>
          </w:tcPr>
          <w:p w14:paraId="09D82D4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54DBFE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2C8DDB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EEE57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8940F5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31CCE3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(climate)</w:t>
            </w:r>
          </w:p>
        </w:tc>
        <w:tc>
          <w:tcPr>
            <w:tcW w:w="2031" w:type="dxa"/>
            <w:hideMark/>
          </w:tcPr>
          <w:p w14:paraId="03205034" w14:textId="0188025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776038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D4D823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lang w:val="es-419"/>
              </w:rPr>
              <w:t>Mexico / Credit line FIRA (Fideicomisos Instituidos en Relacion con la Agricultura) focused on climate change vulnerability and socio-economic marginalisation</w:t>
            </w:r>
          </w:p>
        </w:tc>
        <w:tc>
          <w:tcPr>
            <w:tcW w:w="1476" w:type="dxa"/>
            <w:hideMark/>
          </w:tcPr>
          <w:p w14:paraId="2188953F"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40,856,349.00</w:t>
            </w:r>
          </w:p>
        </w:tc>
        <w:tc>
          <w:tcPr>
            <w:tcW w:w="847" w:type="dxa"/>
            <w:hideMark/>
          </w:tcPr>
          <w:p w14:paraId="0FD2548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300785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41539C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D57876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71F14B2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0DD433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5367FD87" w14:textId="0D18535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44105F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5712F1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Mexico / Cross-c</w:t>
            </w:r>
          </w:p>
        </w:tc>
        <w:tc>
          <w:tcPr>
            <w:tcW w:w="1476" w:type="dxa"/>
            <w:hideMark/>
          </w:tcPr>
          <w:p w14:paraId="4227C31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120,000,000.00</w:t>
            </w:r>
          </w:p>
        </w:tc>
        <w:tc>
          <w:tcPr>
            <w:tcW w:w="847" w:type="dxa"/>
            <w:hideMark/>
          </w:tcPr>
          <w:p w14:paraId="0A75403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F2D9AE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39B913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21EBEE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108E68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23F726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171463B0" w14:textId="6F0E945A"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29414D8"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D8FBDCF"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Mexico / Integration of biodiversity in agricultural productive sectors and fishing</w:t>
            </w:r>
          </w:p>
        </w:tc>
        <w:tc>
          <w:tcPr>
            <w:tcW w:w="1476" w:type="dxa"/>
            <w:hideMark/>
          </w:tcPr>
          <w:p w14:paraId="1E71948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24,000,000.00</w:t>
            </w:r>
          </w:p>
        </w:tc>
        <w:tc>
          <w:tcPr>
            <w:tcW w:w="847" w:type="dxa"/>
            <w:hideMark/>
          </w:tcPr>
          <w:p w14:paraId="065CC3B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FCCD27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FB305A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1ECE37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27DFE3A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32CCB1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78781A41" w14:textId="411829E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29AC46A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5F0653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Paraguay / Financing of green projects and SME</w:t>
            </w:r>
          </w:p>
        </w:tc>
        <w:tc>
          <w:tcPr>
            <w:tcW w:w="1476" w:type="dxa"/>
            <w:hideMark/>
          </w:tcPr>
          <w:p w14:paraId="22685C3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18,047,439.00</w:t>
            </w:r>
          </w:p>
        </w:tc>
        <w:tc>
          <w:tcPr>
            <w:tcW w:w="847" w:type="dxa"/>
            <w:hideMark/>
          </w:tcPr>
          <w:p w14:paraId="18A613B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64FA26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8174A5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208B2F5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(Non-concessionnal loan)</w:t>
            </w:r>
          </w:p>
        </w:tc>
        <w:tc>
          <w:tcPr>
            <w:tcW w:w="1016" w:type="dxa"/>
            <w:hideMark/>
          </w:tcPr>
          <w:p w14:paraId="16A4DB2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D773A6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7207A0AF" w14:textId="0071A6E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NGO</w:t>
            </w:r>
          </w:p>
        </w:tc>
      </w:tr>
      <w:tr w:rsidR="00927E59" w:rsidRPr="005B54EE" w14:paraId="172CBA0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11FF9F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Peru / Sustainable banana Peru/Dominican Republic - improving sustainable livelihoods of small trade banana producers</w:t>
            </w:r>
          </w:p>
        </w:tc>
        <w:tc>
          <w:tcPr>
            <w:tcW w:w="1476" w:type="dxa"/>
            <w:hideMark/>
          </w:tcPr>
          <w:p w14:paraId="52C47B0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w:t>
            </w:r>
          </w:p>
        </w:tc>
        <w:tc>
          <w:tcPr>
            <w:tcW w:w="847" w:type="dxa"/>
            <w:hideMark/>
          </w:tcPr>
          <w:p w14:paraId="56AF90C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852241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23E911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551154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2AAB47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9DAFBE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0FD798D" w14:textId="0991ECE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F54037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9E9E4B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SURINAM / Support to "SWM" for drinkable water supply in Surinam</w:t>
            </w:r>
          </w:p>
        </w:tc>
        <w:tc>
          <w:tcPr>
            <w:tcW w:w="1476" w:type="dxa"/>
            <w:hideMark/>
          </w:tcPr>
          <w:p w14:paraId="0CF8A9C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10,220,000.00</w:t>
            </w:r>
          </w:p>
        </w:tc>
        <w:tc>
          <w:tcPr>
            <w:tcW w:w="847" w:type="dxa"/>
            <w:hideMark/>
          </w:tcPr>
          <w:p w14:paraId="3A95C5D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ED4A8E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F619B5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E91FDA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1BCB25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F1319D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5AD3EDBB" w14:textId="3B123DF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7B8BBE14"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516A31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Development of GI (Geographical Indications) in South-East Asia (PRCC)</w:t>
            </w:r>
          </w:p>
        </w:tc>
        <w:tc>
          <w:tcPr>
            <w:tcW w:w="1476" w:type="dxa"/>
            <w:hideMark/>
          </w:tcPr>
          <w:p w14:paraId="707C34B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w:t>
            </w:r>
          </w:p>
        </w:tc>
        <w:tc>
          <w:tcPr>
            <w:tcW w:w="847" w:type="dxa"/>
            <w:hideMark/>
          </w:tcPr>
          <w:p w14:paraId="67FE9476"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C92603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680EBC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AE2F39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FA697D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51C7D6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103D83F" w14:textId="2E51BA09"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C1978F2"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B07F34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Programme to support fairtrade in West Africa</w:t>
            </w:r>
          </w:p>
        </w:tc>
        <w:tc>
          <w:tcPr>
            <w:tcW w:w="1476" w:type="dxa"/>
            <w:hideMark/>
          </w:tcPr>
          <w:p w14:paraId="3B0C1DB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1,600,000.00</w:t>
            </w:r>
          </w:p>
        </w:tc>
        <w:tc>
          <w:tcPr>
            <w:tcW w:w="847" w:type="dxa"/>
            <w:hideMark/>
          </w:tcPr>
          <w:p w14:paraId="5ADBECA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212F5A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C679F0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E4BA2D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6B2AB8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F6A63C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F83BDEA" w14:textId="04D879E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FEEF00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841CBF0"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Projet of impact reduction of natural disasters, health crises and effects of climate change on populations of three ocean basins (support PIR of CRF)</w:t>
            </w:r>
          </w:p>
        </w:tc>
        <w:tc>
          <w:tcPr>
            <w:tcW w:w="1476" w:type="dxa"/>
            <w:hideMark/>
          </w:tcPr>
          <w:p w14:paraId="5F39588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w:t>
            </w:r>
          </w:p>
        </w:tc>
        <w:tc>
          <w:tcPr>
            <w:tcW w:w="847" w:type="dxa"/>
            <w:hideMark/>
          </w:tcPr>
          <w:p w14:paraId="36052E0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FC44C6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8B35D7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416511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730A5A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051005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(risk Management)</w:t>
            </w:r>
          </w:p>
        </w:tc>
        <w:tc>
          <w:tcPr>
            <w:tcW w:w="2031" w:type="dxa"/>
            <w:hideMark/>
          </w:tcPr>
          <w:p w14:paraId="4E87EF2A" w14:textId="5764BD3D"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F553B6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C7A36B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Operational research on the desert locust in the Western region</w:t>
            </w:r>
          </w:p>
        </w:tc>
        <w:tc>
          <w:tcPr>
            <w:tcW w:w="1476" w:type="dxa"/>
            <w:hideMark/>
          </w:tcPr>
          <w:p w14:paraId="1792215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w:t>
            </w:r>
          </w:p>
        </w:tc>
        <w:tc>
          <w:tcPr>
            <w:tcW w:w="847" w:type="dxa"/>
            <w:hideMark/>
          </w:tcPr>
          <w:p w14:paraId="5C14C63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4040E4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AA3C64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7F9820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9FD4AC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529F1F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5350D8A" w14:textId="379BAE72"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6493E1B6"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3D5ABB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Illuminate roads to support the Sahel of tomorrow</w:t>
            </w:r>
          </w:p>
        </w:tc>
        <w:tc>
          <w:tcPr>
            <w:tcW w:w="1476" w:type="dxa"/>
            <w:hideMark/>
          </w:tcPr>
          <w:p w14:paraId="5728C97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28,600.00</w:t>
            </w:r>
          </w:p>
        </w:tc>
        <w:tc>
          <w:tcPr>
            <w:tcW w:w="847" w:type="dxa"/>
            <w:hideMark/>
          </w:tcPr>
          <w:p w14:paraId="52C5D97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B3447A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FAEA07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94E252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5F35C9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4342BDA"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208334F8" w14:textId="521EF4E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A187DB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846F83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Contribution of the AFD to the framework agreement France IUCN</w:t>
            </w:r>
          </w:p>
        </w:tc>
        <w:tc>
          <w:tcPr>
            <w:tcW w:w="1476" w:type="dxa"/>
            <w:hideMark/>
          </w:tcPr>
          <w:p w14:paraId="75ADC59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w:t>
            </w:r>
          </w:p>
        </w:tc>
        <w:tc>
          <w:tcPr>
            <w:tcW w:w="847" w:type="dxa"/>
            <w:hideMark/>
          </w:tcPr>
          <w:p w14:paraId="26827A7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69FFE4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2EA5FE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246DFBA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2A5C34A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E5D7FC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53FADDB6" w14:textId="6A974FB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75C26D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89B8CD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Contribution to the Sustainable Renewable Risk Mitigation Initiative (SRMI)</w:t>
            </w:r>
          </w:p>
        </w:tc>
        <w:tc>
          <w:tcPr>
            <w:tcW w:w="1476" w:type="dxa"/>
            <w:hideMark/>
          </w:tcPr>
          <w:p w14:paraId="027769F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1,000,000.00</w:t>
            </w:r>
          </w:p>
        </w:tc>
        <w:tc>
          <w:tcPr>
            <w:tcW w:w="847" w:type="dxa"/>
            <w:hideMark/>
          </w:tcPr>
          <w:p w14:paraId="3A2878B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DAB5AA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1C25BB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8445BA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17D2B74"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39F8B87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15C87C7B" w14:textId="47AF2DF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3C93F29"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549F93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Improving knowledge of water cycle under the influence of anthropogenic action and climate change</w:t>
            </w:r>
          </w:p>
        </w:tc>
        <w:tc>
          <w:tcPr>
            <w:tcW w:w="1476" w:type="dxa"/>
            <w:hideMark/>
          </w:tcPr>
          <w:p w14:paraId="71EB86C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3,000,000.00</w:t>
            </w:r>
          </w:p>
        </w:tc>
        <w:tc>
          <w:tcPr>
            <w:tcW w:w="847" w:type="dxa"/>
            <w:hideMark/>
          </w:tcPr>
          <w:p w14:paraId="739E768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1360B2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156EFF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6F3FFEC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51D759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6356B0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Water And Sanitation</w:t>
            </w:r>
          </w:p>
        </w:tc>
        <w:tc>
          <w:tcPr>
            <w:tcW w:w="2031" w:type="dxa"/>
            <w:hideMark/>
          </w:tcPr>
          <w:p w14:paraId="5A582D28" w14:textId="78D5BBF8"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A55B0E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A88C36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CIRAD Partnership "One Health: Health and Lands"</w:t>
            </w:r>
          </w:p>
        </w:tc>
        <w:tc>
          <w:tcPr>
            <w:tcW w:w="1476" w:type="dxa"/>
            <w:hideMark/>
          </w:tcPr>
          <w:p w14:paraId="4BBC8F58"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1,600,000.00</w:t>
            </w:r>
          </w:p>
        </w:tc>
        <w:tc>
          <w:tcPr>
            <w:tcW w:w="847" w:type="dxa"/>
            <w:hideMark/>
          </w:tcPr>
          <w:p w14:paraId="1BD40FC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16DA22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5F284B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3DB26F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971D50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F0723F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FFBCF8B" w14:textId="1BE8675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8419F0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4718575"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CIRAD Partnership "One Health: Health and Lands"</w:t>
            </w:r>
          </w:p>
        </w:tc>
        <w:tc>
          <w:tcPr>
            <w:tcW w:w="1476" w:type="dxa"/>
            <w:hideMark/>
          </w:tcPr>
          <w:p w14:paraId="2219C20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w:t>
            </w:r>
          </w:p>
        </w:tc>
        <w:tc>
          <w:tcPr>
            <w:tcW w:w="847" w:type="dxa"/>
            <w:hideMark/>
          </w:tcPr>
          <w:p w14:paraId="51356F4B"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9FB678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CBFE41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89D05D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AF6D72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6AA82A1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506470A1" w14:textId="0C12568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2D6635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87E1DB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Programme of services' capacity building and  advocacy of agricultural professional organisations in Africa and Latin America (SEPOP)</w:t>
            </w:r>
          </w:p>
        </w:tc>
        <w:tc>
          <w:tcPr>
            <w:tcW w:w="1476" w:type="dxa"/>
            <w:hideMark/>
          </w:tcPr>
          <w:p w14:paraId="2946D75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4,000,000.00</w:t>
            </w:r>
          </w:p>
        </w:tc>
        <w:tc>
          <w:tcPr>
            <w:tcW w:w="847" w:type="dxa"/>
            <w:hideMark/>
          </w:tcPr>
          <w:p w14:paraId="1DBFE0A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519208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002DDE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907932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12A412E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3B7637C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146C3E8" w14:textId="367A7CB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9415F6F"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5AEB69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Credit line to  CAF for adaptation and mitigation of climate change</w:t>
            </w:r>
          </w:p>
        </w:tc>
        <w:tc>
          <w:tcPr>
            <w:tcW w:w="1476" w:type="dxa"/>
            <w:hideMark/>
          </w:tcPr>
          <w:p w14:paraId="1A9F5D2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75,000,000.00</w:t>
            </w:r>
          </w:p>
        </w:tc>
        <w:tc>
          <w:tcPr>
            <w:tcW w:w="847" w:type="dxa"/>
            <w:hideMark/>
          </w:tcPr>
          <w:p w14:paraId="6EC47D2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302038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F4F360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CD8836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39362E0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E90CF6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4471B534" w14:textId="06AB260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4EE8D2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BF7137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Credit line to  CAF for adaptation and mitigation of climate change</w:t>
            </w:r>
          </w:p>
        </w:tc>
        <w:tc>
          <w:tcPr>
            <w:tcW w:w="1476" w:type="dxa"/>
            <w:hideMark/>
          </w:tcPr>
          <w:p w14:paraId="10B2BCE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25,000,000.00</w:t>
            </w:r>
          </w:p>
        </w:tc>
        <w:tc>
          <w:tcPr>
            <w:tcW w:w="847" w:type="dxa"/>
            <w:hideMark/>
          </w:tcPr>
          <w:p w14:paraId="3404FF39"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EBFEE5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42882F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135DA8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0A0D7D3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289200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Cross-cutting</w:t>
            </w:r>
          </w:p>
        </w:tc>
        <w:tc>
          <w:tcPr>
            <w:tcW w:w="2031" w:type="dxa"/>
            <w:hideMark/>
          </w:tcPr>
          <w:p w14:paraId="219DFC8E" w14:textId="6532CA1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56C09E6"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EA91803"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Promotion/advocacy project of SDGs in the media area in Sahelian langages</w:t>
            </w:r>
          </w:p>
        </w:tc>
        <w:tc>
          <w:tcPr>
            <w:tcW w:w="1476" w:type="dxa"/>
            <w:hideMark/>
          </w:tcPr>
          <w:p w14:paraId="080AE99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862,500.00</w:t>
            </w:r>
          </w:p>
        </w:tc>
        <w:tc>
          <w:tcPr>
            <w:tcW w:w="847" w:type="dxa"/>
            <w:hideMark/>
          </w:tcPr>
          <w:p w14:paraId="25AFBF57"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24C27A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E99EA3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1BC055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524E87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3F7EB1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790379FE" w14:textId="07167126"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0B832C4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CC4838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Promotion/advocacy project of SDGs in the media area in Sahelian langages</w:t>
            </w:r>
          </w:p>
        </w:tc>
        <w:tc>
          <w:tcPr>
            <w:tcW w:w="1476" w:type="dxa"/>
            <w:hideMark/>
          </w:tcPr>
          <w:p w14:paraId="49F612F4"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862,500.00</w:t>
            </w:r>
          </w:p>
        </w:tc>
        <w:tc>
          <w:tcPr>
            <w:tcW w:w="847" w:type="dxa"/>
            <w:hideMark/>
          </w:tcPr>
          <w:p w14:paraId="0041F6E2"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DA8E03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2AE8CF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D622EF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AB016F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06DD0C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2FEF5456" w14:textId="1BAAD30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81EC40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2457841"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Promotion/advocacy project of SDGs in the media area in Sahelian langages</w:t>
            </w:r>
          </w:p>
        </w:tc>
        <w:tc>
          <w:tcPr>
            <w:tcW w:w="1476" w:type="dxa"/>
            <w:hideMark/>
          </w:tcPr>
          <w:p w14:paraId="7E2329C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262,500.00</w:t>
            </w:r>
          </w:p>
        </w:tc>
        <w:tc>
          <w:tcPr>
            <w:tcW w:w="847" w:type="dxa"/>
            <w:hideMark/>
          </w:tcPr>
          <w:p w14:paraId="2605D0A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4822036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BE9B93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30729C2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7DCD6E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2E2D8D9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249D0D95" w14:textId="3762D95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465569B1"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F54060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Promotion/advocacy project of SDGs in the media area in Sahelian langages</w:t>
            </w:r>
          </w:p>
        </w:tc>
        <w:tc>
          <w:tcPr>
            <w:tcW w:w="1476" w:type="dxa"/>
            <w:hideMark/>
          </w:tcPr>
          <w:p w14:paraId="25783C8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262,500.00</w:t>
            </w:r>
          </w:p>
        </w:tc>
        <w:tc>
          <w:tcPr>
            <w:tcW w:w="847" w:type="dxa"/>
            <w:hideMark/>
          </w:tcPr>
          <w:p w14:paraId="10B77FF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AB49D3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2E001E3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5934E7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F36E19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778F89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06E6263B" w14:textId="1667F5A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5FC7B94"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55C49759"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Promotion of pro-nature firms in Southern Africa, in partnership with the NGO Conservation International</w:t>
            </w:r>
          </w:p>
        </w:tc>
        <w:tc>
          <w:tcPr>
            <w:tcW w:w="1476" w:type="dxa"/>
            <w:hideMark/>
          </w:tcPr>
          <w:p w14:paraId="71EF0852"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5,000,000.00</w:t>
            </w:r>
          </w:p>
        </w:tc>
        <w:tc>
          <w:tcPr>
            <w:tcW w:w="847" w:type="dxa"/>
            <w:hideMark/>
          </w:tcPr>
          <w:p w14:paraId="7A1F2D9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924169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882EBD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19E097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56DE182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152A9F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7B4EB82C" w14:textId="23CC2570"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68383EF"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21D9F8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COMBO+ Facility</w:t>
            </w:r>
          </w:p>
        </w:tc>
        <w:tc>
          <w:tcPr>
            <w:tcW w:w="1476" w:type="dxa"/>
            <w:hideMark/>
          </w:tcPr>
          <w:p w14:paraId="157DD1D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1,600,000.00</w:t>
            </w:r>
          </w:p>
        </w:tc>
        <w:tc>
          <w:tcPr>
            <w:tcW w:w="847" w:type="dxa"/>
            <w:hideMark/>
          </w:tcPr>
          <w:p w14:paraId="16E6F540"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55B662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E6BA29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2495751"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2A79DC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535DF0C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55EBEA2C" w14:textId="481AD8C2"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0FB95D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E693B8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COMBO+ Facility</w:t>
            </w:r>
          </w:p>
        </w:tc>
        <w:tc>
          <w:tcPr>
            <w:tcW w:w="1476" w:type="dxa"/>
            <w:hideMark/>
          </w:tcPr>
          <w:p w14:paraId="761D330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400,000.00</w:t>
            </w:r>
          </w:p>
        </w:tc>
        <w:tc>
          <w:tcPr>
            <w:tcW w:w="847" w:type="dxa"/>
            <w:hideMark/>
          </w:tcPr>
          <w:p w14:paraId="593BB25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6234A35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86C341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A1792F4"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56D556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E717A0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326327D3" w14:textId="49ECDD54"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1685952"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6EB0C1FB"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Credit Line Climate IFAD</w:t>
            </w:r>
          </w:p>
        </w:tc>
        <w:tc>
          <w:tcPr>
            <w:tcW w:w="1476" w:type="dxa"/>
            <w:hideMark/>
          </w:tcPr>
          <w:p w14:paraId="0E0EA8B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261,000,000.00</w:t>
            </w:r>
          </w:p>
        </w:tc>
        <w:tc>
          <w:tcPr>
            <w:tcW w:w="847" w:type="dxa"/>
            <w:hideMark/>
          </w:tcPr>
          <w:p w14:paraId="636AD83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4F63D4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599B19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343E13A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4C84601B"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0D67CA5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61CB5AD4" w14:textId="0853FBA3"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21DE9F5B"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B37849E"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Credit Line Climate IFAD</w:t>
            </w:r>
          </w:p>
        </w:tc>
        <w:tc>
          <w:tcPr>
            <w:tcW w:w="1476" w:type="dxa"/>
            <w:hideMark/>
          </w:tcPr>
          <w:p w14:paraId="0BE77579"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39,000,000.00</w:t>
            </w:r>
          </w:p>
        </w:tc>
        <w:tc>
          <w:tcPr>
            <w:tcW w:w="847" w:type="dxa"/>
            <w:hideMark/>
          </w:tcPr>
          <w:p w14:paraId="49924ECA"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CE57F3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B4D2C2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3AA4AF1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Concessional Loan</w:t>
            </w:r>
          </w:p>
        </w:tc>
        <w:tc>
          <w:tcPr>
            <w:tcW w:w="1016" w:type="dxa"/>
            <w:hideMark/>
          </w:tcPr>
          <w:p w14:paraId="5ADDB8A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0702D550"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(financial Intermediation)</w:t>
            </w:r>
          </w:p>
        </w:tc>
        <w:tc>
          <w:tcPr>
            <w:tcW w:w="2031" w:type="dxa"/>
            <w:hideMark/>
          </w:tcPr>
          <w:p w14:paraId="12BE1955" w14:textId="4B3E187B"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1A9A066E"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749438DA"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Regional contribution to support Biodiversity (CRAB)</w:t>
            </w:r>
          </w:p>
        </w:tc>
        <w:tc>
          <w:tcPr>
            <w:tcW w:w="1476" w:type="dxa"/>
            <w:hideMark/>
          </w:tcPr>
          <w:p w14:paraId="7555F86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2,000,000.00</w:t>
            </w:r>
          </w:p>
        </w:tc>
        <w:tc>
          <w:tcPr>
            <w:tcW w:w="847" w:type="dxa"/>
            <w:hideMark/>
          </w:tcPr>
          <w:p w14:paraId="7E26A4B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B8AB81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03C5CEB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698BD7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CAA514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CFD0E12"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4311BD5A" w14:textId="6B81DF0D"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32282198"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21F5708C"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Financing of the triennal programme 2020-2022 of PPIAF</w:t>
            </w:r>
          </w:p>
        </w:tc>
        <w:tc>
          <w:tcPr>
            <w:tcW w:w="1476" w:type="dxa"/>
            <w:hideMark/>
          </w:tcPr>
          <w:p w14:paraId="5FEB626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102,000.00</w:t>
            </w:r>
          </w:p>
        </w:tc>
        <w:tc>
          <w:tcPr>
            <w:tcW w:w="847" w:type="dxa"/>
            <w:hideMark/>
          </w:tcPr>
          <w:p w14:paraId="642A13E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D4B727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2742E3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0E1E5AD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D8F8F92"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4783A6FC"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20A9EE4F" w14:textId="504E17A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w:t>
            </w:r>
          </w:p>
        </w:tc>
      </w:tr>
      <w:tr w:rsidR="00927E59" w:rsidRPr="005B54EE" w14:paraId="54EFF8D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89D9657"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Financing of the triennal programme 2020-2022 of PPIAF</w:t>
            </w:r>
          </w:p>
        </w:tc>
        <w:tc>
          <w:tcPr>
            <w:tcW w:w="1476" w:type="dxa"/>
            <w:hideMark/>
          </w:tcPr>
          <w:p w14:paraId="609D6471"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102,000.00</w:t>
            </w:r>
          </w:p>
        </w:tc>
        <w:tc>
          <w:tcPr>
            <w:tcW w:w="847" w:type="dxa"/>
            <w:hideMark/>
          </w:tcPr>
          <w:p w14:paraId="11231EEB"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0B65C50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A43BAF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367618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601557CD"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DD632B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(capacity Building)</w:t>
            </w:r>
          </w:p>
        </w:tc>
        <w:tc>
          <w:tcPr>
            <w:tcW w:w="2031" w:type="dxa"/>
            <w:hideMark/>
          </w:tcPr>
          <w:p w14:paraId="0D641E6D" w14:textId="607CA19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6356956D"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15292CC4"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Africa Renewable Energy Fund II</w:t>
            </w:r>
          </w:p>
        </w:tc>
        <w:tc>
          <w:tcPr>
            <w:tcW w:w="1476" w:type="dxa"/>
            <w:hideMark/>
          </w:tcPr>
          <w:p w14:paraId="67A70F9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15,000,000.00</w:t>
            </w:r>
          </w:p>
        </w:tc>
        <w:tc>
          <w:tcPr>
            <w:tcW w:w="847" w:type="dxa"/>
            <w:hideMark/>
          </w:tcPr>
          <w:p w14:paraId="0F0D7956"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2F4802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48E6376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42E9652E"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Other (participation)</w:t>
            </w:r>
          </w:p>
        </w:tc>
        <w:tc>
          <w:tcPr>
            <w:tcW w:w="1016" w:type="dxa"/>
            <w:hideMark/>
          </w:tcPr>
          <w:p w14:paraId="0EDB76F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46FD91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21E82EC2" w14:textId="120B8D0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PROPARCO</w:t>
            </w:r>
          </w:p>
        </w:tc>
      </w:tr>
      <w:tr w:rsidR="00927E59" w:rsidRPr="005B54EE" w14:paraId="47D9D3E0"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BAF6558"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 xml:space="preserve">Other (multi-countries) / Climate Finance Partnership </w:t>
            </w:r>
          </w:p>
        </w:tc>
        <w:tc>
          <w:tcPr>
            <w:tcW w:w="1476" w:type="dxa"/>
            <w:hideMark/>
          </w:tcPr>
          <w:p w14:paraId="62CFA64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25,523,226.00</w:t>
            </w:r>
          </w:p>
        </w:tc>
        <w:tc>
          <w:tcPr>
            <w:tcW w:w="847" w:type="dxa"/>
            <w:hideMark/>
          </w:tcPr>
          <w:p w14:paraId="532ACC4E"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2BECB65C"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331CC21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714E979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Equity</w:t>
            </w:r>
          </w:p>
        </w:tc>
        <w:tc>
          <w:tcPr>
            <w:tcW w:w="1016" w:type="dxa"/>
            <w:hideMark/>
          </w:tcPr>
          <w:p w14:paraId="6F1A4E46"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5F39CC23"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47594C88" w14:textId="62885A84"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FFEM</w:t>
            </w:r>
          </w:p>
        </w:tc>
      </w:tr>
      <w:tr w:rsidR="00927E59" w:rsidRPr="005B54EE" w14:paraId="0EB47B25"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0AA2036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Collective and contextualized strategy to promote a resilient and sustainable agricultural production in rural Mediterranean zones</w:t>
            </w:r>
          </w:p>
        </w:tc>
        <w:tc>
          <w:tcPr>
            <w:tcW w:w="1476" w:type="dxa"/>
            <w:hideMark/>
          </w:tcPr>
          <w:p w14:paraId="04687343"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1,700,000.00</w:t>
            </w:r>
          </w:p>
        </w:tc>
        <w:tc>
          <w:tcPr>
            <w:tcW w:w="847" w:type="dxa"/>
            <w:hideMark/>
          </w:tcPr>
          <w:p w14:paraId="361A8EB5"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3E18687"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6DF2BB8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4117673"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CF9E10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193AE625"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39BE533" w14:textId="7E1885A3"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FFEM</w:t>
            </w:r>
          </w:p>
        </w:tc>
      </w:tr>
      <w:tr w:rsidR="00927E59" w:rsidRPr="005B54EE" w14:paraId="7E381D1B"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CE4F4F6"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Programme of conservation and valorisation of ecosystems, soil and genetic heritage in fairtrade organic cocoa sector in the Andin region</w:t>
            </w:r>
          </w:p>
        </w:tc>
        <w:tc>
          <w:tcPr>
            <w:tcW w:w="1476" w:type="dxa"/>
            <w:hideMark/>
          </w:tcPr>
          <w:p w14:paraId="369655E3"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1,060,000.00</w:t>
            </w:r>
          </w:p>
        </w:tc>
        <w:tc>
          <w:tcPr>
            <w:tcW w:w="847" w:type="dxa"/>
            <w:hideMark/>
          </w:tcPr>
          <w:p w14:paraId="4069BB1C"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33BEC40"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1CE32D3E"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524B5CC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3032C2B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2664B57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00920E38" w14:textId="590206E6"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FFEM</w:t>
            </w:r>
          </w:p>
        </w:tc>
      </w:tr>
      <w:tr w:rsidR="00927E59" w:rsidRPr="005B54EE" w14:paraId="2AC7492C"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49C19FCD"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Exploitation of agroecology potential to help food and agriculture systems transition towards more sustainable systems in South-East Asia (Laos, Myanmar, Cambodge and Vietnam)</w:t>
            </w:r>
          </w:p>
        </w:tc>
        <w:tc>
          <w:tcPr>
            <w:tcW w:w="1476" w:type="dxa"/>
            <w:hideMark/>
          </w:tcPr>
          <w:p w14:paraId="241C5EC1"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1,148,400.00</w:t>
            </w:r>
          </w:p>
        </w:tc>
        <w:tc>
          <w:tcPr>
            <w:tcW w:w="847" w:type="dxa"/>
            <w:hideMark/>
          </w:tcPr>
          <w:p w14:paraId="6F6BDF70"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1867B6EA"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5DE0DFC9"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Oda</w:t>
            </w:r>
          </w:p>
        </w:tc>
        <w:tc>
          <w:tcPr>
            <w:tcW w:w="1326" w:type="dxa"/>
            <w:hideMark/>
          </w:tcPr>
          <w:p w14:paraId="16F6056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7739082B"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Adaptation</w:t>
            </w:r>
          </w:p>
        </w:tc>
        <w:tc>
          <w:tcPr>
            <w:tcW w:w="1336" w:type="dxa"/>
            <w:hideMark/>
          </w:tcPr>
          <w:p w14:paraId="61FB40B8"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Agriculture</w:t>
            </w:r>
          </w:p>
        </w:tc>
        <w:tc>
          <w:tcPr>
            <w:tcW w:w="2031" w:type="dxa"/>
            <w:hideMark/>
          </w:tcPr>
          <w:p w14:paraId="7EEED0A5" w14:textId="5C26398F"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AFD/STOA</w:t>
            </w:r>
          </w:p>
        </w:tc>
      </w:tr>
      <w:tr w:rsidR="00927E59" w:rsidRPr="005B54EE" w14:paraId="5536F73D" w14:textId="77777777" w:rsidTr="00927E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A4EE0F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Wind and solar power (JCM Power - Malawi &amp; Pakistan)</w:t>
            </w:r>
          </w:p>
        </w:tc>
        <w:tc>
          <w:tcPr>
            <w:tcW w:w="1476" w:type="dxa"/>
            <w:hideMark/>
          </w:tcPr>
          <w:p w14:paraId="7F187415"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18,000,000.00</w:t>
            </w:r>
          </w:p>
        </w:tc>
        <w:tc>
          <w:tcPr>
            <w:tcW w:w="847" w:type="dxa"/>
            <w:hideMark/>
          </w:tcPr>
          <w:p w14:paraId="682A5777" w14:textId="77777777" w:rsidR="00927E59" w:rsidRPr="005B54EE" w:rsidRDefault="00927E59" w:rsidP="00927E5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3B6A6A97"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C87EE15"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05C5838F"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0554B608"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1DD80369" w14:textId="77777777"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030796F5" w14:textId="2AEF4D21" w:rsidR="00927E59" w:rsidRPr="005B54EE" w:rsidRDefault="00927E59" w:rsidP="00927E5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5B54EE">
              <w:t>AFD/STOA</w:t>
            </w:r>
          </w:p>
        </w:tc>
      </w:tr>
      <w:tr w:rsidR="00927E59" w:rsidRPr="005B54EE" w14:paraId="5756775E" w14:textId="77777777" w:rsidTr="00927E59">
        <w:trPr>
          <w:trHeight w:val="68"/>
        </w:trPr>
        <w:tc>
          <w:tcPr>
            <w:cnfStyle w:val="001000000000" w:firstRow="0" w:lastRow="0" w:firstColumn="1" w:lastColumn="0" w:oddVBand="0" w:evenVBand="0" w:oddHBand="0" w:evenHBand="0" w:firstRowFirstColumn="0" w:firstRowLastColumn="0" w:lastRowFirstColumn="0" w:lastRowLastColumn="0"/>
            <w:tcW w:w="2527" w:type="dxa"/>
            <w:hideMark/>
          </w:tcPr>
          <w:p w14:paraId="38B7CEE2" w14:textId="77777777" w:rsidR="00927E59" w:rsidRPr="005B54EE" w:rsidRDefault="00927E59" w:rsidP="00927E59">
            <w:pPr>
              <w:ind w:firstLineChars="100" w:firstLine="181"/>
              <w:jc w:val="left"/>
              <w:rPr>
                <w:rFonts w:ascii="Times New Roman" w:hAnsi="Times New Roman"/>
                <w:color w:val="000000"/>
                <w:sz w:val="18"/>
                <w:szCs w:val="18"/>
              </w:rPr>
            </w:pPr>
            <w:r w:rsidRPr="005B54EE">
              <w:rPr>
                <w:rFonts w:ascii="Times New Roman" w:hAnsi="Times New Roman"/>
                <w:sz w:val="18"/>
              </w:rPr>
              <w:t>Other (multi-countries) / Solar power (Daystar - Nigeria &amp; Ghana)</w:t>
            </w:r>
          </w:p>
        </w:tc>
        <w:tc>
          <w:tcPr>
            <w:tcW w:w="1476" w:type="dxa"/>
            <w:hideMark/>
          </w:tcPr>
          <w:p w14:paraId="7E8877E8"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8,000,000.00</w:t>
            </w:r>
          </w:p>
        </w:tc>
        <w:tc>
          <w:tcPr>
            <w:tcW w:w="847" w:type="dxa"/>
            <w:hideMark/>
          </w:tcPr>
          <w:p w14:paraId="546D0E3E" w14:textId="77777777" w:rsidR="00927E59" w:rsidRPr="005B54EE" w:rsidRDefault="00927E59" w:rsidP="00927E5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color w:val="000000"/>
                <w:sz w:val="18"/>
              </w:rPr>
              <w:t> </w:t>
            </w:r>
          </w:p>
        </w:tc>
        <w:tc>
          <w:tcPr>
            <w:tcW w:w="986" w:type="dxa"/>
            <w:hideMark/>
          </w:tcPr>
          <w:p w14:paraId="76C8503D"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committed</w:t>
            </w:r>
          </w:p>
        </w:tc>
        <w:tc>
          <w:tcPr>
            <w:tcW w:w="895" w:type="dxa"/>
            <w:hideMark/>
          </w:tcPr>
          <w:p w14:paraId="7DBB2DB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Oof</w:t>
            </w:r>
          </w:p>
        </w:tc>
        <w:tc>
          <w:tcPr>
            <w:tcW w:w="1326" w:type="dxa"/>
            <w:hideMark/>
          </w:tcPr>
          <w:p w14:paraId="10D4D11F"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Grant</w:t>
            </w:r>
          </w:p>
        </w:tc>
        <w:tc>
          <w:tcPr>
            <w:tcW w:w="1016" w:type="dxa"/>
            <w:hideMark/>
          </w:tcPr>
          <w:p w14:paraId="4F674271"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Mitigation</w:t>
            </w:r>
          </w:p>
        </w:tc>
        <w:tc>
          <w:tcPr>
            <w:tcW w:w="1336" w:type="dxa"/>
            <w:hideMark/>
          </w:tcPr>
          <w:p w14:paraId="476CBB06" w14:textId="77777777"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rPr>
                <w:rFonts w:ascii="Times New Roman" w:hAnsi="Times New Roman"/>
                <w:sz w:val="18"/>
              </w:rPr>
              <w:t>Energy</w:t>
            </w:r>
          </w:p>
        </w:tc>
        <w:tc>
          <w:tcPr>
            <w:tcW w:w="2031" w:type="dxa"/>
            <w:hideMark/>
          </w:tcPr>
          <w:p w14:paraId="314FA415" w14:textId="64DEA019" w:rsidR="00927E59" w:rsidRPr="005B54EE" w:rsidRDefault="00927E59" w:rsidP="00927E5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5B54EE">
              <w:t>FASEP</w:t>
            </w:r>
          </w:p>
        </w:tc>
      </w:tr>
    </w:tbl>
    <w:p w14:paraId="4ECFD6DF" w14:textId="77777777" w:rsidR="001808DF" w:rsidRPr="005B54EE" w:rsidRDefault="001808DF" w:rsidP="001808DF">
      <w:pPr>
        <w:rPr>
          <w:rFonts w:eastAsiaTheme="majorEastAsia"/>
        </w:rPr>
      </w:pPr>
    </w:p>
    <w:p w14:paraId="33A1D02A" w14:textId="002B8C6C" w:rsidR="001808DF" w:rsidRPr="005B54EE" w:rsidRDefault="001808DF">
      <w:pPr>
        <w:spacing w:line="240" w:lineRule="atLeast"/>
        <w:jc w:val="left"/>
        <w:rPr>
          <w:rFonts w:eastAsiaTheme="majorEastAsia" w:cstheme="majorBidi"/>
          <w:bCs/>
          <w:spacing w:val="-10"/>
          <w:kern w:val="28"/>
          <w:sz w:val="48"/>
          <w:szCs w:val="56"/>
        </w:rPr>
      </w:pPr>
    </w:p>
    <w:p w14:paraId="68FA8C28" w14:textId="77777777" w:rsidR="001808DF" w:rsidRPr="005B54EE" w:rsidRDefault="001808DF">
      <w:pPr>
        <w:spacing w:line="240" w:lineRule="atLeast"/>
        <w:jc w:val="left"/>
        <w:rPr>
          <w:rFonts w:eastAsiaTheme="majorEastAsia" w:cstheme="majorBidi"/>
          <w:bCs/>
          <w:spacing w:val="-10"/>
          <w:kern w:val="28"/>
          <w:sz w:val="48"/>
          <w:szCs w:val="56"/>
        </w:rPr>
      </w:pPr>
      <w:r w:rsidRPr="005B54EE">
        <w:br w:type="page"/>
      </w:r>
    </w:p>
    <w:p w14:paraId="21515169" w14:textId="3240549B" w:rsidR="00C02B8B" w:rsidRPr="005B54EE" w:rsidRDefault="00C02B8B" w:rsidP="007C589E">
      <w:pPr>
        <w:pStyle w:val="Titre1Niveau1"/>
      </w:pPr>
      <w:bookmarkStart w:id="271" w:name="_Toc138344729"/>
      <w:r w:rsidRPr="005B54EE">
        <w:t>Appendix III – Policies and measures</w:t>
      </w:r>
      <w:bookmarkEnd w:id="271"/>
    </w:p>
    <w:p w14:paraId="7EA79909" w14:textId="1C7CDC41" w:rsidR="00811B0F" w:rsidRPr="005B54EE" w:rsidRDefault="00811B0F" w:rsidP="00811B0F">
      <w:pPr>
        <w:pStyle w:val="Caption"/>
      </w:pPr>
      <w:bookmarkStart w:id="272" w:name="_Ref123072826"/>
      <w:bookmarkStart w:id="273" w:name="_Toc124153755"/>
      <w:r w:rsidRPr="005B54EE">
        <w:t>Table</w:t>
      </w:r>
      <w:r w:rsidR="00C73940">
        <w:fldChar w:fldCharType="begin"/>
      </w:r>
      <w:r w:rsidR="00C73940">
        <w:instrText xml:space="preserve"> SEQ Tableau \* ARABIC </w:instrText>
      </w:r>
      <w:r w:rsidR="00C73940">
        <w:fldChar w:fldCharType="separate"/>
      </w:r>
      <w:r w:rsidR="005B1C45">
        <w:rPr>
          <w:noProof/>
        </w:rPr>
        <w:t>41</w:t>
      </w:r>
      <w:r w:rsidR="00C73940">
        <w:rPr>
          <w:noProof/>
        </w:rPr>
        <w:fldChar w:fldCharType="end"/>
      </w:r>
      <w:bookmarkEnd w:id="272"/>
      <w:r w:rsidRPr="005B54EE">
        <w:t>: Table CTF3 – Policies and measures for years 2019, 2020, 2021 and 2022</w:t>
      </w:r>
      <w:bookmarkEnd w:id="273"/>
    </w:p>
    <w:p w14:paraId="00FBFC4D" w14:textId="77FB5629" w:rsidR="00C02B8B" w:rsidRPr="00C50CEB" w:rsidRDefault="00D234C2" w:rsidP="00C02B8B">
      <w:pPr>
        <w:rPr>
          <w:szCs w:val="22"/>
        </w:rPr>
      </w:pPr>
      <w:r w:rsidRPr="00C50CEB">
        <w:rPr>
          <w:szCs w:val="22"/>
        </w:rPr>
        <w:t xml:space="preserve">Only the </w:t>
      </w:r>
      <w:r>
        <w:rPr>
          <w:szCs w:val="22"/>
        </w:rPr>
        <w:t xml:space="preserve">most recent measures from table CTF3 are listed there. </w:t>
      </w:r>
    </w:p>
    <w:p w14:paraId="1E4D4F2D" w14:textId="77777777" w:rsidR="0051771F" w:rsidRPr="005B54EE" w:rsidRDefault="0051771F" w:rsidP="0051771F">
      <w:pPr>
        <w:pStyle w:val="Textedesaisie"/>
      </w:pPr>
    </w:p>
    <w:p w14:paraId="4E9C8D6C" w14:textId="77777777" w:rsidR="0051771F" w:rsidRPr="005B54EE" w:rsidRDefault="0051771F" w:rsidP="0051771F">
      <w:pPr>
        <w:pStyle w:val="Textedesaisie"/>
      </w:pPr>
    </w:p>
    <w:tbl>
      <w:tblPr>
        <w:tblW w:w="9401" w:type="dxa"/>
        <w:tblCellMar>
          <w:left w:w="70" w:type="dxa"/>
          <w:right w:w="70" w:type="dxa"/>
        </w:tblCellMar>
        <w:tblLook w:val="04A0" w:firstRow="1" w:lastRow="0" w:firstColumn="1" w:lastColumn="0" w:noHBand="0" w:noVBand="1"/>
      </w:tblPr>
      <w:tblGrid>
        <w:gridCol w:w="1566"/>
        <w:gridCol w:w="701"/>
        <w:gridCol w:w="1288"/>
        <w:gridCol w:w="594"/>
        <w:gridCol w:w="671"/>
        <w:gridCol w:w="828"/>
        <w:gridCol w:w="1004"/>
        <w:gridCol w:w="2743"/>
        <w:gridCol w:w="1004"/>
        <w:gridCol w:w="1543"/>
        <w:gridCol w:w="424"/>
        <w:gridCol w:w="530"/>
        <w:gridCol w:w="530"/>
        <w:gridCol w:w="530"/>
      </w:tblGrid>
      <w:tr w:rsidR="00A46044" w:rsidRPr="009C16BD" w14:paraId="734C89FB" w14:textId="77777777" w:rsidTr="009765CE">
        <w:trPr>
          <w:trHeight w:val="859"/>
        </w:trPr>
        <w:tc>
          <w:tcPr>
            <w:tcW w:w="1928" w:type="dxa"/>
            <w:tcBorders>
              <w:top w:val="nil"/>
              <w:left w:val="nil"/>
              <w:bottom w:val="nil"/>
              <w:right w:val="nil"/>
            </w:tcBorders>
            <w:shd w:val="clear" w:color="auto" w:fill="auto"/>
            <w:noWrap/>
            <w:vAlign w:val="bottom"/>
            <w:hideMark/>
          </w:tcPr>
          <w:p w14:paraId="66695457" w14:textId="77777777" w:rsidR="00A46044" w:rsidRPr="001808DF" w:rsidRDefault="00A46044" w:rsidP="009765CE">
            <w:pPr>
              <w:jc w:val="left"/>
              <w:rPr>
                <w:rFonts w:ascii="Times New Roman" w:hAnsi="Times New Roman"/>
                <w:sz w:val="16"/>
                <w:szCs w:val="16"/>
              </w:rPr>
            </w:pPr>
          </w:p>
        </w:tc>
        <w:tc>
          <w:tcPr>
            <w:tcW w:w="218" w:type="dxa"/>
            <w:tcBorders>
              <w:top w:val="nil"/>
              <w:left w:val="nil"/>
              <w:bottom w:val="nil"/>
              <w:right w:val="nil"/>
            </w:tcBorders>
            <w:shd w:val="clear" w:color="auto" w:fill="auto"/>
            <w:noWrap/>
            <w:vAlign w:val="bottom"/>
            <w:hideMark/>
          </w:tcPr>
          <w:p w14:paraId="71D576CD" w14:textId="77777777" w:rsidR="00A46044" w:rsidRPr="001808DF" w:rsidRDefault="00A46044" w:rsidP="009765CE">
            <w:pPr>
              <w:jc w:val="left"/>
              <w:rPr>
                <w:rFonts w:ascii="Times New Roman" w:hAnsi="Times New Roman"/>
                <w:sz w:val="16"/>
                <w:szCs w:val="16"/>
              </w:rPr>
            </w:pPr>
          </w:p>
        </w:tc>
        <w:tc>
          <w:tcPr>
            <w:tcW w:w="369" w:type="dxa"/>
            <w:tcBorders>
              <w:top w:val="nil"/>
              <w:left w:val="nil"/>
              <w:bottom w:val="nil"/>
              <w:right w:val="nil"/>
            </w:tcBorders>
            <w:shd w:val="clear" w:color="auto" w:fill="auto"/>
            <w:noWrap/>
            <w:vAlign w:val="bottom"/>
            <w:hideMark/>
          </w:tcPr>
          <w:p w14:paraId="253B9793" w14:textId="77777777" w:rsidR="00A46044" w:rsidRPr="001808DF" w:rsidRDefault="00A46044" w:rsidP="009765CE">
            <w:pPr>
              <w:jc w:val="left"/>
              <w:rPr>
                <w:rFonts w:ascii="Times New Roman" w:hAnsi="Times New Roman"/>
                <w:sz w:val="16"/>
                <w:szCs w:val="16"/>
              </w:rPr>
            </w:pPr>
          </w:p>
        </w:tc>
        <w:tc>
          <w:tcPr>
            <w:tcW w:w="340" w:type="dxa"/>
            <w:tcBorders>
              <w:top w:val="nil"/>
              <w:left w:val="nil"/>
              <w:bottom w:val="nil"/>
              <w:right w:val="nil"/>
            </w:tcBorders>
            <w:shd w:val="clear" w:color="auto" w:fill="auto"/>
            <w:noWrap/>
            <w:vAlign w:val="bottom"/>
            <w:hideMark/>
          </w:tcPr>
          <w:p w14:paraId="7A32BB0A" w14:textId="77777777" w:rsidR="00A46044" w:rsidRPr="001808DF" w:rsidRDefault="00A46044" w:rsidP="009765CE">
            <w:pPr>
              <w:jc w:val="left"/>
              <w:rPr>
                <w:rFonts w:ascii="Times New Roman" w:hAnsi="Times New Roman"/>
                <w:sz w:val="16"/>
                <w:szCs w:val="16"/>
              </w:rPr>
            </w:pPr>
          </w:p>
        </w:tc>
        <w:tc>
          <w:tcPr>
            <w:tcW w:w="469" w:type="dxa"/>
            <w:tcBorders>
              <w:top w:val="nil"/>
              <w:left w:val="nil"/>
              <w:bottom w:val="nil"/>
              <w:right w:val="nil"/>
            </w:tcBorders>
            <w:shd w:val="clear" w:color="auto" w:fill="auto"/>
            <w:noWrap/>
            <w:vAlign w:val="bottom"/>
            <w:hideMark/>
          </w:tcPr>
          <w:p w14:paraId="073E6A45" w14:textId="77777777" w:rsidR="00A46044" w:rsidRPr="001808DF" w:rsidRDefault="00A46044" w:rsidP="009765CE">
            <w:pPr>
              <w:jc w:val="left"/>
              <w:rPr>
                <w:rFonts w:ascii="Times New Roman" w:hAnsi="Times New Roman"/>
                <w:sz w:val="16"/>
                <w:szCs w:val="16"/>
              </w:rPr>
            </w:pPr>
          </w:p>
        </w:tc>
        <w:tc>
          <w:tcPr>
            <w:tcW w:w="459" w:type="dxa"/>
            <w:tcBorders>
              <w:top w:val="nil"/>
              <w:left w:val="nil"/>
              <w:bottom w:val="nil"/>
              <w:right w:val="nil"/>
            </w:tcBorders>
            <w:shd w:val="clear" w:color="auto" w:fill="auto"/>
            <w:noWrap/>
            <w:vAlign w:val="bottom"/>
            <w:hideMark/>
          </w:tcPr>
          <w:p w14:paraId="007F8175" w14:textId="77777777" w:rsidR="00A46044" w:rsidRPr="001808DF" w:rsidRDefault="00A46044" w:rsidP="009765CE">
            <w:pPr>
              <w:jc w:val="left"/>
              <w:rPr>
                <w:rFonts w:ascii="Times New Roman" w:hAnsi="Times New Roman"/>
                <w:sz w:val="16"/>
                <w:szCs w:val="16"/>
              </w:rPr>
            </w:pPr>
          </w:p>
        </w:tc>
        <w:tc>
          <w:tcPr>
            <w:tcW w:w="218" w:type="dxa"/>
            <w:tcBorders>
              <w:top w:val="nil"/>
              <w:left w:val="nil"/>
              <w:bottom w:val="nil"/>
              <w:right w:val="nil"/>
            </w:tcBorders>
            <w:shd w:val="clear" w:color="auto" w:fill="auto"/>
            <w:noWrap/>
            <w:vAlign w:val="bottom"/>
            <w:hideMark/>
          </w:tcPr>
          <w:p w14:paraId="3696154F" w14:textId="77777777" w:rsidR="00A46044" w:rsidRPr="001808DF" w:rsidRDefault="00A46044" w:rsidP="009765CE">
            <w:pPr>
              <w:jc w:val="left"/>
              <w:rPr>
                <w:rFonts w:ascii="Times New Roman" w:hAnsi="Times New Roman"/>
                <w:sz w:val="16"/>
                <w:szCs w:val="16"/>
              </w:rPr>
            </w:pPr>
          </w:p>
        </w:tc>
        <w:tc>
          <w:tcPr>
            <w:tcW w:w="3407" w:type="dxa"/>
            <w:tcBorders>
              <w:top w:val="nil"/>
              <w:left w:val="nil"/>
              <w:bottom w:val="nil"/>
              <w:right w:val="nil"/>
            </w:tcBorders>
            <w:shd w:val="clear" w:color="auto" w:fill="auto"/>
            <w:noWrap/>
            <w:vAlign w:val="bottom"/>
            <w:hideMark/>
          </w:tcPr>
          <w:p w14:paraId="36BC4D32" w14:textId="77777777" w:rsidR="00A46044" w:rsidRPr="001808DF" w:rsidRDefault="00A46044" w:rsidP="009765CE">
            <w:pPr>
              <w:jc w:val="left"/>
              <w:rPr>
                <w:rFonts w:ascii="Times New Roman" w:hAnsi="Times New Roman"/>
                <w:sz w:val="16"/>
                <w:szCs w:val="16"/>
              </w:rPr>
            </w:pPr>
          </w:p>
        </w:tc>
        <w:tc>
          <w:tcPr>
            <w:tcW w:w="218" w:type="dxa"/>
            <w:tcBorders>
              <w:top w:val="nil"/>
              <w:left w:val="nil"/>
              <w:bottom w:val="nil"/>
              <w:right w:val="nil"/>
            </w:tcBorders>
            <w:shd w:val="clear" w:color="auto" w:fill="auto"/>
            <w:noWrap/>
            <w:vAlign w:val="bottom"/>
            <w:hideMark/>
          </w:tcPr>
          <w:p w14:paraId="70EA3FC4" w14:textId="77777777" w:rsidR="00A46044" w:rsidRPr="001808DF" w:rsidRDefault="00A46044" w:rsidP="009765CE">
            <w:pPr>
              <w:jc w:val="left"/>
              <w:rPr>
                <w:rFonts w:ascii="Times New Roman" w:hAnsi="Times New Roman"/>
                <w:sz w:val="16"/>
                <w:szCs w:val="16"/>
              </w:rPr>
            </w:pPr>
          </w:p>
        </w:tc>
        <w:tc>
          <w:tcPr>
            <w:tcW w:w="1478" w:type="dxa"/>
            <w:tcBorders>
              <w:top w:val="nil"/>
              <w:left w:val="nil"/>
              <w:bottom w:val="nil"/>
              <w:right w:val="nil"/>
            </w:tcBorders>
            <w:shd w:val="clear" w:color="auto" w:fill="auto"/>
            <w:noWrap/>
            <w:vAlign w:val="bottom"/>
            <w:hideMark/>
          </w:tcPr>
          <w:p w14:paraId="659D42C7" w14:textId="77777777" w:rsidR="00A46044" w:rsidRPr="001808DF" w:rsidRDefault="00A46044" w:rsidP="009765CE">
            <w:pPr>
              <w:jc w:val="left"/>
              <w:rPr>
                <w:rFonts w:ascii="Times New Roman" w:hAnsi="Times New Roman"/>
                <w:sz w:val="16"/>
                <w:szCs w:val="16"/>
              </w:rPr>
            </w:pPr>
          </w:p>
        </w:tc>
        <w:tc>
          <w:tcPr>
            <w:tcW w:w="297" w:type="dxa"/>
            <w:gridSpan w:val="4"/>
            <w:tcBorders>
              <w:top w:val="single" w:sz="4" w:space="0" w:color="A8A8A8"/>
              <w:left w:val="single" w:sz="4" w:space="0" w:color="A8A8A8"/>
              <w:bottom w:val="single" w:sz="4" w:space="0" w:color="A8A8A8"/>
              <w:right w:val="single" w:sz="4" w:space="0" w:color="A8A8A8"/>
            </w:tcBorders>
            <w:shd w:val="clear" w:color="000000" w:fill="E6E6E6"/>
            <w:vAlign w:val="center"/>
            <w:hideMark/>
          </w:tcPr>
          <w:p w14:paraId="5D17C0CE" w14:textId="77777777" w:rsidR="00A46044" w:rsidRPr="001808DF" w:rsidRDefault="00A46044" w:rsidP="009765CE">
            <w:pPr>
              <w:jc w:val="center"/>
              <w:rPr>
                <w:rFonts w:ascii="Arial" w:hAnsi="Arial" w:cs="Arial"/>
                <w:color w:val="000000"/>
                <w:sz w:val="16"/>
                <w:szCs w:val="16"/>
              </w:rPr>
            </w:pPr>
            <w:r w:rsidRPr="001808DF">
              <w:rPr>
                <w:rFonts w:ascii="Arial" w:hAnsi="Arial" w:cs="Arial"/>
                <w:sz w:val="16"/>
                <w:szCs w:val="16"/>
              </w:rPr>
              <w:t xml:space="preserve">Estimate of mitigation impact (not cumulative) (kt </w:t>
            </w:r>
            <w:r w:rsidRPr="001808DF">
              <w:rPr>
                <w:sz w:val="16"/>
                <w:szCs w:val="16"/>
              </w:rPr>
              <w:t>CO</w:t>
            </w:r>
            <w:r w:rsidRPr="001808DF">
              <w:rPr>
                <w:sz w:val="16"/>
                <w:szCs w:val="16"/>
                <w:vertAlign w:val="subscript"/>
              </w:rPr>
              <w:t>2</w:t>
            </w:r>
            <w:r w:rsidRPr="001808DF">
              <w:rPr>
                <w:rFonts w:ascii="Arial" w:hAnsi="Arial" w:cs="Arial"/>
                <w:color w:val="000000"/>
                <w:sz w:val="16"/>
                <w:szCs w:val="16"/>
              </w:rPr>
              <w:t xml:space="preserve"> eq)</w:t>
            </w:r>
          </w:p>
        </w:tc>
      </w:tr>
      <w:tr w:rsidR="00A46044" w:rsidRPr="001808DF" w14:paraId="5AABE72B" w14:textId="77777777" w:rsidTr="009765CE">
        <w:trPr>
          <w:trHeight w:val="765"/>
        </w:trPr>
        <w:tc>
          <w:tcPr>
            <w:tcW w:w="1928" w:type="dxa"/>
            <w:tcBorders>
              <w:top w:val="nil"/>
              <w:left w:val="single" w:sz="4" w:space="0" w:color="A8A8A8"/>
              <w:bottom w:val="single" w:sz="4" w:space="0" w:color="A8A8A8"/>
              <w:right w:val="single" w:sz="4" w:space="0" w:color="A8A8A8"/>
            </w:tcBorders>
            <w:shd w:val="clear" w:color="000000" w:fill="E6E6E6"/>
            <w:vAlign w:val="center"/>
            <w:hideMark/>
          </w:tcPr>
          <w:p w14:paraId="5A5658A5"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Name of mitigation action</w:t>
            </w:r>
          </w:p>
        </w:tc>
        <w:tc>
          <w:tcPr>
            <w:tcW w:w="218" w:type="dxa"/>
            <w:tcBorders>
              <w:top w:val="nil"/>
              <w:left w:val="nil"/>
              <w:bottom w:val="single" w:sz="4" w:space="0" w:color="A8A8A8"/>
              <w:right w:val="single" w:sz="4" w:space="0" w:color="A8A8A8"/>
            </w:tcBorders>
            <w:shd w:val="clear" w:color="000000" w:fill="E6E6E6"/>
            <w:vAlign w:val="center"/>
            <w:hideMark/>
          </w:tcPr>
          <w:p w14:paraId="3D939286"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Included in with measures GHG projection scenario</w:t>
            </w:r>
          </w:p>
        </w:tc>
        <w:tc>
          <w:tcPr>
            <w:tcW w:w="369" w:type="dxa"/>
            <w:tcBorders>
              <w:top w:val="nil"/>
              <w:left w:val="nil"/>
              <w:bottom w:val="single" w:sz="4" w:space="0" w:color="A8A8A8"/>
              <w:right w:val="single" w:sz="4" w:space="0" w:color="A8A8A8"/>
            </w:tcBorders>
            <w:shd w:val="clear" w:color="000000" w:fill="E6E6E6"/>
            <w:vAlign w:val="center"/>
            <w:hideMark/>
          </w:tcPr>
          <w:p w14:paraId="6168FDB0"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 xml:space="preserve">Sectors affected </w:t>
            </w:r>
          </w:p>
        </w:tc>
        <w:tc>
          <w:tcPr>
            <w:tcW w:w="340" w:type="dxa"/>
            <w:tcBorders>
              <w:top w:val="nil"/>
              <w:left w:val="nil"/>
              <w:bottom w:val="single" w:sz="4" w:space="0" w:color="A8A8A8"/>
              <w:right w:val="single" w:sz="4" w:space="0" w:color="A8A8A8"/>
            </w:tcBorders>
            <w:shd w:val="clear" w:color="000000" w:fill="E6E6E6"/>
            <w:vAlign w:val="center"/>
            <w:hideMark/>
          </w:tcPr>
          <w:p w14:paraId="13D92F11"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GHGs affected</w:t>
            </w:r>
          </w:p>
        </w:tc>
        <w:tc>
          <w:tcPr>
            <w:tcW w:w="469" w:type="dxa"/>
            <w:tcBorders>
              <w:top w:val="nil"/>
              <w:left w:val="nil"/>
              <w:bottom w:val="single" w:sz="4" w:space="0" w:color="A8A8A8"/>
              <w:right w:val="single" w:sz="4" w:space="0" w:color="A8A8A8"/>
            </w:tcBorders>
            <w:shd w:val="clear" w:color="000000" w:fill="E6E6E6"/>
            <w:vAlign w:val="center"/>
            <w:hideMark/>
          </w:tcPr>
          <w:p w14:paraId="0DEF68C2"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Objective and/or activity affected</w:t>
            </w:r>
          </w:p>
        </w:tc>
        <w:tc>
          <w:tcPr>
            <w:tcW w:w="459" w:type="dxa"/>
            <w:tcBorders>
              <w:top w:val="nil"/>
              <w:left w:val="nil"/>
              <w:bottom w:val="single" w:sz="4" w:space="0" w:color="A8A8A8"/>
              <w:right w:val="single" w:sz="4" w:space="0" w:color="A8A8A8"/>
            </w:tcBorders>
            <w:shd w:val="clear" w:color="000000" w:fill="E6E6E6"/>
            <w:vAlign w:val="center"/>
            <w:hideMark/>
          </w:tcPr>
          <w:p w14:paraId="34929C31"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Type of instrument</w:t>
            </w:r>
          </w:p>
        </w:tc>
        <w:tc>
          <w:tcPr>
            <w:tcW w:w="218" w:type="dxa"/>
            <w:tcBorders>
              <w:top w:val="nil"/>
              <w:left w:val="nil"/>
              <w:bottom w:val="single" w:sz="4" w:space="0" w:color="A8A8A8"/>
              <w:right w:val="single" w:sz="4" w:space="0" w:color="A8A8A8"/>
            </w:tcBorders>
            <w:shd w:val="clear" w:color="000000" w:fill="E6E6E6"/>
            <w:vAlign w:val="center"/>
            <w:hideMark/>
          </w:tcPr>
          <w:p w14:paraId="777EC2BD"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Status of implementation</w:t>
            </w:r>
          </w:p>
        </w:tc>
        <w:tc>
          <w:tcPr>
            <w:tcW w:w="3407" w:type="dxa"/>
            <w:tcBorders>
              <w:top w:val="nil"/>
              <w:left w:val="nil"/>
              <w:bottom w:val="single" w:sz="4" w:space="0" w:color="A8A8A8"/>
              <w:right w:val="single" w:sz="4" w:space="0" w:color="A8A8A8"/>
            </w:tcBorders>
            <w:shd w:val="clear" w:color="000000" w:fill="E6E6E6"/>
            <w:vAlign w:val="center"/>
            <w:hideMark/>
          </w:tcPr>
          <w:p w14:paraId="5501BCAD"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 xml:space="preserve">Brief description </w:t>
            </w:r>
          </w:p>
        </w:tc>
        <w:tc>
          <w:tcPr>
            <w:tcW w:w="218" w:type="dxa"/>
            <w:tcBorders>
              <w:top w:val="nil"/>
              <w:left w:val="nil"/>
              <w:bottom w:val="single" w:sz="4" w:space="0" w:color="A8A8A8"/>
              <w:right w:val="single" w:sz="4" w:space="0" w:color="A8A8A8"/>
            </w:tcBorders>
            <w:shd w:val="clear" w:color="000000" w:fill="E6E6E6"/>
            <w:vAlign w:val="center"/>
            <w:hideMark/>
          </w:tcPr>
          <w:p w14:paraId="3EB027F7"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Start year of implementation</w:t>
            </w:r>
          </w:p>
        </w:tc>
        <w:tc>
          <w:tcPr>
            <w:tcW w:w="1478" w:type="dxa"/>
            <w:tcBorders>
              <w:top w:val="nil"/>
              <w:left w:val="nil"/>
              <w:bottom w:val="single" w:sz="4" w:space="0" w:color="A8A8A8"/>
              <w:right w:val="single" w:sz="4" w:space="0" w:color="A8A8A8"/>
            </w:tcBorders>
            <w:shd w:val="clear" w:color="000000" w:fill="E6E6E6"/>
            <w:vAlign w:val="center"/>
            <w:hideMark/>
          </w:tcPr>
          <w:p w14:paraId="06FA16E2" w14:textId="77777777" w:rsidR="00A46044" w:rsidRPr="001808DF" w:rsidRDefault="00A46044" w:rsidP="009765CE">
            <w:pPr>
              <w:jc w:val="center"/>
              <w:rPr>
                <w:rFonts w:ascii="Arial" w:hAnsi="Arial" w:cs="Arial"/>
                <w:color w:val="000000"/>
                <w:sz w:val="16"/>
                <w:szCs w:val="16"/>
              </w:rPr>
            </w:pPr>
            <w:r w:rsidRPr="001808DF">
              <w:rPr>
                <w:rFonts w:ascii="Arial" w:hAnsi="Arial" w:cs="Arial"/>
                <w:color w:val="000000"/>
                <w:sz w:val="16"/>
                <w:szCs w:val="16"/>
              </w:rPr>
              <w:t>Implementing entity or entities</w:t>
            </w:r>
          </w:p>
        </w:tc>
        <w:tc>
          <w:tcPr>
            <w:tcW w:w="48" w:type="dxa"/>
            <w:tcBorders>
              <w:top w:val="nil"/>
              <w:left w:val="nil"/>
              <w:bottom w:val="nil"/>
              <w:right w:val="nil"/>
            </w:tcBorders>
            <w:shd w:val="clear" w:color="000000" w:fill="E6E6E6"/>
            <w:vAlign w:val="center"/>
            <w:hideMark/>
          </w:tcPr>
          <w:p w14:paraId="434CA203" w14:textId="77777777" w:rsidR="00A46044" w:rsidRPr="001808DF" w:rsidRDefault="00A46044" w:rsidP="009765CE">
            <w:pPr>
              <w:jc w:val="center"/>
              <w:rPr>
                <w:rFonts w:ascii="Arial" w:hAnsi="Arial" w:cs="Arial"/>
                <w:color w:val="000000"/>
                <w:sz w:val="16"/>
                <w:szCs w:val="16"/>
              </w:rPr>
            </w:pPr>
            <w:r w:rsidRPr="001808DF">
              <w:rPr>
                <w:rFonts w:ascii="Arial" w:hAnsi="Arial" w:cs="Arial"/>
                <w:sz w:val="16"/>
                <w:szCs w:val="16"/>
              </w:rPr>
              <w:t>2020</w:t>
            </w:r>
          </w:p>
        </w:tc>
        <w:tc>
          <w:tcPr>
            <w:tcW w:w="77" w:type="dxa"/>
            <w:tcBorders>
              <w:top w:val="nil"/>
              <w:left w:val="nil"/>
              <w:bottom w:val="nil"/>
              <w:right w:val="nil"/>
            </w:tcBorders>
            <w:shd w:val="clear" w:color="000000" w:fill="E6E6E6"/>
            <w:vAlign w:val="center"/>
            <w:hideMark/>
          </w:tcPr>
          <w:p w14:paraId="6DF0129F" w14:textId="77777777" w:rsidR="00A46044" w:rsidRPr="001808DF" w:rsidRDefault="00A46044" w:rsidP="009765CE">
            <w:pPr>
              <w:jc w:val="center"/>
              <w:rPr>
                <w:rFonts w:ascii="Arial" w:hAnsi="Arial" w:cs="Arial"/>
                <w:color w:val="000000"/>
                <w:sz w:val="16"/>
                <w:szCs w:val="16"/>
              </w:rPr>
            </w:pPr>
            <w:r w:rsidRPr="001808DF">
              <w:rPr>
                <w:rFonts w:ascii="Arial" w:hAnsi="Arial" w:cs="Arial"/>
                <w:sz w:val="16"/>
                <w:szCs w:val="16"/>
              </w:rPr>
              <w:t>2025</w:t>
            </w:r>
          </w:p>
        </w:tc>
        <w:tc>
          <w:tcPr>
            <w:tcW w:w="86" w:type="dxa"/>
            <w:tcBorders>
              <w:top w:val="nil"/>
              <w:left w:val="nil"/>
              <w:bottom w:val="nil"/>
              <w:right w:val="nil"/>
            </w:tcBorders>
            <w:shd w:val="clear" w:color="000000" w:fill="E6E6E6"/>
            <w:vAlign w:val="center"/>
            <w:hideMark/>
          </w:tcPr>
          <w:p w14:paraId="2E074D2E" w14:textId="77777777" w:rsidR="00A46044" w:rsidRPr="001808DF" w:rsidRDefault="00A46044" w:rsidP="009765CE">
            <w:pPr>
              <w:jc w:val="center"/>
              <w:rPr>
                <w:rFonts w:ascii="Arial" w:hAnsi="Arial" w:cs="Arial"/>
                <w:color w:val="000000"/>
                <w:sz w:val="16"/>
                <w:szCs w:val="16"/>
              </w:rPr>
            </w:pPr>
            <w:r w:rsidRPr="001808DF">
              <w:rPr>
                <w:rFonts w:ascii="Arial" w:hAnsi="Arial" w:cs="Arial"/>
                <w:sz w:val="16"/>
                <w:szCs w:val="16"/>
              </w:rPr>
              <w:t>2030</w:t>
            </w:r>
          </w:p>
        </w:tc>
        <w:tc>
          <w:tcPr>
            <w:tcW w:w="86" w:type="dxa"/>
            <w:tcBorders>
              <w:top w:val="nil"/>
              <w:left w:val="nil"/>
              <w:bottom w:val="nil"/>
              <w:right w:val="nil"/>
            </w:tcBorders>
            <w:shd w:val="clear" w:color="000000" w:fill="E6E6E6"/>
            <w:vAlign w:val="center"/>
            <w:hideMark/>
          </w:tcPr>
          <w:p w14:paraId="6928BB72" w14:textId="77777777" w:rsidR="00A46044" w:rsidRPr="001808DF" w:rsidRDefault="00A46044" w:rsidP="009765CE">
            <w:pPr>
              <w:jc w:val="center"/>
              <w:rPr>
                <w:rFonts w:ascii="Arial" w:hAnsi="Arial" w:cs="Arial"/>
                <w:color w:val="000000"/>
                <w:sz w:val="16"/>
                <w:szCs w:val="16"/>
              </w:rPr>
            </w:pPr>
            <w:r w:rsidRPr="001808DF">
              <w:rPr>
                <w:rFonts w:ascii="Arial" w:hAnsi="Arial" w:cs="Arial"/>
                <w:sz w:val="16"/>
                <w:szCs w:val="16"/>
              </w:rPr>
              <w:t>2035</w:t>
            </w:r>
          </w:p>
        </w:tc>
      </w:tr>
      <w:tr w:rsidR="00A46044" w:rsidRPr="001808DF" w14:paraId="3487760F" w14:textId="77777777" w:rsidTr="009765CE">
        <w:trPr>
          <w:trHeight w:val="300"/>
        </w:trPr>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045E6" w14:textId="77777777" w:rsidR="00A46044" w:rsidRPr="001808DF" w:rsidRDefault="00A46044" w:rsidP="009765CE">
            <w:pPr>
              <w:jc w:val="left"/>
              <w:rPr>
                <w:rFonts w:ascii="Arial" w:hAnsi="Arial" w:cs="Arial"/>
                <w:color w:val="000000"/>
                <w:sz w:val="16"/>
                <w:szCs w:val="16"/>
              </w:rPr>
            </w:pPr>
            <w:r w:rsidRPr="001808DF">
              <w:rPr>
                <w:rFonts w:ascii="Arial" w:hAnsi="Arial" w:cs="Arial"/>
                <w:noProof/>
                <w:color w:val="000000"/>
                <w:sz w:val="16"/>
                <w:szCs w:val="16"/>
                <w:lang w:val="fr-FR"/>
              </w:rPr>
              <w:drawing>
                <wp:anchor distT="0" distB="0" distL="114300" distR="114300" simplePos="0" relativeHeight="251844096" behindDoc="0" locked="0" layoutInCell="1" allowOverlap="1" wp14:anchorId="0175CB51" wp14:editId="1F059E85">
                  <wp:simplePos x="0" y="0"/>
                  <wp:positionH relativeFrom="column">
                    <wp:posOffset>0</wp:posOffset>
                  </wp:positionH>
                  <wp:positionV relativeFrom="paragraph">
                    <wp:posOffset>57150</wp:posOffset>
                  </wp:positionV>
                  <wp:extent cx="6629400" cy="3486150"/>
                  <wp:effectExtent l="0" t="0" r="0" b="0"/>
                  <wp:wrapNone/>
                  <wp:docPr id="17" name="Image 17" hidden="1">
                    <a:extLst xmlns:a="http://schemas.openxmlformats.org/drawingml/2006/main">
                      <a:ext uri="{FF2B5EF4-FFF2-40B4-BE49-F238E27FC236}">
                        <a16:creationId xmlns:a16="http://schemas.microsoft.com/office/drawing/2014/main" id="{063CB111-1087-4662-BEC3-E7B86059C863}"/>
                      </a:ext>
                    </a:extLst>
                  </wp:docPr>
                  <wp:cNvGraphicFramePr/>
                  <a:graphic xmlns:a="http://schemas.openxmlformats.org/drawingml/2006/main">
                    <a:graphicData uri="http://schemas.openxmlformats.org/drawingml/2006/picture">
                      <pic:pic xmlns:pic="http://schemas.openxmlformats.org/drawingml/2006/picture">
                        <pic:nvPicPr>
                          <pic:cNvPr id="4" name="DisableMacro" hidden="1">
                            <a:extLst>
                              <a:ext uri="{FF2B5EF4-FFF2-40B4-BE49-F238E27FC236}">
                                <a16:creationId xmlns:a16="http://schemas.microsoft.com/office/drawing/2014/main" id="{063CB111-1087-4662-BEC3-E7B86059C863}"/>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7980952" cy="3485714"/>
                          </a:xfrm>
                          <a:prstGeom prst="rect">
                            <a:avLst/>
                          </a:prstGeom>
                        </pic:spPr>
                      </pic:pic>
                    </a:graphicData>
                  </a:graphic>
                  <wp14:sizeRelH relativeFrom="page">
                    <wp14:pctWidth>0</wp14:pctWidth>
                  </wp14:sizeRelH>
                  <wp14:sizeRelV relativeFrom="page">
                    <wp14:pctHeight>0</wp14:pctHeight>
                  </wp14:sizeRelV>
                </wp:anchor>
              </w:drawing>
            </w:r>
            <w:r w:rsidRPr="001808DF">
              <w:rPr>
                <w:rFonts w:ascii="Arial" w:hAnsi="Arial" w:cs="Arial"/>
                <w:color w:val="000000"/>
                <w:sz w:val="16"/>
                <w:szCs w:val="16"/>
              </w:rPr>
              <w:t>Stratégie protéines végétales</w:t>
            </w:r>
          </w:p>
        </w:tc>
        <w:tc>
          <w:tcPr>
            <w:tcW w:w="218" w:type="dxa"/>
            <w:tcBorders>
              <w:top w:val="single" w:sz="4" w:space="0" w:color="auto"/>
              <w:left w:val="nil"/>
              <w:bottom w:val="single" w:sz="4" w:space="0" w:color="auto"/>
              <w:right w:val="single" w:sz="4" w:space="0" w:color="auto"/>
            </w:tcBorders>
            <w:shd w:val="clear" w:color="auto" w:fill="auto"/>
            <w:noWrap/>
            <w:vAlign w:val="bottom"/>
            <w:hideMark/>
          </w:tcPr>
          <w:p w14:paraId="441643E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2537A30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Agriculture</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27505A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CH4, </w:t>
            </w:r>
            <w:r w:rsidRPr="001808DF">
              <w:rPr>
                <w:sz w:val="16"/>
                <w:szCs w:val="16"/>
              </w:rPr>
              <w:t>CO</w:t>
            </w:r>
            <w:r w:rsidRPr="001808DF">
              <w:rPr>
                <w:sz w:val="16"/>
                <w:szCs w:val="16"/>
                <w:vertAlign w:val="subscript"/>
              </w:rPr>
              <w:t>2</w:t>
            </w:r>
            <w:r w:rsidRPr="001808DF">
              <w:rPr>
                <w:rFonts w:ascii="Arial" w:hAnsi="Arial" w:cs="Arial"/>
                <w:color w:val="000000"/>
                <w:sz w:val="16"/>
                <w:szCs w:val="16"/>
              </w:rPr>
              <w:t>, N2O</w:t>
            </w:r>
          </w:p>
        </w:tc>
        <w:tc>
          <w:tcPr>
            <w:tcW w:w="469" w:type="dxa"/>
            <w:tcBorders>
              <w:top w:val="single" w:sz="4" w:space="0" w:color="auto"/>
              <w:left w:val="nil"/>
              <w:bottom w:val="single" w:sz="4" w:space="0" w:color="auto"/>
              <w:right w:val="single" w:sz="4" w:space="0" w:color="auto"/>
            </w:tcBorders>
            <w:shd w:val="clear" w:color="auto" w:fill="auto"/>
            <w:noWrap/>
            <w:vAlign w:val="bottom"/>
            <w:hideMark/>
          </w:tcPr>
          <w:p w14:paraId="3E678D0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14:paraId="259ADEF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Other (Support)</w:t>
            </w:r>
          </w:p>
        </w:tc>
        <w:tc>
          <w:tcPr>
            <w:tcW w:w="218" w:type="dxa"/>
            <w:tcBorders>
              <w:top w:val="single" w:sz="4" w:space="0" w:color="auto"/>
              <w:left w:val="nil"/>
              <w:bottom w:val="single" w:sz="4" w:space="0" w:color="auto"/>
              <w:right w:val="single" w:sz="4" w:space="0" w:color="auto"/>
            </w:tcBorders>
            <w:shd w:val="clear" w:color="auto" w:fill="auto"/>
            <w:noWrap/>
            <w:vAlign w:val="bottom"/>
            <w:hideMark/>
          </w:tcPr>
          <w:p w14:paraId="4168D99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single" w:sz="4" w:space="0" w:color="auto"/>
              <w:left w:val="nil"/>
              <w:bottom w:val="single" w:sz="4" w:space="0" w:color="auto"/>
              <w:right w:val="single" w:sz="4" w:space="0" w:color="auto"/>
            </w:tcBorders>
            <w:shd w:val="clear" w:color="auto" w:fill="auto"/>
            <w:noWrap/>
            <w:vAlign w:val="bottom"/>
            <w:hideMark/>
          </w:tcPr>
          <w:p w14:paraId="6E70353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L'objectif est d'engager durablement l'agriculture française dans le développement de cultures de légumineuses. La stratégie s'articule autour de 3 axes principaux : le développement de la production de protéines végétales et le renforcement de l'autonomie de l'élevage français, en mobilisant les outils réglementaires et incitatifs de la Politique Agricole Commune ; la poursuite d'efforts de recherche et d'appui technique coordonnés aux producteurs ; le renforcement de la gouvernance. </w:t>
            </w:r>
          </w:p>
        </w:tc>
        <w:tc>
          <w:tcPr>
            <w:tcW w:w="218" w:type="dxa"/>
            <w:tcBorders>
              <w:top w:val="single" w:sz="4" w:space="0" w:color="auto"/>
              <w:left w:val="nil"/>
              <w:bottom w:val="single" w:sz="4" w:space="0" w:color="auto"/>
              <w:right w:val="single" w:sz="4" w:space="0" w:color="auto"/>
            </w:tcBorders>
            <w:shd w:val="clear" w:color="auto" w:fill="auto"/>
            <w:noWrap/>
            <w:vAlign w:val="bottom"/>
            <w:hideMark/>
          </w:tcPr>
          <w:p w14:paraId="61B77EF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single" w:sz="4" w:space="0" w:color="auto"/>
              <w:left w:val="nil"/>
              <w:bottom w:val="single" w:sz="4" w:space="0" w:color="auto"/>
              <w:right w:val="single" w:sz="4" w:space="0" w:color="auto"/>
            </w:tcBorders>
            <w:shd w:val="clear" w:color="auto" w:fill="auto"/>
            <w:noWrap/>
            <w:vAlign w:val="bottom"/>
            <w:hideMark/>
          </w:tcPr>
          <w:p w14:paraId="578F864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l'Agriculture et de l'Alimentation (Government)</w:t>
            </w:r>
          </w:p>
        </w:tc>
        <w:tc>
          <w:tcPr>
            <w:tcW w:w="48" w:type="dxa"/>
            <w:tcBorders>
              <w:top w:val="single" w:sz="4" w:space="0" w:color="auto"/>
              <w:left w:val="nil"/>
              <w:bottom w:val="single" w:sz="4" w:space="0" w:color="auto"/>
              <w:right w:val="single" w:sz="4" w:space="0" w:color="auto"/>
            </w:tcBorders>
            <w:shd w:val="clear" w:color="auto" w:fill="auto"/>
            <w:hideMark/>
          </w:tcPr>
          <w:p w14:paraId="3820225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single" w:sz="4" w:space="0" w:color="auto"/>
              <w:left w:val="nil"/>
              <w:bottom w:val="single" w:sz="4" w:space="0" w:color="auto"/>
              <w:right w:val="single" w:sz="4" w:space="0" w:color="auto"/>
            </w:tcBorders>
            <w:shd w:val="clear" w:color="auto" w:fill="auto"/>
            <w:hideMark/>
          </w:tcPr>
          <w:p w14:paraId="43D36DA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single" w:sz="4" w:space="0" w:color="auto"/>
              <w:left w:val="nil"/>
              <w:bottom w:val="single" w:sz="4" w:space="0" w:color="auto"/>
              <w:right w:val="single" w:sz="4" w:space="0" w:color="auto"/>
            </w:tcBorders>
            <w:shd w:val="clear" w:color="auto" w:fill="auto"/>
            <w:hideMark/>
          </w:tcPr>
          <w:p w14:paraId="2122830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single" w:sz="4" w:space="0" w:color="auto"/>
              <w:left w:val="nil"/>
              <w:bottom w:val="single" w:sz="4" w:space="0" w:color="auto"/>
              <w:right w:val="single" w:sz="4" w:space="0" w:color="auto"/>
            </w:tcBorders>
            <w:shd w:val="clear" w:color="auto" w:fill="auto"/>
            <w:hideMark/>
          </w:tcPr>
          <w:p w14:paraId="4409517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2CDEABCF"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BC8F4E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Projet protéines du futur</w:t>
            </w:r>
          </w:p>
        </w:tc>
        <w:tc>
          <w:tcPr>
            <w:tcW w:w="218" w:type="dxa"/>
            <w:tcBorders>
              <w:top w:val="nil"/>
              <w:left w:val="nil"/>
              <w:bottom w:val="single" w:sz="4" w:space="0" w:color="auto"/>
              <w:right w:val="single" w:sz="4" w:space="0" w:color="auto"/>
            </w:tcBorders>
            <w:shd w:val="clear" w:color="auto" w:fill="auto"/>
            <w:noWrap/>
            <w:vAlign w:val="bottom"/>
            <w:hideMark/>
          </w:tcPr>
          <w:p w14:paraId="7767A7B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5E991B7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Agriculture</w:t>
            </w:r>
          </w:p>
        </w:tc>
        <w:tc>
          <w:tcPr>
            <w:tcW w:w="340" w:type="dxa"/>
            <w:tcBorders>
              <w:top w:val="nil"/>
              <w:left w:val="nil"/>
              <w:bottom w:val="single" w:sz="4" w:space="0" w:color="auto"/>
              <w:right w:val="single" w:sz="4" w:space="0" w:color="auto"/>
            </w:tcBorders>
            <w:shd w:val="clear" w:color="auto" w:fill="auto"/>
            <w:noWrap/>
            <w:vAlign w:val="bottom"/>
            <w:hideMark/>
          </w:tcPr>
          <w:p w14:paraId="32BFD9A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69" w:type="dxa"/>
            <w:tcBorders>
              <w:top w:val="nil"/>
              <w:left w:val="nil"/>
              <w:bottom w:val="single" w:sz="4" w:space="0" w:color="auto"/>
              <w:right w:val="single" w:sz="4" w:space="0" w:color="auto"/>
            </w:tcBorders>
            <w:shd w:val="clear" w:color="auto" w:fill="auto"/>
            <w:noWrap/>
            <w:vAlign w:val="bottom"/>
            <w:hideMark/>
          </w:tcPr>
          <w:p w14:paraId="050CEC2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BCD496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 Information, Other (Support), Other (Consulting)</w:t>
            </w:r>
          </w:p>
        </w:tc>
        <w:tc>
          <w:tcPr>
            <w:tcW w:w="218" w:type="dxa"/>
            <w:tcBorders>
              <w:top w:val="nil"/>
              <w:left w:val="nil"/>
              <w:bottom w:val="single" w:sz="4" w:space="0" w:color="auto"/>
              <w:right w:val="single" w:sz="4" w:space="0" w:color="auto"/>
            </w:tcBorders>
            <w:shd w:val="clear" w:color="auto" w:fill="auto"/>
            <w:noWrap/>
            <w:vAlign w:val="bottom"/>
            <w:hideMark/>
          </w:tcPr>
          <w:p w14:paraId="6D8599B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Planned</w:t>
            </w:r>
          </w:p>
        </w:tc>
        <w:tc>
          <w:tcPr>
            <w:tcW w:w="3407" w:type="dxa"/>
            <w:tcBorders>
              <w:top w:val="nil"/>
              <w:left w:val="nil"/>
              <w:bottom w:val="single" w:sz="4" w:space="0" w:color="auto"/>
              <w:right w:val="single" w:sz="4" w:space="0" w:color="auto"/>
            </w:tcBorders>
            <w:shd w:val="clear" w:color="auto" w:fill="auto"/>
            <w:noWrap/>
            <w:vAlign w:val="bottom"/>
            <w:hideMark/>
          </w:tcPr>
          <w:p w14:paraId="3967864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Etabli par les ministères en charge de l'économie et de l'agriculture en coopération avec l'ANIA (Association nationale des industries alimentaires) et Coop de France (entreprises-coopératives agricoles et agroalimentaires), dans le cadre du conseil national de l'industrie, le Contrat stratégique de la filère agroalimentaire (CSF) a été signé le 16 novembre 2018. Il comporte notamment un projet de développement des protéines végétales dans l'alimentation (projet protéines du futur), complémentaire du plan de filière oléo-protéagineux 2018-2022. Objectifs: soutien à des projets de R&amp;D, mise en place dun référentiel sensoriel, communication grand public et veille réglementaire, accompagnement de start-ups.</w:t>
            </w:r>
          </w:p>
        </w:tc>
        <w:tc>
          <w:tcPr>
            <w:tcW w:w="218" w:type="dxa"/>
            <w:tcBorders>
              <w:top w:val="nil"/>
              <w:left w:val="nil"/>
              <w:bottom w:val="single" w:sz="4" w:space="0" w:color="auto"/>
              <w:right w:val="single" w:sz="4" w:space="0" w:color="auto"/>
            </w:tcBorders>
            <w:shd w:val="clear" w:color="auto" w:fill="auto"/>
            <w:noWrap/>
            <w:vAlign w:val="bottom"/>
            <w:hideMark/>
          </w:tcPr>
          <w:p w14:paraId="5398436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135F14A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Comité stratégique de filière(Companies / businesses / industrial associations); Ministère de l'Agriculture et de l'Alimentation(National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41A6ECC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BD77AE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49277C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20A36A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490720E7"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571FE8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Droit à l'injection (biométhane)</w:t>
            </w:r>
          </w:p>
        </w:tc>
        <w:tc>
          <w:tcPr>
            <w:tcW w:w="218" w:type="dxa"/>
            <w:tcBorders>
              <w:top w:val="nil"/>
              <w:left w:val="nil"/>
              <w:bottom w:val="single" w:sz="4" w:space="0" w:color="auto"/>
              <w:right w:val="single" w:sz="4" w:space="0" w:color="auto"/>
            </w:tcBorders>
            <w:shd w:val="clear" w:color="auto" w:fill="auto"/>
            <w:noWrap/>
            <w:vAlign w:val="bottom"/>
            <w:hideMark/>
          </w:tcPr>
          <w:p w14:paraId="313FB667" w14:textId="77777777" w:rsidR="00A46044" w:rsidRPr="001808DF" w:rsidRDefault="00A46044" w:rsidP="009765CE">
            <w:pPr>
              <w:jc w:val="left"/>
              <w:rPr>
                <w:rFonts w:ascii="Arial" w:hAnsi="Arial" w:cs="Arial"/>
                <w:color w:val="000000"/>
                <w:sz w:val="16"/>
                <w:szCs w:val="16"/>
              </w:rPr>
            </w:pPr>
            <w:bookmarkStart w:id="274" w:name="RANGE!C9"/>
            <w:r w:rsidRPr="001808DF">
              <w:rPr>
                <w:rFonts w:ascii="Arial" w:hAnsi="Arial" w:cs="Arial"/>
                <w:color w:val="000000"/>
                <w:sz w:val="16"/>
                <w:szCs w:val="16"/>
              </w:rPr>
              <w:t>Yes</w:t>
            </w:r>
            <w:bookmarkEnd w:id="274"/>
          </w:p>
        </w:tc>
        <w:tc>
          <w:tcPr>
            <w:tcW w:w="369" w:type="dxa"/>
            <w:tcBorders>
              <w:top w:val="nil"/>
              <w:left w:val="nil"/>
              <w:bottom w:val="single" w:sz="4" w:space="0" w:color="auto"/>
              <w:right w:val="single" w:sz="4" w:space="0" w:color="auto"/>
            </w:tcBorders>
            <w:shd w:val="clear" w:color="auto" w:fill="auto"/>
            <w:noWrap/>
            <w:vAlign w:val="bottom"/>
            <w:hideMark/>
          </w:tcPr>
          <w:p w14:paraId="74454A0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 Agriculture, Waste management/waste</w:t>
            </w:r>
          </w:p>
        </w:tc>
        <w:tc>
          <w:tcPr>
            <w:tcW w:w="340" w:type="dxa"/>
            <w:tcBorders>
              <w:top w:val="nil"/>
              <w:left w:val="nil"/>
              <w:bottom w:val="single" w:sz="4" w:space="0" w:color="auto"/>
              <w:right w:val="single" w:sz="4" w:space="0" w:color="auto"/>
            </w:tcBorders>
            <w:shd w:val="clear" w:color="auto" w:fill="auto"/>
            <w:noWrap/>
            <w:vAlign w:val="bottom"/>
            <w:hideMark/>
          </w:tcPr>
          <w:p w14:paraId="2136131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CH4</w:t>
            </w:r>
          </w:p>
        </w:tc>
        <w:tc>
          <w:tcPr>
            <w:tcW w:w="469" w:type="dxa"/>
            <w:tcBorders>
              <w:top w:val="nil"/>
              <w:left w:val="nil"/>
              <w:bottom w:val="single" w:sz="4" w:space="0" w:color="auto"/>
              <w:right w:val="single" w:sz="4" w:space="0" w:color="auto"/>
            </w:tcBorders>
            <w:shd w:val="clear" w:color="auto" w:fill="auto"/>
            <w:noWrap/>
            <w:vAlign w:val="bottom"/>
            <w:hideMark/>
          </w:tcPr>
          <w:p w14:paraId="3287085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0157A0D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19C10FA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1E83179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Lorsqu'une installation de production de biométhane est située à proximité d'un réseau de gaz naturel, les gestionnaires des réseaux de gaz naturel effectuent les renforcements nécessaires pour permettre l'injection dans le réseau de gaz du biométhane produit (dans des conditions et limites permettant de s'assurer de la pertinence technico-économique des investissements). L'objectif est de faciliter la réalisation de projets de méthanisation aujourd'hui limités par la capacité de l'antenne de réseau de gaz locale.</w:t>
            </w:r>
          </w:p>
        </w:tc>
        <w:tc>
          <w:tcPr>
            <w:tcW w:w="218" w:type="dxa"/>
            <w:tcBorders>
              <w:top w:val="nil"/>
              <w:left w:val="nil"/>
              <w:bottom w:val="single" w:sz="4" w:space="0" w:color="auto"/>
              <w:right w:val="single" w:sz="4" w:space="0" w:color="auto"/>
            </w:tcBorders>
            <w:shd w:val="clear" w:color="auto" w:fill="auto"/>
            <w:noWrap/>
            <w:vAlign w:val="bottom"/>
            <w:hideMark/>
          </w:tcPr>
          <w:p w14:paraId="262D0CF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2956CFF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274CE0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560F859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C85D5A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562594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4751BCD4"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186154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Volet agricole de la feuille de route économie circulaire</w:t>
            </w:r>
          </w:p>
        </w:tc>
        <w:tc>
          <w:tcPr>
            <w:tcW w:w="218" w:type="dxa"/>
            <w:tcBorders>
              <w:top w:val="nil"/>
              <w:left w:val="nil"/>
              <w:bottom w:val="single" w:sz="4" w:space="0" w:color="auto"/>
              <w:right w:val="single" w:sz="4" w:space="0" w:color="auto"/>
            </w:tcBorders>
            <w:shd w:val="clear" w:color="auto" w:fill="auto"/>
            <w:noWrap/>
            <w:vAlign w:val="bottom"/>
            <w:hideMark/>
          </w:tcPr>
          <w:p w14:paraId="7FEB636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0451C7C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Agriculture, Waste management/waste, Energy</w:t>
            </w:r>
          </w:p>
        </w:tc>
        <w:tc>
          <w:tcPr>
            <w:tcW w:w="340" w:type="dxa"/>
            <w:tcBorders>
              <w:top w:val="nil"/>
              <w:left w:val="nil"/>
              <w:bottom w:val="single" w:sz="4" w:space="0" w:color="auto"/>
              <w:right w:val="single" w:sz="4" w:space="0" w:color="auto"/>
            </w:tcBorders>
            <w:shd w:val="clear" w:color="auto" w:fill="auto"/>
            <w:noWrap/>
            <w:vAlign w:val="bottom"/>
            <w:hideMark/>
          </w:tcPr>
          <w:p w14:paraId="506AEBB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N2O, </w:t>
            </w: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30E0FEE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29FCBB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Information</w:t>
            </w:r>
          </w:p>
        </w:tc>
        <w:tc>
          <w:tcPr>
            <w:tcW w:w="218" w:type="dxa"/>
            <w:tcBorders>
              <w:top w:val="nil"/>
              <w:left w:val="nil"/>
              <w:bottom w:val="single" w:sz="4" w:space="0" w:color="auto"/>
              <w:right w:val="single" w:sz="4" w:space="0" w:color="auto"/>
            </w:tcBorders>
            <w:shd w:val="clear" w:color="auto" w:fill="auto"/>
            <w:noWrap/>
            <w:vAlign w:val="bottom"/>
            <w:hideMark/>
          </w:tcPr>
          <w:p w14:paraId="0756351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13FB3D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volet agricole de la feuille de route économie circulaire vise à mobiliser les matières fertilisantes issues du recyclage pour substituer en partie les engrais minéraux issus de ressources non renouvelables et contribuer à lapport de matières organiques, et donc de carbone, dans les sols.</w:t>
            </w:r>
          </w:p>
        </w:tc>
        <w:tc>
          <w:tcPr>
            <w:tcW w:w="218" w:type="dxa"/>
            <w:tcBorders>
              <w:top w:val="nil"/>
              <w:left w:val="nil"/>
              <w:bottom w:val="single" w:sz="4" w:space="0" w:color="auto"/>
              <w:right w:val="single" w:sz="4" w:space="0" w:color="auto"/>
            </w:tcBorders>
            <w:shd w:val="clear" w:color="auto" w:fill="auto"/>
            <w:noWrap/>
            <w:vAlign w:val="bottom"/>
            <w:hideMark/>
          </w:tcPr>
          <w:p w14:paraId="53E3C61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6433C2B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l'Agriculture et de l'Alimentation(National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30C1B63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1277CCE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8FD400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68DC1D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22EB2DA3"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5C5F08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Obligations d'économies d'énergie dans le parc tertiaire</w:t>
            </w:r>
          </w:p>
        </w:tc>
        <w:tc>
          <w:tcPr>
            <w:tcW w:w="218" w:type="dxa"/>
            <w:tcBorders>
              <w:top w:val="nil"/>
              <w:left w:val="nil"/>
              <w:bottom w:val="single" w:sz="4" w:space="0" w:color="auto"/>
              <w:right w:val="single" w:sz="4" w:space="0" w:color="auto"/>
            </w:tcBorders>
            <w:shd w:val="clear" w:color="auto" w:fill="auto"/>
            <w:noWrap/>
            <w:vAlign w:val="bottom"/>
            <w:hideMark/>
          </w:tcPr>
          <w:p w14:paraId="35AA1B6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59EA118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03AEB94B"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6107188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84512A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3CE8F35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4FCD5C8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Les bâtiments, parties de bâtiments ou ensemble de bâtiments à usage tertiaire dont la surface est supérieure à 1000m² ont des obligations d'actions de réduction des consommations d'énergie. Ils doivent atteindre, pour chacune des années 2030, 2040 et 2050, les objectifs suivants : soit un niveau de consommation d'énergie finale réduit, respectivement, de 40 %, 50 % et 60 % par rapport à une consommation énergétique de référence qui ne peut être antérieure à 2010 ; soit un niveau de consommation d'énergie finale fixé en valeur absolue, en fonction de la consommation énergétique des bâtiments nouveaux de leur catégorie.</w:t>
            </w:r>
          </w:p>
        </w:tc>
        <w:tc>
          <w:tcPr>
            <w:tcW w:w="218" w:type="dxa"/>
            <w:tcBorders>
              <w:top w:val="nil"/>
              <w:left w:val="nil"/>
              <w:bottom w:val="single" w:sz="4" w:space="0" w:color="auto"/>
              <w:right w:val="single" w:sz="4" w:space="0" w:color="auto"/>
            </w:tcBorders>
            <w:shd w:val="clear" w:color="auto" w:fill="auto"/>
            <w:noWrap/>
            <w:vAlign w:val="bottom"/>
            <w:hideMark/>
          </w:tcPr>
          <w:p w14:paraId="146378C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471DBDB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 Ministère de la Cohésion des Territoires(National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5B04EC2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6E37A1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FD0995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098045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082B9D46"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3428A4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Accompagnement de la filière agroalimentaire dans l'amélioration de sa performance environnementale</w:t>
            </w:r>
          </w:p>
        </w:tc>
        <w:tc>
          <w:tcPr>
            <w:tcW w:w="218" w:type="dxa"/>
            <w:tcBorders>
              <w:top w:val="nil"/>
              <w:left w:val="nil"/>
              <w:bottom w:val="single" w:sz="4" w:space="0" w:color="auto"/>
              <w:right w:val="single" w:sz="4" w:space="0" w:color="auto"/>
            </w:tcBorders>
            <w:shd w:val="clear" w:color="auto" w:fill="auto"/>
            <w:noWrap/>
            <w:vAlign w:val="bottom"/>
            <w:hideMark/>
          </w:tcPr>
          <w:p w14:paraId="1ABE906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1BB62FB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Industry/industrial processes, Energy</w:t>
            </w:r>
          </w:p>
        </w:tc>
        <w:tc>
          <w:tcPr>
            <w:tcW w:w="340" w:type="dxa"/>
            <w:tcBorders>
              <w:top w:val="nil"/>
              <w:left w:val="nil"/>
              <w:bottom w:val="single" w:sz="4" w:space="0" w:color="auto"/>
              <w:right w:val="single" w:sz="4" w:space="0" w:color="auto"/>
            </w:tcBorders>
            <w:shd w:val="clear" w:color="auto" w:fill="auto"/>
            <w:noWrap/>
            <w:vAlign w:val="bottom"/>
            <w:hideMark/>
          </w:tcPr>
          <w:p w14:paraId="375020D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HFCs, PFCs, </w:t>
            </w: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1809CBC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ADA5C3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 Information</w:t>
            </w:r>
          </w:p>
        </w:tc>
        <w:tc>
          <w:tcPr>
            <w:tcW w:w="218" w:type="dxa"/>
            <w:tcBorders>
              <w:top w:val="nil"/>
              <w:left w:val="nil"/>
              <w:bottom w:val="single" w:sz="4" w:space="0" w:color="auto"/>
              <w:right w:val="single" w:sz="4" w:space="0" w:color="auto"/>
            </w:tcBorders>
            <w:shd w:val="clear" w:color="auto" w:fill="auto"/>
            <w:noWrap/>
            <w:vAlign w:val="bottom"/>
            <w:hideMark/>
          </w:tcPr>
          <w:p w14:paraId="360F9CA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0FFA0FE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Etabli par les Ministères en charge de l'économie et de l'agriculture en coopération avec l'ANIA (Association nationale des industries alimentaires) et Coop de France (entreprises-coopératives agricoles et agroalimentaires), dans le cadre du conseil national de l'industrie, le Contrat stratégique de la filère agroalimentaire (CSF) a été signé le 16 novembre 2018. Il comporte notamment des mesures d'accompagnement de la performance environnementale des entreprises, notamment : diagnostic des usages des fluides frigorigènes et identification des alternatives; retour d'expérience sur le guide sur l'efficacité énergétique du 1er contrat de filière, en vue d'un ajustement des programmes d'accompagnement de l'industrie alimentaire.</w:t>
            </w:r>
          </w:p>
        </w:tc>
        <w:tc>
          <w:tcPr>
            <w:tcW w:w="218" w:type="dxa"/>
            <w:tcBorders>
              <w:top w:val="nil"/>
              <w:left w:val="nil"/>
              <w:bottom w:val="single" w:sz="4" w:space="0" w:color="auto"/>
              <w:right w:val="single" w:sz="4" w:space="0" w:color="auto"/>
            </w:tcBorders>
            <w:shd w:val="clear" w:color="auto" w:fill="auto"/>
            <w:noWrap/>
            <w:vAlign w:val="bottom"/>
            <w:hideMark/>
          </w:tcPr>
          <w:p w14:paraId="0742061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0AEF5D2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Comité stratégique de filière(Companies / businesses / industrial associations); Ministère de l'Agriculture et de l'Alimentation(National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1BD60DC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7DDBF00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994EB4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111EFD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6C006FF9"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C3D2B7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Renforcement du fonds chaleur : dispositif de soutien financier de projets de production de chaleur à partir d’énergies renouvelables</w:t>
            </w:r>
          </w:p>
        </w:tc>
        <w:tc>
          <w:tcPr>
            <w:tcW w:w="218" w:type="dxa"/>
            <w:tcBorders>
              <w:top w:val="nil"/>
              <w:left w:val="nil"/>
              <w:bottom w:val="single" w:sz="4" w:space="0" w:color="auto"/>
              <w:right w:val="single" w:sz="4" w:space="0" w:color="auto"/>
            </w:tcBorders>
            <w:shd w:val="clear" w:color="auto" w:fill="auto"/>
            <w:noWrap/>
            <w:vAlign w:val="bottom"/>
            <w:hideMark/>
          </w:tcPr>
          <w:p w14:paraId="21B883E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3EA9772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064C2600"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325A8EE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7287FD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w:t>
            </w:r>
          </w:p>
        </w:tc>
        <w:tc>
          <w:tcPr>
            <w:tcW w:w="218" w:type="dxa"/>
            <w:tcBorders>
              <w:top w:val="nil"/>
              <w:left w:val="nil"/>
              <w:bottom w:val="single" w:sz="4" w:space="0" w:color="auto"/>
              <w:right w:val="single" w:sz="4" w:space="0" w:color="auto"/>
            </w:tcBorders>
            <w:shd w:val="clear" w:color="auto" w:fill="auto"/>
            <w:noWrap/>
            <w:vAlign w:val="bottom"/>
            <w:hideMark/>
          </w:tcPr>
          <w:p w14:paraId="47BD521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4503274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fonds chaleur soutient financièrement des projets de production de chaleur à partir d’énergies renouvelables : biomasse (sylvicole, agricole, biogaz…), géothermie (en utilisation directe ou par le biais de pompes à chaleur), solaire thermique, énergies de récupération, ainsi que le développement des réseaux de chaleur utilisant ces énergies. Les secteurs concernés sont l’habitat collectif, le tertiaire, l’agriculture et l’industrie. Le fonds chaleur permet à la chaleur renouvelable d’être compétitive par rapport à la chaleur produite à partir d’énergies conventionnelles, en garantissant un prix de la chaleur d'origine renouvelable inférieur denviron 5 % à celui obtenu avec des énergies conventionnelles. Le fonds chaleur a été doté sur la période 2009-2018 d’un montant de 2,16 Md€ en engagements juridiques.</w:t>
            </w:r>
            <w:r w:rsidRPr="001808DF">
              <w:rPr>
                <w:rFonts w:ascii="Arial" w:hAnsi="Arial" w:cs="Arial"/>
                <w:color w:val="000000"/>
                <w:sz w:val="16"/>
                <w:szCs w:val="16"/>
              </w:rPr>
              <w:br/>
              <w:t>La programmation pluriannuelle de l'énergie 2019-2028 prévoit un renforcement du fonds chaleur avec un budget de 307 M€ en 2019 puis 350M€ en 2020 et 2021, et 339M€ en 2022. Il est également prévu une simplification des règles, notamment en supprimant l’obligation des avances remboursables pour les remplacer par des subventions.</w:t>
            </w:r>
          </w:p>
        </w:tc>
        <w:tc>
          <w:tcPr>
            <w:tcW w:w="218" w:type="dxa"/>
            <w:tcBorders>
              <w:top w:val="nil"/>
              <w:left w:val="nil"/>
              <w:bottom w:val="single" w:sz="4" w:space="0" w:color="auto"/>
              <w:right w:val="single" w:sz="4" w:space="0" w:color="auto"/>
            </w:tcBorders>
            <w:shd w:val="clear" w:color="auto" w:fill="auto"/>
            <w:noWrap/>
            <w:vAlign w:val="bottom"/>
            <w:hideMark/>
          </w:tcPr>
          <w:p w14:paraId="2506B05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0CA8333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ADEME(Others)</w:t>
            </w:r>
          </w:p>
        </w:tc>
        <w:tc>
          <w:tcPr>
            <w:tcW w:w="48" w:type="dxa"/>
            <w:tcBorders>
              <w:top w:val="nil"/>
              <w:left w:val="nil"/>
              <w:bottom w:val="single" w:sz="4" w:space="0" w:color="auto"/>
              <w:right w:val="single" w:sz="4" w:space="0" w:color="auto"/>
            </w:tcBorders>
            <w:shd w:val="clear" w:color="auto" w:fill="auto"/>
            <w:noWrap/>
            <w:vAlign w:val="bottom"/>
            <w:hideMark/>
          </w:tcPr>
          <w:p w14:paraId="2BC128C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C475BA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893CFF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99DF65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04BE6B8F"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7D493C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Arrêt des dernières centrales à charbon</w:t>
            </w:r>
          </w:p>
        </w:tc>
        <w:tc>
          <w:tcPr>
            <w:tcW w:w="218" w:type="dxa"/>
            <w:tcBorders>
              <w:top w:val="nil"/>
              <w:left w:val="nil"/>
              <w:bottom w:val="single" w:sz="4" w:space="0" w:color="auto"/>
              <w:right w:val="single" w:sz="4" w:space="0" w:color="auto"/>
            </w:tcBorders>
            <w:shd w:val="clear" w:color="auto" w:fill="auto"/>
            <w:noWrap/>
            <w:vAlign w:val="bottom"/>
            <w:hideMark/>
          </w:tcPr>
          <w:p w14:paraId="6135F78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6E67009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008F74CF"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1A80E0B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D39E38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Economic</w:t>
            </w:r>
          </w:p>
        </w:tc>
        <w:tc>
          <w:tcPr>
            <w:tcW w:w="218" w:type="dxa"/>
            <w:tcBorders>
              <w:top w:val="nil"/>
              <w:left w:val="nil"/>
              <w:bottom w:val="single" w:sz="4" w:space="0" w:color="auto"/>
              <w:right w:val="single" w:sz="4" w:space="0" w:color="auto"/>
            </w:tcBorders>
            <w:shd w:val="clear" w:color="auto" w:fill="auto"/>
            <w:noWrap/>
            <w:vAlign w:val="bottom"/>
            <w:hideMark/>
          </w:tcPr>
          <w:p w14:paraId="10DAEB4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3981DA1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L’objectif fixé dans la programmation pluriannuelle de lénergie 2019-2028 est d’arrêter les dernières centrales électriques fonctionnant exclusivement au charbon ou d’accompagner leur évolution vers des solutions moins carbonées. Cette mesure a été mise en oeuvre via l'article 3 de la loi n° 2019-1147 dite "énergie climat" de 2019, avec un dispositif qui conduira à la fermeture des 4 dernières centrales d'ici fin 2024.</w:t>
            </w:r>
          </w:p>
        </w:tc>
        <w:tc>
          <w:tcPr>
            <w:tcW w:w="218" w:type="dxa"/>
            <w:tcBorders>
              <w:top w:val="nil"/>
              <w:left w:val="nil"/>
              <w:bottom w:val="single" w:sz="4" w:space="0" w:color="auto"/>
              <w:right w:val="single" w:sz="4" w:space="0" w:color="auto"/>
            </w:tcBorders>
            <w:shd w:val="clear" w:color="auto" w:fill="auto"/>
            <w:noWrap/>
            <w:vAlign w:val="bottom"/>
            <w:hideMark/>
          </w:tcPr>
          <w:p w14:paraId="45996F0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2A44B62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290DF8B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180BAE4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4 000,00</w:t>
            </w:r>
          </w:p>
        </w:tc>
        <w:tc>
          <w:tcPr>
            <w:tcW w:w="86" w:type="dxa"/>
            <w:tcBorders>
              <w:top w:val="nil"/>
              <w:left w:val="nil"/>
              <w:bottom w:val="single" w:sz="4" w:space="0" w:color="auto"/>
              <w:right w:val="single" w:sz="4" w:space="0" w:color="auto"/>
            </w:tcBorders>
            <w:shd w:val="clear" w:color="auto" w:fill="auto"/>
            <w:noWrap/>
            <w:vAlign w:val="bottom"/>
            <w:hideMark/>
          </w:tcPr>
          <w:p w14:paraId="1329577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4 000,00</w:t>
            </w:r>
          </w:p>
        </w:tc>
        <w:tc>
          <w:tcPr>
            <w:tcW w:w="86" w:type="dxa"/>
            <w:tcBorders>
              <w:top w:val="nil"/>
              <w:left w:val="nil"/>
              <w:bottom w:val="single" w:sz="4" w:space="0" w:color="auto"/>
              <w:right w:val="single" w:sz="4" w:space="0" w:color="auto"/>
            </w:tcBorders>
            <w:shd w:val="clear" w:color="auto" w:fill="auto"/>
            <w:noWrap/>
            <w:vAlign w:val="bottom"/>
            <w:hideMark/>
          </w:tcPr>
          <w:p w14:paraId="340D7E9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4 000,00</w:t>
            </w:r>
          </w:p>
        </w:tc>
      </w:tr>
      <w:tr w:rsidR="00A46044" w:rsidRPr="001808DF" w14:paraId="2B695961"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830F45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Interdiction de l'ouverture de nouvelles centrales de production exclusive d'électricité fonctionnant aux énergies fossiles</w:t>
            </w:r>
          </w:p>
        </w:tc>
        <w:tc>
          <w:tcPr>
            <w:tcW w:w="218" w:type="dxa"/>
            <w:tcBorders>
              <w:top w:val="nil"/>
              <w:left w:val="nil"/>
              <w:bottom w:val="single" w:sz="4" w:space="0" w:color="auto"/>
              <w:right w:val="single" w:sz="4" w:space="0" w:color="auto"/>
            </w:tcBorders>
            <w:shd w:val="clear" w:color="auto" w:fill="auto"/>
            <w:noWrap/>
            <w:vAlign w:val="bottom"/>
            <w:hideMark/>
          </w:tcPr>
          <w:p w14:paraId="291B5C1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19A8C31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7A4FF515"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687A104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2DCF522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058E89C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4847EC8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prévoit de ne plus autoriser de nouveau projet de centrale de production exclusive d’électricité à partir d’énergies fossiles.</w:t>
            </w:r>
          </w:p>
        </w:tc>
        <w:tc>
          <w:tcPr>
            <w:tcW w:w="218" w:type="dxa"/>
            <w:tcBorders>
              <w:top w:val="nil"/>
              <w:left w:val="nil"/>
              <w:bottom w:val="single" w:sz="4" w:space="0" w:color="auto"/>
              <w:right w:val="single" w:sz="4" w:space="0" w:color="auto"/>
            </w:tcBorders>
            <w:shd w:val="clear" w:color="auto" w:fill="auto"/>
            <w:noWrap/>
            <w:vAlign w:val="bottom"/>
            <w:hideMark/>
          </w:tcPr>
          <w:p w14:paraId="0A491BE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31C1581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615D7A5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5A2C465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F93111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803232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63104556"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396A49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Mesures en faveur de l'hydroélectricité</w:t>
            </w:r>
          </w:p>
        </w:tc>
        <w:tc>
          <w:tcPr>
            <w:tcW w:w="218" w:type="dxa"/>
            <w:tcBorders>
              <w:top w:val="nil"/>
              <w:left w:val="nil"/>
              <w:bottom w:val="single" w:sz="4" w:space="0" w:color="auto"/>
              <w:right w:val="single" w:sz="4" w:space="0" w:color="auto"/>
            </w:tcBorders>
            <w:shd w:val="clear" w:color="auto" w:fill="auto"/>
            <w:noWrap/>
            <w:vAlign w:val="bottom"/>
            <w:hideMark/>
          </w:tcPr>
          <w:p w14:paraId="45354A9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287A4D0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76E8FF45"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6395E71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08CF1BE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Economic</w:t>
            </w:r>
          </w:p>
        </w:tc>
        <w:tc>
          <w:tcPr>
            <w:tcW w:w="218" w:type="dxa"/>
            <w:tcBorders>
              <w:top w:val="nil"/>
              <w:left w:val="nil"/>
              <w:bottom w:val="single" w:sz="4" w:space="0" w:color="auto"/>
              <w:right w:val="single" w:sz="4" w:space="0" w:color="auto"/>
            </w:tcBorders>
            <w:shd w:val="clear" w:color="auto" w:fill="auto"/>
            <w:noWrap/>
            <w:vAlign w:val="bottom"/>
            <w:hideMark/>
          </w:tcPr>
          <w:p w14:paraId="0C6EF9E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8763CE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(PPE 2) prévoit les mesures suivantes en faveur de l'hydroélectricité : optimiser la production et la flexibilité du parc hydroélectrique, notamment au-travers de suréquipements et de l’installation de centrales hydroélectriques sur des barrages existants non-équipés, lancer des appels d’offres pour la petite hydroélectricité selon un calendrier défini dans la PPE 2.</w:t>
            </w:r>
          </w:p>
        </w:tc>
        <w:tc>
          <w:tcPr>
            <w:tcW w:w="218" w:type="dxa"/>
            <w:tcBorders>
              <w:top w:val="nil"/>
              <w:left w:val="nil"/>
              <w:bottom w:val="single" w:sz="4" w:space="0" w:color="auto"/>
              <w:right w:val="single" w:sz="4" w:space="0" w:color="auto"/>
            </w:tcBorders>
            <w:shd w:val="clear" w:color="auto" w:fill="auto"/>
            <w:noWrap/>
            <w:vAlign w:val="bottom"/>
            <w:hideMark/>
          </w:tcPr>
          <w:p w14:paraId="0B0C55C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7343423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764FA45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860D40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5B4025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5C9A01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5BD6C284"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240D50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Mesures en faveur de l'éolien terrestre</w:t>
            </w:r>
          </w:p>
        </w:tc>
        <w:tc>
          <w:tcPr>
            <w:tcW w:w="218" w:type="dxa"/>
            <w:tcBorders>
              <w:top w:val="nil"/>
              <w:left w:val="nil"/>
              <w:bottom w:val="single" w:sz="4" w:space="0" w:color="auto"/>
              <w:right w:val="single" w:sz="4" w:space="0" w:color="auto"/>
            </w:tcBorders>
            <w:shd w:val="clear" w:color="auto" w:fill="auto"/>
            <w:noWrap/>
            <w:vAlign w:val="bottom"/>
            <w:hideMark/>
          </w:tcPr>
          <w:p w14:paraId="0C3A214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2D1B543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0C79E3DD"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3B275A7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FC703E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Economic</w:t>
            </w:r>
          </w:p>
        </w:tc>
        <w:tc>
          <w:tcPr>
            <w:tcW w:w="218" w:type="dxa"/>
            <w:tcBorders>
              <w:top w:val="nil"/>
              <w:left w:val="nil"/>
              <w:bottom w:val="single" w:sz="4" w:space="0" w:color="auto"/>
              <w:right w:val="single" w:sz="4" w:space="0" w:color="auto"/>
            </w:tcBorders>
            <w:shd w:val="clear" w:color="auto" w:fill="auto"/>
            <w:noWrap/>
            <w:vAlign w:val="bottom"/>
            <w:hideMark/>
          </w:tcPr>
          <w:p w14:paraId="40EE782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784877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(PPE 2) prévoit les mesures suivantes en faveur de l'éolien terrestre : rendre obligatoire d’ici 2023 le recyclage des matériaux constitutifs des éoliennes lors de leur démantèlement, favoriser la réutilisation des sites éoliens en fin de vie pour y réimplanter des machines plus performantes, lancer des appels d’offres à hauteur de 2 GW/an selon un calendrier défini dans la PPE.</w:t>
            </w:r>
          </w:p>
        </w:tc>
        <w:tc>
          <w:tcPr>
            <w:tcW w:w="218" w:type="dxa"/>
            <w:tcBorders>
              <w:top w:val="nil"/>
              <w:left w:val="nil"/>
              <w:bottom w:val="single" w:sz="4" w:space="0" w:color="auto"/>
              <w:right w:val="single" w:sz="4" w:space="0" w:color="auto"/>
            </w:tcBorders>
            <w:shd w:val="clear" w:color="auto" w:fill="auto"/>
            <w:noWrap/>
            <w:vAlign w:val="bottom"/>
            <w:hideMark/>
          </w:tcPr>
          <w:p w14:paraId="524D165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725F50C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4DAB23E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98D62E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018402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D61611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3B577AD2"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8F11F8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Mesures en faveur de l'électricité photovoltaïque</w:t>
            </w:r>
          </w:p>
        </w:tc>
        <w:tc>
          <w:tcPr>
            <w:tcW w:w="218" w:type="dxa"/>
            <w:tcBorders>
              <w:top w:val="nil"/>
              <w:left w:val="nil"/>
              <w:bottom w:val="single" w:sz="4" w:space="0" w:color="auto"/>
              <w:right w:val="single" w:sz="4" w:space="0" w:color="auto"/>
            </w:tcBorders>
            <w:shd w:val="clear" w:color="auto" w:fill="auto"/>
            <w:noWrap/>
            <w:vAlign w:val="bottom"/>
            <w:hideMark/>
          </w:tcPr>
          <w:p w14:paraId="3553C5F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69DDECC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01D208B5"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71A4BCE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7EED54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Economic</w:t>
            </w:r>
          </w:p>
        </w:tc>
        <w:tc>
          <w:tcPr>
            <w:tcW w:w="218" w:type="dxa"/>
            <w:tcBorders>
              <w:top w:val="nil"/>
              <w:left w:val="nil"/>
              <w:bottom w:val="single" w:sz="4" w:space="0" w:color="auto"/>
              <w:right w:val="single" w:sz="4" w:space="0" w:color="auto"/>
            </w:tcBorders>
            <w:shd w:val="clear" w:color="auto" w:fill="auto"/>
            <w:noWrap/>
            <w:vAlign w:val="bottom"/>
            <w:hideMark/>
          </w:tcPr>
          <w:p w14:paraId="00784DE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2250386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(PPE 2) prévoit les mesures suivantes en faveur du photovoltaïque : privilégier le développement du photovoltaïque au sol, moins coûteux, de préférence sur les terrains urbanisés ou dégradés et les parkings, en veillant à ce que les projets respectent la biodiversité et les terres agricoles, soutenir l’innovation dans la filière du photovoltaïque par appel d’offres afin d’encourager de nouvelles solutions solaires au sol (agrivoltaïsme, centrales flottantes…) et sur les bâtiments. La PPE 2 définit un calendrier d’appel d’offres correspondant à 2 GW par an pour les centrales au sol et 0,9 GW par an pour les installations sur grandes toitures, et elle maintient un objectif de 3050 MW installés par an pour les installations sur petites et moyennes toitures (inférieures à 100 kWc) via un système de guichet ouvert en orientant les projets vers l’autoconsommation.</w:t>
            </w:r>
          </w:p>
        </w:tc>
        <w:tc>
          <w:tcPr>
            <w:tcW w:w="218" w:type="dxa"/>
            <w:tcBorders>
              <w:top w:val="nil"/>
              <w:left w:val="nil"/>
              <w:bottom w:val="single" w:sz="4" w:space="0" w:color="auto"/>
              <w:right w:val="single" w:sz="4" w:space="0" w:color="auto"/>
            </w:tcBorders>
            <w:shd w:val="clear" w:color="auto" w:fill="auto"/>
            <w:noWrap/>
            <w:vAlign w:val="bottom"/>
            <w:hideMark/>
          </w:tcPr>
          <w:p w14:paraId="7A8FCF4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7A10E88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75B51E3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05607F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F7C67A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2A1FC4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38542F57"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60F940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Mesures de promotion du gaz renouvelable</w:t>
            </w:r>
          </w:p>
        </w:tc>
        <w:tc>
          <w:tcPr>
            <w:tcW w:w="218" w:type="dxa"/>
            <w:tcBorders>
              <w:top w:val="nil"/>
              <w:left w:val="nil"/>
              <w:bottom w:val="single" w:sz="4" w:space="0" w:color="auto"/>
              <w:right w:val="single" w:sz="4" w:space="0" w:color="auto"/>
            </w:tcBorders>
            <w:shd w:val="clear" w:color="auto" w:fill="auto"/>
            <w:noWrap/>
            <w:vAlign w:val="bottom"/>
            <w:hideMark/>
          </w:tcPr>
          <w:p w14:paraId="3EAE537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40C4D94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5AD0DCA6"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r w:rsidRPr="001808DF">
              <w:rPr>
                <w:rFonts w:ascii="Arial" w:hAnsi="Arial" w:cs="Arial"/>
                <w:color w:val="000000"/>
                <w:sz w:val="16"/>
                <w:szCs w:val="16"/>
              </w:rPr>
              <w:t>, CH4</w:t>
            </w:r>
          </w:p>
        </w:tc>
        <w:tc>
          <w:tcPr>
            <w:tcW w:w="469" w:type="dxa"/>
            <w:tcBorders>
              <w:top w:val="nil"/>
              <w:left w:val="nil"/>
              <w:bottom w:val="single" w:sz="4" w:space="0" w:color="auto"/>
              <w:right w:val="single" w:sz="4" w:space="0" w:color="auto"/>
            </w:tcBorders>
            <w:shd w:val="clear" w:color="auto" w:fill="auto"/>
            <w:noWrap/>
            <w:vAlign w:val="bottom"/>
            <w:hideMark/>
          </w:tcPr>
          <w:p w14:paraId="19ADB44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7EAF2A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Economic</w:t>
            </w:r>
          </w:p>
        </w:tc>
        <w:tc>
          <w:tcPr>
            <w:tcW w:w="218" w:type="dxa"/>
            <w:tcBorders>
              <w:top w:val="nil"/>
              <w:left w:val="nil"/>
              <w:bottom w:val="single" w:sz="4" w:space="0" w:color="auto"/>
              <w:right w:val="single" w:sz="4" w:space="0" w:color="auto"/>
            </w:tcBorders>
            <w:shd w:val="clear" w:color="auto" w:fill="auto"/>
            <w:noWrap/>
            <w:vAlign w:val="bottom"/>
            <w:hideMark/>
          </w:tcPr>
          <w:p w14:paraId="4B6C7E4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C3498A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(PPE 2) prévoit les mesures suivantes en faveur du développement du gaz renouvelable : donner de la visibilité en adoptant un calendrier d’appel d’offres pour le biométhane injecté : deux appels d’offres, pour un objectif de production annuelle de 350 GWh PCS/an chacun, seront lancés chaque année ; consolider l’obligation d’achat de biogaz à un tarif réglementé et lancer des appels d’offres permettant d’atteindre les objectifs de production à un coût maîtrisé grâce à de fortes baisses des coûts ; mettre en place un dispositif de soutien adapté pour le biométhane non injecté dans les réseaux de gaz naturel (en particulier le biométhane utilisé directement pour des véhicules au bioGNV).</w:t>
            </w:r>
          </w:p>
        </w:tc>
        <w:tc>
          <w:tcPr>
            <w:tcW w:w="218" w:type="dxa"/>
            <w:tcBorders>
              <w:top w:val="nil"/>
              <w:left w:val="nil"/>
              <w:bottom w:val="single" w:sz="4" w:space="0" w:color="auto"/>
              <w:right w:val="single" w:sz="4" w:space="0" w:color="auto"/>
            </w:tcBorders>
            <w:shd w:val="clear" w:color="auto" w:fill="auto"/>
            <w:noWrap/>
            <w:vAlign w:val="bottom"/>
            <w:hideMark/>
          </w:tcPr>
          <w:p w14:paraId="28D0D6A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6EC7569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70512F0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7586E40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2E7E14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4BB165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0E8D2B98"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0A8F77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Mesures en faveur du développement du stockage et du pilotage de la demande d'électricité</w:t>
            </w:r>
          </w:p>
        </w:tc>
        <w:tc>
          <w:tcPr>
            <w:tcW w:w="218" w:type="dxa"/>
            <w:tcBorders>
              <w:top w:val="nil"/>
              <w:left w:val="nil"/>
              <w:bottom w:val="single" w:sz="4" w:space="0" w:color="auto"/>
              <w:right w:val="single" w:sz="4" w:space="0" w:color="auto"/>
            </w:tcBorders>
            <w:shd w:val="clear" w:color="auto" w:fill="auto"/>
            <w:noWrap/>
            <w:vAlign w:val="bottom"/>
            <w:hideMark/>
          </w:tcPr>
          <w:p w14:paraId="3D2B834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495800D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50257EAA"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497926E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7D77D3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30EC3B8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71B507A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(PPE 2) prévoit d'engager, au cours de la première période de la PPE (2019-2023), les démarches permettant le développement des stations de pompage d’électricité pour un potentiel de 1,5 GW identifié en vue des mises en service des installations entre 2030 et 2035. Elle fixe en outre un objectif deffacement de 6,5 GW à l’horizon 2028 avec un objectif intermédiaire de 4,5GW en 2023.</w:t>
            </w:r>
          </w:p>
        </w:tc>
        <w:tc>
          <w:tcPr>
            <w:tcW w:w="218" w:type="dxa"/>
            <w:tcBorders>
              <w:top w:val="nil"/>
              <w:left w:val="nil"/>
              <w:bottom w:val="single" w:sz="4" w:space="0" w:color="auto"/>
              <w:right w:val="single" w:sz="4" w:space="0" w:color="auto"/>
            </w:tcBorders>
            <w:shd w:val="clear" w:color="auto" w:fill="auto"/>
            <w:noWrap/>
            <w:vAlign w:val="bottom"/>
            <w:hideMark/>
          </w:tcPr>
          <w:p w14:paraId="48F4834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675D891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A60538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C72242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1E20DD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83AB06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38F38D8E"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8CE1C1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Coup de pouce économies d'énergie pour les ménages</w:t>
            </w:r>
          </w:p>
        </w:tc>
        <w:tc>
          <w:tcPr>
            <w:tcW w:w="218" w:type="dxa"/>
            <w:tcBorders>
              <w:top w:val="nil"/>
              <w:left w:val="nil"/>
              <w:bottom w:val="single" w:sz="4" w:space="0" w:color="auto"/>
              <w:right w:val="single" w:sz="4" w:space="0" w:color="auto"/>
            </w:tcBorders>
            <w:shd w:val="clear" w:color="auto" w:fill="auto"/>
            <w:noWrap/>
            <w:vAlign w:val="bottom"/>
            <w:hideMark/>
          </w:tcPr>
          <w:p w14:paraId="76188F3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273A602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 Other (Building)</w:t>
            </w:r>
          </w:p>
        </w:tc>
        <w:tc>
          <w:tcPr>
            <w:tcW w:w="340" w:type="dxa"/>
            <w:tcBorders>
              <w:top w:val="nil"/>
              <w:left w:val="nil"/>
              <w:bottom w:val="single" w:sz="4" w:space="0" w:color="auto"/>
              <w:right w:val="single" w:sz="4" w:space="0" w:color="auto"/>
            </w:tcBorders>
            <w:shd w:val="clear" w:color="auto" w:fill="auto"/>
            <w:noWrap/>
            <w:vAlign w:val="bottom"/>
            <w:hideMark/>
          </w:tcPr>
          <w:p w14:paraId="0586D2A5"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204BB2B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13133DB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Economic, Voluntary Agreement</w:t>
            </w:r>
          </w:p>
        </w:tc>
        <w:tc>
          <w:tcPr>
            <w:tcW w:w="218" w:type="dxa"/>
            <w:tcBorders>
              <w:top w:val="nil"/>
              <w:left w:val="nil"/>
              <w:bottom w:val="single" w:sz="4" w:space="0" w:color="auto"/>
              <w:right w:val="single" w:sz="4" w:space="0" w:color="auto"/>
            </w:tcBorders>
            <w:shd w:val="clear" w:color="auto" w:fill="auto"/>
            <w:noWrap/>
            <w:vAlign w:val="bottom"/>
            <w:hideMark/>
          </w:tcPr>
          <w:p w14:paraId="64327FC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005CABE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Ce nouveau dispositif prévoit la mise en place, dans le cadre du dispositif des certificats d’économies d’énergie (CEE), de bonifications de certaines opérations pour lesquelles le demandeur se sera engagé à travers une charte permettant l’octroi de primes significatives pour les ménages diminuant ainsi leur reste à charge lors des travaux. La bonification concerne des opérations pour lesquelles le demandeur des CEE est signataire de l’une des chartes d’engagement  Coup de pouce Chauffage  ou  Coup de pouce Isolation . Tous les ménages peuvent bénéficier de cette offre. Les montants de primes attribués sont cependant différenciés en fonction de leurs niveaux de ressources. Les ménages les plus  modestes bénéficient de primes plus importantes. La programmation pluriannuelle de l'énergie 2019-2028 prévoit de poursuivre et renforcer le coup de pouce CEE pour l’arrêt des chaudières fioul au profit des pompes à chaleur, des chaudières biomasse, des systèmes solaires combinés, des chaudières à gaz à très haute performance énergétique dans les zones de desserte en gaz naturel ou un raccordement à un réseau de chaleur renouvelable.</w:t>
            </w:r>
          </w:p>
        </w:tc>
        <w:tc>
          <w:tcPr>
            <w:tcW w:w="218" w:type="dxa"/>
            <w:tcBorders>
              <w:top w:val="nil"/>
              <w:left w:val="nil"/>
              <w:bottom w:val="single" w:sz="4" w:space="0" w:color="auto"/>
              <w:right w:val="single" w:sz="4" w:space="0" w:color="auto"/>
            </w:tcBorders>
            <w:shd w:val="clear" w:color="auto" w:fill="auto"/>
            <w:noWrap/>
            <w:vAlign w:val="bottom"/>
            <w:hideMark/>
          </w:tcPr>
          <w:p w14:paraId="7E3C19C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62B6DFF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1CBAA66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F8F771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DD7AE5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648911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7884FEB5"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28A44C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Mesures pour développer les biocarburants</w:t>
            </w:r>
          </w:p>
        </w:tc>
        <w:tc>
          <w:tcPr>
            <w:tcW w:w="218" w:type="dxa"/>
            <w:tcBorders>
              <w:top w:val="nil"/>
              <w:left w:val="nil"/>
              <w:bottom w:val="single" w:sz="4" w:space="0" w:color="auto"/>
              <w:right w:val="single" w:sz="4" w:space="0" w:color="auto"/>
            </w:tcBorders>
            <w:shd w:val="clear" w:color="auto" w:fill="auto"/>
            <w:noWrap/>
            <w:vAlign w:val="bottom"/>
            <w:hideMark/>
          </w:tcPr>
          <w:p w14:paraId="3D7D1EA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040D7B2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14397D01"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7C7D44E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CCA802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Fiscal</w:t>
            </w:r>
          </w:p>
        </w:tc>
        <w:tc>
          <w:tcPr>
            <w:tcW w:w="218" w:type="dxa"/>
            <w:tcBorders>
              <w:top w:val="nil"/>
              <w:left w:val="nil"/>
              <w:bottom w:val="single" w:sz="4" w:space="0" w:color="auto"/>
              <w:right w:val="single" w:sz="4" w:space="0" w:color="auto"/>
            </w:tcBorders>
            <w:shd w:val="clear" w:color="auto" w:fill="auto"/>
            <w:noWrap/>
            <w:vAlign w:val="bottom"/>
            <w:hideMark/>
          </w:tcPr>
          <w:p w14:paraId="2FA357C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286B074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(PPE 2) prévoit de poursuivre le soutien national au développement des biocarburants via une incitation à l’incorporation pour les opérateurs qui mettent à la consommation les carburants. Par ailleurs, au-delà du plafond existant pour les biocarburants conventionnels, il prévoit de limiter l’incorporation de biocarburants réalisés à partir de matières premières présentant un risque élevé d'induire des changements indirects dans laffectation des sols (ex : certaines huiles de palme ou de soja), comme le prévoit la nouvelle directive européenne relative aux énergies renouvelables.</w:t>
            </w:r>
          </w:p>
        </w:tc>
        <w:tc>
          <w:tcPr>
            <w:tcW w:w="218" w:type="dxa"/>
            <w:tcBorders>
              <w:top w:val="nil"/>
              <w:left w:val="nil"/>
              <w:bottom w:val="single" w:sz="4" w:space="0" w:color="auto"/>
              <w:right w:val="single" w:sz="4" w:space="0" w:color="auto"/>
            </w:tcBorders>
            <w:shd w:val="clear" w:color="auto" w:fill="auto"/>
            <w:noWrap/>
            <w:vAlign w:val="bottom"/>
            <w:hideMark/>
          </w:tcPr>
          <w:p w14:paraId="2D03A33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7F9915B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2EE3428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5F7B491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7AF1B3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3B316F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7AAE3C81"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12C650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Aide fiscale aux entreprises pour le remplacement de leurs équipements fonctionnant avec des HFC par des équipements sans HFC</w:t>
            </w:r>
          </w:p>
        </w:tc>
        <w:tc>
          <w:tcPr>
            <w:tcW w:w="218" w:type="dxa"/>
            <w:tcBorders>
              <w:top w:val="nil"/>
              <w:left w:val="nil"/>
              <w:bottom w:val="single" w:sz="4" w:space="0" w:color="auto"/>
              <w:right w:val="single" w:sz="4" w:space="0" w:color="auto"/>
            </w:tcBorders>
            <w:shd w:val="clear" w:color="auto" w:fill="auto"/>
            <w:noWrap/>
            <w:vAlign w:val="bottom"/>
            <w:hideMark/>
          </w:tcPr>
          <w:p w14:paraId="3F2DBB4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5877646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Industry/industrial processes, Energy</w:t>
            </w:r>
          </w:p>
        </w:tc>
        <w:tc>
          <w:tcPr>
            <w:tcW w:w="340" w:type="dxa"/>
            <w:tcBorders>
              <w:top w:val="nil"/>
              <w:left w:val="nil"/>
              <w:bottom w:val="single" w:sz="4" w:space="0" w:color="auto"/>
              <w:right w:val="single" w:sz="4" w:space="0" w:color="auto"/>
            </w:tcBorders>
            <w:shd w:val="clear" w:color="auto" w:fill="auto"/>
            <w:noWrap/>
            <w:vAlign w:val="bottom"/>
            <w:hideMark/>
          </w:tcPr>
          <w:p w14:paraId="775448D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HFCs</w:t>
            </w:r>
          </w:p>
        </w:tc>
        <w:tc>
          <w:tcPr>
            <w:tcW w:w="469" w:type="dxa"/>
            <w:tcBorders>
              <w:top w:val="nil"/>
              <w:left w:val="nil"/>
              <w:bottom w:val="single" w:sz="4" w:space="0" w:color="auto"/>
              <w:right w:val="single" w:sz="4" w:space="0" w:color="auto"/>
            </w:tcBorders>
            <w:shd w:val="clear" w:color="auto" w:fill="auto"/>
            <w:noWrap/>
            <w:vAlign w:val="bottom"/>
            <w:hideMark/>
          </w:tcPr>
          <w:p w14:paraId="777B567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1B1F95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Fiscal</w:t>
            </w:r>
          </w:p>
        </w:tc>
        <w:tc>
          <w:tcPr>
            <w:tcW w:w="218" w:type="dxa"/>
            <w:tcBorders>
              <w:top w:val="nil"/>
              <w:left w:val="nil"/>
              <w:bottom w:val="single" w:sz="4" w:space="0" w:color="auto"/>
              <w:right w:val="single" w:sz="4" w:space="0" w:color="auto"/>
            </w:tcBorders>
            <w:shd w:val="clear" w:color="auto" w:fill="auto"/>
            <w:noWrap/>
            <w:vAlign w:val="bottom"/>
            <w:hideMark/>
          </w:tcPr>
          <w:p w14:paraId="33B64E4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73E6AA7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Les entreprises soumises à l'impôt sur les sociétés ou à l'impôt sur le revenu selon un régime réel dimposition peuvent déduire de leur résultat imposable une somme égale à 40 % de la valeur d'origine des biens d'équipement de réfrigération et de traitement de lair fonctionnant sans HFC acquis à l'état neuf à compter du 1er janvier 2019 et jusquau 31 décembre 2022.</w:t>
            </w:r>
          </w:p>
        </w:tc>
        <w:tc>
          <w:tcPr>
            <w:tcW w:w="218" w:type="dxa"/>
            <w:tcBorders>
              <w:top w:val="nil"/>
              <w:left w:val="nil"/>
              <w:bottom w:val="single" w:sz="4" w:space="0" w:color="auto"/>
              <w:right w:val="single" w:sz="4" w:space="0" w:color="auto"/>
            </w:tcBorders>
            <w:shd w:val="clear" w:color="auto" w:fill="auto"/>
            <w:noWrap/>
            <w:vAlign w:val="bottom"/>
            <w:hideMark/>
          </w:tcPr>
          <w:p w14:paraId="7325ECB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10F835A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1D30030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55F184A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D79E0D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7B3757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056A92C1"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9541EB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Feuilles de route de décarbonation des filières industrielles</w:t>
            </w:r>
          </w:p>
        </w:tc>
        <w:tc>
          <w:tcPr>
            <w:tcW w:w="218" w:type="dxa"/>
            <w:tcBorders>
              <w:top w:val="nil"/>
              <w:left w:val="nil"/>
              <w:bottom w:val="single" w:sz="4" w:space="0" w:color="auto"/>
              <w:right w:val="single" w:sz="4" w:space="0" w:color="auto"/>
            </w:tcBorders>
            <w:shd w:val="clear" w:color="auto" w:fill="auto"/>
            <w:noWrap/>
            <w:vAlign w:val="bottom"/>
            <w:hideMark/>
          </w:tcPr>
          <w:p w14:paraId="7B2C3ED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6B743D9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Industry/industrial processes</w:t>
            </w:r>
          </w:p>
        </w:tc>
        <w:tc>
          <w:tcPr>
            <w:tcW w:w="340" w:type="dxa"/>
            <w:tcBorders>
              <w:top w:val="nil"/>
              <w:left w:val="nil"/>
              <w:bottom w:val="single" w:sz="4" w:space="0" w:color="auto"/>
              <w:right w:val="single" w:sz="4" w:space="0" w:color="auto"/>
            </w:tcBorders>
            <w:shd w:val="clear" w:color="auto" w:fill="auto"/>
            <w:noWrap/>
            <w:vAlign w:val="bottom"/>
            <w:hideMark/>
          </w:tcPr>
          <w:p w14:paraId="656C72C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69" w:type="dxa"/>
            <w:tcBorders>
              <w:top w:val="nil"/>
              <w:left w:val="nil"/>
              <w:bottom w:val="single" w:sz="4" w:space="0" w:color="auto"/>
              <w:right w:val="single" w:sz="4" w:space="0" w:color="auto"/>
            </w:tcBorders>
            <w:shd w:val="clear" w:color="auto" w:fill="auto"/>
            <w:noWrap/>
            <w:vAlign w:val="bottom"/>
            <w:hideMark/>
          </w:tcPr>
          <w:p w14:paraId="0C7CCFF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2B42A74C" w14:textId="77777777" w:rsidR="00A46044" w:rsidRPr="001808DF" w:rsidRDefault="00A46044" w:rsidP="009765CE">
            <w:pPr>
              <w:jc w:val="left"/>
              <w:rPr>
                <w:rFonts w:ascii="Arial" w:hAnsi="Arial" w:cs="Arial"/>
                <w:color w:val="000000"/>
                <w:sz w:val="16"/>
                <w:szCs w:val="16"/>
              </w:rPr>
            </w:pPr>
            <w:r w:rsidRPr="001808DF">
              <w:rPr>
                <w:rFonts w:ascii="Arial" w:hAnsi="Arial" w:cs="Arial"/>
                <w:noProof/>
                <w:color w:val="000000"/>
                <w:sz w:val="16"/>
                <w:szCs w:val="16"/>
                <w:lang w:val="fr-FR"/>
              </w:rPr>
              <w:drawing>
                <wp:anchor distT="0" distB="0" distL="114300" distR="114300" simplePos="0" relativeHeight="251843072" behindDoc="0" locked="0" layoutInCell="1" allowOverlap="1" wp14:anchorId="359F21B8" wp14:editId="34DD672C">
                  <wp:simplePos x="0" y="0"/>
                  <wp:positionH relativeFrom="column">
                    <wp:posOffset>523875</wp:posOffset>
                  </wp:positionH>
                  <wp:positionV relativeFrom="paragraph">
                    <wp:posOffset>47625</wp:posOffset>
                  </wp:positionV>
                  <wp:extent cx="4400550" cy="2381250"/>
                  <wp:effectExtent l="0" t="0" r="0" b="0"/>
                  <wp:wrapNone/>
                  <wp:docPr id="16" name="Image 16" hidden="1">
                    <a:extLst xmlns:a="http://schemas.openxmlformats.org/drawingml/2006/main">
                      <a:ext uri="{FF2B5EF4-FFF2-40B4-BE49-F238E27FC236}">
                        <a16:creationId xmlns:a16="http://schemas.microsoft.com/office/drawing/2014/main" id="{9A2BEF94-D2DC-417C-B39E-8448986BBE9A}"/>
                      </a:ext>
                    </a:extLst>
                  </wp:docPr>
                  <wp:cNvGraphicFramePr/>
                  <a:graphic xmlns:a="http://schemas.openxmlformats.org/drawingml/2006/main">
                    <a:graphicData uri="http://schemas.openxmlformats.org/drawingml/2006/picture">
                      <pic:pic xmlns:pic="http://schemas.openxmlformats.org/drawingml/2006/picture">
                        <pic:nvPicPr>
                          <pic:cNvPr id="3" name="WorkBookValidated" hidden="1">
                            <a:extLst>
                              <a:ext uri="{FF2B5EF4-FFF2-40B4-BE49-F238E27FC236}">
                                <a16:creationId xmlns:a16="http://schemas.microsoft.com/office/drawing/2014/main" id="{9A2BEF94-D2DC-417C-B39E-8448986BBE9A}"/>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4400550" cy="2381250"/>
                          </a:xfrm>
                          <a:prstGeom prst="rect">
                            <a:avLst/>
                          </a:prstGeom>
                        </pic:spPr>
                      </pic:pic>
                    </a:graphicData>
                  </a:graphic>
                  <wp14:sizeRelH relativeFrom="page">
                    <wp14:pctWidth>0</wp14:pctWidth>
                  </wp14:sizeRelH>
                  <wp14:sizeRelV relativeFrom="page">
                    <wp14:pctHeight>0</wp14:pctHeight>
                  </wp14:sizeRelV>
                </wp:anchor>
              </w:drawing>
            </w:r>
            <w:r w:rsidRPr="001808DF">
              <w:rPr>
                <w:rFonts w:ascii="Arial" w:hAnsi="Arial" w:cs="Arial"/>
                <w:color w:val="000000"/>
                <w:sz w:val="16"/>
                <w:szCs w:val="16"/>
              </w:rPr>
              <w:t>Research, Information, Other (Support), Other (Consulting)</w:t>
            </w:r>
          </w:p>
        </w:tc>
        <w:tc>
          <w:tcPr>
            <w:tcW w:w="218" w:type="dxa"/>
            <w:tcBorders>
              <w:top w:val="nil"/>
              <w:left w:val="nil"/>
              <w:bottom w:val="single" w:sz="4" w:space="0" w:color="auto"/>
              <w:right w:val="single" w:sz="4" w:space="0" w:color="auto"/>
            </w:tcBorders>
            <w:shd w:val="clear" w:color="auto" w:fill="auto"/>
            <w:noWrap/>
            <w:vAlign w:val="bottom"/>
            <w:hideMark/>
          </w:tcPr>
          <w:p w14:paraId="3718D86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4F33312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Depuis 2019, dans le cadre du Pacte productif, un groupe de travail sur la décarbonation de l’industrie a été mis en place avec le CNI et les CSF des filières les plus émettrices. Jusqu’à présent, les feuilles de route des secteurs visées par ces travaux couvrent les trois quarts des émissions de l’industrie (de 2015) et donnent les objectifs des filières à horizon 2030. Trois premières feuilles de route ont été publiées pour les secteurs mines-métallurgie, ciment et chimie en mai 2021.</w:t>
            </w:r>
          </w:p>
        </w:tc>
        <w:tc>
          <w:tcPr>
            <w:tcW w:w="218" w:type="dxa"/>
            <w:tcBorders>
              <w:top w:val="nil"/>
              <w:left w:val="nil"/>
              <w:bottom w:val="single" w:sz="4" w:space="0" w:color="auto"/>
              <w:right w:val="single" w:sz="4" w:space="0" w:color="auto"/>
            </w:tcBorders>
            <w:shd w:val="clear" w:color="auto" w:fill="auto"/>
            <w:noWrap/>
            <w:vAlign w:val="bottom"/>
            <w:hideMark/>
          </w:tcPr>
          <w:p w14:paraId="79F0719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1841927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l'économie(National government); 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269C50C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55D36D3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B125E3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AB4CEB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5765C692"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48CB4F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Déploiement de zones à faibles émissions</w:t>
            </w:r>
          </w:p>
        </w:tc>
        <w:tc>
          <w:tcPr>
            <w:tcW w:w="218" w:type="dxa"/>
            <w:tcBorders>
              <w:top w:val="nil"/>
              <w:left w:val="nil"/>
              <w:bottom w:val="single" w:sz="4" w:space="0" w:color="auto"/>
              <w:right w:val="single" w:sz="4" w:space="0" w:color="auto"/>
            </w:tcBorders>
            <w:shd w:val="clear" w:color="auto" w:fill="auto"/>
            <w:noWrap/>
            <w:vAlign w:val="bottom"/>
            <w:hideMark/>
          </w:tcPr>
          <w:p w14:paraId="0507C3E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15F20ED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022F2260"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6546641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879939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4B1F767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110D46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Les agglomérations de plus de 150 000 habitants situées sur le territoire métropolitain devront avoir instauré une zone à faibles émissions mobilité avant le 31 décembre 2024. Pour les zones à faibles émissions où les normes de qualité de l'air ne sont pas atteintes, sont interdits a minima : au plus tard le 1er janvier 2025, les véhicules diesel et assimilés dont la date de première immatriculation est antérieure au 31 décembre 2010 ainsi que les véhicules essence et assimilés dont la date de première immatriculation est antérieure au 31 décembre 2005.</w:t>
            </w:r>
          </w:p>
        </w:tc>
        <w:tc>
          <w:tcPr>
            <w:tcW w:w="218" w:type="dxa"/>
            <w:tcBorders>
              <w:top w:val="nil"/>
              <w:left w:val="nil"/>
              <w:bottom w:val="single" w:sz="4" w:space="0" w:color="auto"/>
              <w:right w:val="single" w:sz="4" w:space="0" w:color="auto"/>
            </w:tcBorders>
            <w:shd w:val="clear" w:color="auto" w:fill="auto"/>
            <w:noWrap/>
            <w:vAlign w:val="bottom"/>
            <w:hideMark/>
          </w:tcPr>
          <w:p w14:paraId="4DB1421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244161E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Collectivités locales et autorités organisatrices de transport (Local)(Local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7B564DF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8FA9FA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1CC95A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096E1E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69F51265"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67FA37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Renforcement des transports collectifs et partagés (loi d'orientation des mobilités 2019)</w:t>
            </w:r>
          </w:p>
        </w:tc>
        <w:tc>
          <w:tcPr>
            <w:tcW w:w="218" w:type="dxa"/>
            <w:tcBorders>
              <w:top w:val="nil"/>
              <w:left w:val="nil"/>
              <w:bottom w:val="single" w:sz="4" w:space="0" w:color="auto"/>
              <w:right w:val="single" w:sz="4" w:space="0" w:color="auto"/>
            </w:tcBorders>
            <w:shd w:val="clear" w:color="auto" w:fill="auto"/>
            <w:noWrap/>
            <w:vAlign w:val="bottom"/>
            <w:hideMark/>
          </w:tcPr>
          <w:p w14:paraId="19AF9AB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00CF7A8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329D8123"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5F6FF69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55463F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Economic</w:t>
            </w:r>
          </w:p>
        </w:tc>
        <w:tc>
          <w:tcPr>
            <w:tcW w:w="218" w:type="dxa"/>
            <w:tcBorders>
              <w:top w:val="nil"/>
              <w:left w:val="nil"/>
              <w:bottom w:val="single" w:sz="4" w:space="0" w:color="auto"/>
              <w:right w:val="single" w:sz="4" w:space="0" w:color="auto"/>
            </w:tcBorders>
            <w:shd w:val="clear" w:color="auto" w:fill="auto"/>
            <w:noWrap/>
            <w:vAlign w:val="bottom"/>
            <w:hideMark/>
          </w:tcPr>
          <w:p w14:paraId="718B35F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04A1687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loi d'orientation des mobilités prévoit un renforcement des transports collectifs et partagés : une augmentation de 40 % des investissements en transports entre la période 2014-2018 et 2019-2023 pour notamment améliorer les transports du quotidien ; une meilleure information multimodale (100 % des informations de mobilité accessibles pour un trajet en un seul clic) ; un cadre et des outils pour favoriser le développement des alternatives à la voiture individuelle notamment dans les territoires ruraux (covoiturage, services à la demande, mise à disposition de véhicules en autopartage).</w:t>
            </w:r>
          </w:p>
        </w:tc>
        <w:tc>
          <w:tcPr>
            <w:tcW w:w="218" w:type="dxa"/>
            <w:tcBorders>
              <w:top w:val="nil"/>
              <w:left w:val="nil"/>
              <w:bottom w:val="single" w:sz="4" w:space="0" w:color="auto"/>
              <w:right w:val="single" w:sz="4" w:space="0" w:color="auto"/>
            </w:tcBorders>
            <w:shd w:val="clear" w:color="auto" w:fill="auto"/>
            <w:noWrap/>
            <w:vAlign w:val="bottom"/>
            <w:hideMark/>
          </w:tcPr>
          <w:p w14:paraId="3F32930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1240151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en charge des transports(National government); Collectivités locales(Local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3F75019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06CBFF7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B133AE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BC6F01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4FA5110F"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9CF927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Stratégie de développement de la mobilité propre de la programmation pluriannuelle de l’énergie 2019-2028</w:t>
            </w:r>
          </w:p>
        </w:tc>
        <w:tc>
          <w:tcPr>
            <w:tcW w:w="218" w:type="dxa"/>
            <w:tcBorders>
              <w:top w:val="nil"/>
              <w:left w:val="nil"/>
              <w:bottom w:val="single" w:sz="4" w:space="0" w:color="auto"/>
              <w:right w:val="single" w:sz="4" w:space="0" w:color="auto"/>
            </w:tcBorders>
            <w:shd w:val="clear" w:color="auto" w:fill="auto"/>
            <w:noWrap/>
            <w:vAlign w:val="bottom"/>
            <w:hideMark/>
          </w:tcPr>
          <w:p w14:paraId="2B31EC8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354B5A5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26D5CC5E"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730E094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7C873F3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6B91DB9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55A2980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stratégie de développement de la mobilité propre constitue un volet spécifique de la programmation pluriannuelle de l’énergie. La stratégie de mobilité propre (horizon 2028) prévoit un développement renforcé des ventes de véhicules électriques pour les voitures et les véhicules utilitaires légers par rapport à une trajectoire AME, un développement renforcé des véhicules à faibles émissions (électriques et GNV) pour les poids lourds, un développement renforcé des biocarburants ainsi qu’un renforcement des gains de performance énergétique des véhicules (tous véhicules routiers mais aussi navigation et aérien) par rapport à une trajectoire en AME. La stratégie de développement de la mobilité propre mobilise également les leviers relatifs à la demande de transport : maîtrise de la mobilité, report modal et optimisation de l’usage des véhicules. Un renforcement des mesures de l’AME ainsi que les dispositions de la future loi mobilités constituent les leviers d’action. A plus long terme, la stratégie nationale bas carbone prévoit la fin de la vente des véhicules thermiques à horizon 2040 pour les véhicules particuliers.</w:t>
            </w:r>
          </w:p>
        </w:tc>
        <w:tc>
          <w:tcPr>
            <w:tcW w:w="218" w:type="dxa"/>
            <w:tcBorders>
              <w:top w:val="nil"/>
              <w:left w:val="nil"/>
              <w:bottom w:val="single" w:sz="4" w:space="0" w:color="auto"/>
              <w:right w:val="single" w:sz="4" w:space="0" w:color="auto"/>
            </w:tcBorders>
            <w:shd w:val="clear" w:color="auto" w:fill="auto"/>
            <w:noWrap/>
            <w:vAlign w:val="bottom"/>
            <w:hideMark/>
          </w:tcPr>
          <w:p w14:paraId="59B04DB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5BA15BC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écologique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584A273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FCF985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A13106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869030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1C37A81F"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A8C422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Feuille de route économie circulaire</w:t>
            </w:r>
          </w:p>
        </w:tc>
        <w:tc>
          <w:tcPr>
            <w:tcW w:w="218" w:type="dxa"/>
            <w:tcBorders>
              <w:top w:val="nil"/>
              <w:left w:val="nil"/>
              <w:bottom w:val="single" w:sz="4" w:space="0" w:color="auto"/>
              <w:right w:val="single" w:sz="4" w:space="0" w:color="auto"/>
            </w:tcBorders>
            <w:shd w:val="clear" w:color="auto" w:fill="auto"/>
            <w:noWrap/>
            <w:vAlign w:val="bottom"/>
            <w:hideMark/>
          </w:tcPr>
          <w:p w14:paraId="41D33DA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5FF19EF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Waste management/waste</w:t>
            </w:r>
          </w:p>
        </w:tc>
        <w:tc>
          <w:tcPr>
            <w:tcW w:w="340" w:type="dxa"/>
            <w:tcBorders>
              <w:top w:val="nil"/>
              <w:left w:val="nil"/>
              <w:bottom w:val="single" w:sz="4" w:space="0" w:color="auto"/>
              <w:right w:val="single" w:sz="4" w:space="0" w:color="auto"/>
            </w:tcBorders>
            <w:shd w:val="clear" w:color="auto" w:fill="auto"/>
            <w:noWrap/>
            <w:vAlign w:val="bottom"/>
            <w:hideMark/>
          </w:tcPr>
          <w:p w14:paraId="536D2FE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CH4, </w:t>
            </w: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1ED331D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272AFFA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Information</w:t>
            </w:r>
          </w:p>
        </w:tc>
        <w:tc>
          <w:tcPr>
            <w:tcW w:w="218" w:type="dxa"/>
            <w:tcBorders>
              <w:top w:val="nil"/>
              <w:left w:val="nil"/>
              <w:bottom w:val="single" w:sz="4" w:space="0" w:color="auto"/>
              <w:right w:val="single" w:sz="4" w:space="0" w:color="auto"/>
            </w:tcBorders>
            <w:shd w:val="clear" w:color="auto" w:fill="auto"/>
            <w:noWrap/>
            <w:vAlign w:val="bottom"/>
            <w:hideMark/>
          </w:tcPr>
          <w:p w14:paraId="379EBCF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5FC4A0B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feuille de route sur l’économie circulaire, publiée en avril 2018, vise à mieux produire (éco-conception, incorporation de matières recyclées), mieux consommer (développement du réemploi et de la réparation, allongement de la durée de vie des produits), mieux gérer les déchets (optimisation du tri des déchets, développement du recyclage et de la valorisation) et mobiliser tous les acteurs. La feuille de route propose 50 mesures en faveur de l’économie circulaire. Un projet de loi sur l’économie circulaire et une meilleure gestion des déchets est en préparation pour 2019.</w:t>
            </w:r>
          </w:p>
        </w:tc>
        <w:tc>
          <w:tcPr>
            <w:tcW w:w="218" w:type="dxa"/>
            <w:tcBorders>
              <w:top w:val="nil"/>
              <w:left w:val="nil"/>
              <w:bottom w:val="single" w:sz="4" w:space="0" w:color="auto"/>
              <w:right w:val="single" w:sz="4" w:space="0" w:color="auto"/>
            </w:tcBorders>
            <w:shd w:val="clear" w:color="auto" w:fill="auto"/>
            <w:noWrap/>
            <w:vAlign w:val="bottom"/>
            <w:hideMark/>
          </w:tcPr>
          <w:p w14:paraId="15560A1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20CDA8A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CCC3DD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126DA19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2DD366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B7D2D1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333E7A18"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E395BC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loi anti-gaspillage pour une économie circulaire</w:t>
            </w:r>
          </w:p>
        </w:tc>
        <w:tc>
          <w:tcPr>
            <w:tcW w:w="218" w:type="dxa"/>
            <w:tcBorders>
              <w:top w:val="nil"/>
              <w:left w:val="nil"/>
              <w:bottom w:val="single" w:sz="4" w:space="0" w:color="auto"/>
              <w:right w:val="single" w:sz="4" w:space="0" w:color="auto"/>
            </w:tcBorders>
            <w:shd w:val="clear" w:color="auto" w:fill="auto"/>
            <w:noWrap/>
            <w:vAlign w:val="bottom"/>
            <w:hideMark/>
          </w:tcPr>
          <w:p w14:paraId="19834CD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5D28BD7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Waste management/waste</w:t>
            </w:r>
          </w:p>
        </w:tc>
        <w:tc>
          <w:tcPr>
            <w:tcW w:w="340" w:type="dxa"/>
            <w:tcBorders>
              <w:top w:val="nil"/>
              <w:left w:val="nil"/>
              <w:bottom w:val="single" w:sz="4" w:space="0" w:color="auto"/>
              <w:right w:val="single" w:sz="4" w:space="0" w:color="auto"/>
            </w:tcBorders>
            <w:shd w:val="clear" w:color="auto" w:fill="auto"/>
            <w:noWrap/>
            <w:vAlign w:val="bottom"/>
            <w:hideMark/>
          </w:tcPr>
          <w:p w14:paraId="7EFA19E8"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r w:rsidRPr="001808DF">
              <w:rPr>
                <w:rFonts w:ascii="Arial" w:hAnsi="Arial" w:cs="Arial"/>
                <w:color w:val="000000"/>
                <w:sz w:val="16"/>
                <w:szCs w:val="16"/>
              </w:rPr>
              <w:t>, CH4</w:t>
            </w:r>
          </w:p>
        </w:tc>
        <w:tc>
          <w:tcPr>
            <w:tcW w:w="469" w:type="dxa"/>
            <w:tcBorders>
              <w:top w:val="nil"/>
              <w:left w:val="nil"/>
              <w:bottom w:val="single" w:sz="4" w:space="0" w:color="auto"/>
              <w:right w:val="single" w:sz="4" w:space="0" w:color="auto"/>
            </w:tcBorders>
            <w:shd w:val="clear" w:color="auto" w:fill="auto"/>
            <w:noWrap/>
            <w:vAlign w:val="bottom"/>
            <w:hideMark/>
          </w:tcPr>
          <w:p w14:paraId="5BC0CDA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0E9E103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Information</w:t>
            </w:r>
          </w:p>
        </w:tc>
        <w:tc>
          <w:tcPr>
            <w:tcW w:w="218" w:type="dxa"/>
            <w:tcBorders>
              <w:top w:val="nil"/>
              <w:left w:val="nil"/>
              <w:bottom w:val="single" w:sz="4" w:space="0" w:color="auto"/>
              <w:right w:val="single" w:sz="4" w:space="0" w:color="auto"/>
            </w:tcBorders>
            <w:shd w:val="clear" w:color="auto" w:fill="auto"/>
            <w:noWrap/>
            <w:vAlign w:val="bottom"/>
            <w:hideMark/>
          </w:tcPr>
          <w:p w14:paraId="60E1606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413B44E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La loi anti-gaspillage pour une économie circulaire vise à mettre en place un ensemble de mesures articulées autour de quatre grandes orientations : mettre fin au gaspillage pour préserver les ressources naturelles, mobiliser les industriels pour transformer les modes de production, renforcer l'information du consommateur et améliorer la collecte des déchets et lutter contre les dépôts sauvages </w:t>
            </w:r>
          </w:p>
        </w:tc>
        <w:tc>
          <w:tcPr>
            <w:tcW w:w="218" w:type="dxa"/>
            <w:tcBorders>
              <w:top w:val="nil"/>
              <w:left w:val="nil"/>
              <w:bottom w:val="single" w:sz="4" w:space="0" w:color="auto"/>
              <w:right w:val="single" w:sz="4" w:space="0" w:color="auto"/>
            </w:tcBorders>
            <w:shd w:val="clear" w:color="auto" w:fill="auto"/>
            <w:noWrap/>
            <w:vAlign w:val="bottom"/>
            <w:hideMark/>
          </w:tcPr>
          <w:p w14:paraId="19CE24D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1467E8F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7160AFD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5474EE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BAA045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475B8C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082FCD10"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EDEAF5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Label Bas-Carbone certifiant des projets de réduction des émissions</w:t>
            </w:r>
          </w:p>
        </w:tc>
        <w:tc>
          <w:tcPr>
            <w:tcW w:w="218" w:type="dxa"/>
            <w:tcBorders>
              <w:top w:val="nil"/>
              <w:left w:val="nil"/>
              <w:bottom w:val="single" w:sz="4" w:space="0" w:color="auto"/>
              <w:right w:val="single" w:sz="4" w:space="0" w:color="auto"/>
            </w:tcBorders>
            <w:shd w:val="clear" w:color="auto" w:fill="auto"/>
            <w:noWrap/>
            <w:vAlign w:val="bottom"/>
            <w:hideMark/>
          </w:tcPr>
          <w:p w14:paraId="3FF9F83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73B4652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Cross-cutting</w:t>
            </w:r>
          </w:p>
        </w:tc>
        <w:tc>
          <w:tcPr>
            <w:tcW w:w="340" w:type="dxa"/>
            <w:tcBorders>
              <w:top w:val="nil"/>
              <w:left w:val="nil"/>
              <w:bottom w:val="single" w:sz="4" w:space="0" w:color="auto"/>
              <w:right w:val="single" w:sz="4" w:space="0" w:color="auto"/>
            </w:tcBorders>
            <w:shd w:val="clear" w:color="auto" w:fill="auto"/>
            <w:noWrap/>
            <w:vAlign w:val="bottom"/>
            <w:hideMark/>
          </w:tcPr>
          <w:p w14:paraId="6A9A00E1"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3120A50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C690AD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 Voluntary Agreement</w:t>
            </w:r>
          </w:p>
        </w:tc>
        <w:tc>
          <w:tcPr>
            <w:tcW w:w="218" w:type="dxa"/>
            <w:tcBorders>
              <w:top w:val="nil"/>
              <w:left w:val="nil"/>
              <w:bottom w:val="single" w:sz="4" w:space="0" w:color="auto"/>
              <w:right w:val="single" w:sz="4" w:space="0" w:color="auto"/>
            </w:tcBorders>
            <w:shd w:val="clear" w:color="auto" w:fill="auto"/>
            <w:noWrap/>
            <w:vAlign w:val="bottom"/>
            <w:hideMark/>
          </w:tcPr>
          <w:p w14:paraId="74D0A9A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0409283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label Bas-Carbone vise à favoriser l’émergence de projets additionnels de réductions d'émissions de gaz à effet de serre sur le territoire français, par la mise en place d'un cadre de suivi, notification et vérification des émissions de GES, permettant la valorisation de réductions d'émissions additionnelles, réalisées volontairement par des personnes physiques ou morales dans des secteurs d'activité variés. Le terme  réductions d'émissions  désigne indifféremment des quantités de GES dont l'émission a été évitée ou des quantités de GES séquestrées. Le label vient en réponse à la demande de compensation locale volontaire des émissions de GES. Les porteurs de projets pourront ainsi se faire rémunérer par un partenaire volontaire (acteur public ou privé), qui pourra faire reconnaître ses contributions à des réductions d'émissions additionnelles issues de ces projets. Ces réductions d'émissions sont reconnues à la suite dune vérification. Une fois reconnues, les réductions d'émissions ne sont ni transférables, ni échangeables que ce soit de gré-à-gré ou sur quelque marché volontaire ou obligatoire que ce soit. Les réductions d'émissions peuvent seulement être utilisées pour la compensation volontaire des émissions d'acteurs non étatiques (entreprises, collectivités, particuliers, etc.).</w:t>
            </w:r>
          </w:p>
        </w:tc>
        <w:tc>
          <w:tcPr>
            <w:tcW w:w="218" w:type="dxa"/>
            <w:tcBorders>
              <w:top w:val="nil"/>
              <w:left w:val="nil"/>
              <w:bottom w:val="single" w:sz="4" w:space="0" w:color="auto"/>
              <w:right w:val="single" w:sz="4" w:space="0" w:color="auto"/>
            </w:tcBorders>
            <w:shd w:val="clear" w:color="auto" w:fill="auto"/>
            <w:noWrap/>
            <w:vAlign w:val="bottom"/>
            <w:hideMark/>
          </w:tcPr>
          <w:p w14:paraId="6E58707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51DF5EB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140A80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87A2A4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1B569B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7A5A17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32BCD7DA"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CDAA43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 (2019-2023 ; 2024-2028)</w:t>
            </w:r>
          </w:p>
        </w:tc>
        <w:tc>
          <w:tcPr>
            <w:tcW w:w="218" w:type="dxa"/>
            <w:tcBorders>
              <w:top w:val="nil"/>
              <w:left w:val="nil"/>
              <w:bottom w:val="single" w:sz="4" w:space="0" w:color="auto"/>
              <w:right w:val="single" w:sz="4" w:space="0" w:color="auto"/>
            </w:tcBorders>
            <w:shd w:val="clear" w:color="auto" w:fill="auto"/>
            <w:noWrap/>
            <w:vAlign w:val="bottom"/>
            <w:hideMark/>
          </w:tcPr>
          <w:p w14:paraId="5AD9F3A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7664E6D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17F8C782"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3E0A946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6EB120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731F404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10F1C44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Comme le prévoit la loi de transition énergétique pour la croissance verte, la programmation pluriannuelle de l'énergie a fait l'objet d'un cycle complet de révision amorcé en 2017 et poursuivi jusqu'à sa publication en 2020. La PPE 2 couvre deux périodes successives de cinq ans : 2019-2023 et 2024-2028. Elle a été adoptée par le décret du 21 avril 2020.</w:t>
            </w:r>
          </w:p>
        </w:tc>
        <w:tc>
          <w:tcPr>
            <w:tcW w:w="218" w:type="dxa"/>
            <w:tcBorders>
              <w:top w:val="nil"/>
              <w:left w:val="nil"/>
              <w:bottom w:val="single" w:sz="4" w:space="0" w:color="auto"/>
              <w:right w:val="single" w:sz="4" w:space="0" w:color="auto"/>
            </w:tcBorders>
            <w:shd w:val="clear" w:color="auto" w:fill="auto"/>
            <w:noWrap/>
            <w:vAlign w:val="bottom"/>
            <w:hideMark/>
          </w:tcPr>
          <w:p w14:paraId="2604960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18FBDB5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111A61D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C272DC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614BEA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4E2FAD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2FA8442D"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1B19B5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Soutien au développement de l'hydrogène</w:t>
            </w:r>
          </w:p>
        </w:tc>
        <w:tc>
          <w:tcPr>
            <w:tcW w:w="218" w:type="dxa"/>
            <w:tcBorders>
              <w:top w:val="nil"/>
              <w:left w:val="nil"/>
              <w:bottom w:val="single" w:sz="4" w:space="0" w:color="auto"/>
              <w:right w:val="single" w:sz="4" w:space="0" w:color="auto"/>
            </w:tcBorders>
            <w:shd w:val="clear" w:color="auto" w:fill="auto"/>
            <w:noWrap/>
            <w:vAlign w:val="bottom"/>
            <w:hideMark/>
          </w:tcPr>
          <w:p w14:paraId="65A0331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4DD4C9D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774FA700"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45C694C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E47423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218" w:type="dxa"/>
            <w:tcBorders>
              <w:top w:val="nil"/>
              <w:left w:val="nil"/>
              <w:bottom w:val="single" w:sz="4" w:space="0" w:color="auto"/>
              <w:right w:val="single" w:sz="4" w:space="0" w:color="auto"/>
            </w:tcBorders>
            <w:shd w:val="clear" w:color="auto" w:fill="auto"/>
            <w:noWrap/>
            <w:vAlign w:val="bottom"/>
            <w:hideMark/>
          </w:tcPr>
          <w:p w14:paraId="3EC4AF6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A89872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prévoit plusieurs mesures de promotion de l'hydrogène : mettre en place un soutien au développement de l’hydrogène à hauteur de 100M€ et lancer des appels à projet sur la mobilité et la production d’hydrogène à l’aide d’électrolyseurs ; mettre en place d’ici 2020 d’un système de traçabilité de l’hydrogène décarboné ; prolonger la mesure de sur-amortissement à l’achat de véhicules hydrogène a minima dans les mêmes conditions que pour le GNV (poids lourds&gt;3,5t) ;  mobiliser les institutions financières (financements privés et publics dont CDC, BPI) et standardiser les modèles de cofinancement pour les projets de déploiements d’écosystèmes dans les territoires ; mener avec tous les acteurs concernés une réflexion sur la simplification et l’harmonisation des procédures d’autorisation et d’homologation des bateaux et des solutions d’avitaillement hydrogène associées.</w:t>
            </w:r>
            <w:r w:rsidRPr="001808DF">
              <w:rPr>
                <w:rFonts w:ascii="Arial" w:hAnsi="Arial" w:cs="Arial"/>
                <w:color w:val="000000"/>
                <w:sz w:val="16"/>
                <w:szCs w:val="16"/>
              </w:rPr>
              <w:br/>
              <w:t>Par ailleurs, avec la stratégie nationale pour le développement de l'hydrogène décarboné, le gouvernement investit plus de 7 Md€ jusqu’à l’horizon 2030, dont 2 Md€ sur la période 2021-2022, notamment pour développer les mobilités lourdes à l'hydrogène et soutenir la recherche.</w:t>
            </w:r>
          </w:p>
        </w:tc>
        <w:tc>
          <w:tcPr>
            <w:tcW w:w="218" w:type="dxa"/>
            <w:tcBorders>
              <w:top w:val="nil"/>
              <w:left w:val="nil"/>
              <w:bottom w:val="single" w:sz="4" w:space="0" w:color="auto"/>
              <w:right w:val="single" w:sz="4" w:space="0" w:color="auto"/>
            </w:tcBorders>
            <w:shd w:val="clear" w:color="auto" w:fill="auto"/>
            <w:noWrap/>
            <w:vAlign w:val="bottom"/>
            <w:hideMark/>
          </w:tcPr>
          <w:p w14:paraId="2912349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2019</w:t>
            </w:r>
          </w:p>
        </w:tc>
        <w:tc>
          <w:tcPr>
            <w:tcW w:w="1478" w:type="dxa"/>
            <w:tcBorders>
              <w:top w:val="nil"/>
              <w:left w:val="nil"/>
              <w:bottom w:val="single" w:sz="4" w:space="0" w:color="auto"/>
              <w:right w:val="single" w:sz="4" w:space="0" w:color="auto"/>
            </w:tcBorders>
            <w:shd w:val="clear" w:color="auto" w:fill="auto"/>
            <w:noWrap/>
            <w:vAlign w:val="bottom"/>
            <w:hideMark/>
          </w:tcPr>
          <w:p w14:paraId="3A7752E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EB4328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203FB6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DD0706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0747B3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0CA79FAF"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54C3F9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Stratégie nationale bas-carbone révisée</w:t>
            </w:r>
          </w:p>
        </w:tc>
        <w:tc>
          <w:tcPr>
            <w:tcW w:w="218" w:type="dxa"/>
            <w:tcBorders>
              <w:top w:val="nil"/>
              <w:left w:val="nil"/>
              <w:bottom w:val="single" w:sz="4" w:space="0" w:color="auto"/>
              <w:right w:val="single" w:sz="4" w:space="0" w:color="auto"/>
            </w:tcBorders>
            <w:shd w:val="clear" w:color="auto" w:fill="auto"/>
            <w:noWrap/>
            <w:vAlign w:val="bottom"/>
            <w:hideMark/>
          </w:tcPr>
          <w:p w14:paraId="3930B4D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Yes</w:t>
            </w:r>
          </w:p>
        </w:tc>
        <w:tc>
          <w:tcPr>
            <w:tcW w:w="369" w:type="dxa"/>
            <w:tcBorders>
              <w:top w:val="nil"/>
              <w:left w:val="nil"/>
              <w:bottom w:val="single" w:sz="4" w:space="0" w:color="auto"/>
              <w:right w:val="single" w:sz="4" w:space="0" w:color="auto"/>
            </w:tcBorders>
            <w:shd w:val="clear" w:color="auto" w:fill="auto"/>
            <w:noWrap/>
            <w:vAlign w:val="bottom"/>
            <w:hideMark/>
          </w:tcPr>
          <w:p w14:paraId="1C9650E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Cross-cutting</w:t>
            </w:r>
          </w:p>
        </w:tc>
        <w:tc>
          <w:tcPr>
            <w:tcW w:w="340" w:type="dxa"/>
            <w:tcBorders>
              <w:top w:val="nil"/>
              <w:left w:val="nil"/>
              <w:bottom w:val="single" w:sz="4" w:space="0" w:color="auto"/>
              <w:right w:val="single" w:sz="4" w:space="0" w:color="auto"/>
            </w:tcBorders>
            <w:shd w:val="clear" w:color="auto" w:fill="auto"/>
            <w:noWrap/>
            <w:vAlign w:val="bottom"/>
            <w:hideMark/>
          </w:tcPr>
          <w:p w14:paraId="4DAB967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(All GHGs)</w:t>
            </w:r>
          </w:p>
        </w:tc>
        <w:tc>
          <w:tcPr>
            <w:tcW w:w="469" w:type="dxa"/>
            <w:tcBorders>
              <w:top w:val="nil"/>
              <w:left w:val="nil"/>
              <w:bottom w:val="single" w:sz="4" w:space="0" w:color="auto"/>
              <w:right w:val="single" w:sz="4" w:space="0" w:color="auto"/>
            </w:tcBorders>
            <w:shd w:val="clear" w:color="auto" w:fill="auto"/>
            <w:noWrap/>
            <w:vAlign w:val="bottom"/>
            <w:hideMark/>
          </w:tcPr>
          <w:p w14:paraId="4AB87BE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2275D52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Information, Voluntary Agreement, Research</w:t>
            </w:r>
          </w:p>
        </w:tc>
        <w:tc>
          <w:tcPr>
            <w:tcW w:w="218" w:type="dxa"/>
            <w:tcBorders>
              <w:top w:val="nil"/>
              <w:left w:val="nil"/>
              <w:bottom w:val="single" w:sz="4" w:space="0" w:color="auto"/>
              <w:right w:val="single" w:sz="4" w:space="0" w:color="auto"/>
            </w:tcBorders>
            <w:shd w:val="clear" w:color="auto" w:fill="auto"/>
            <w:noWrap/>
            <w:vAlign w:val="bottom"/>
            <w:hideMark/>
          </w:tcPr>
          <w:p w14:paraId="1D7F5EF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3A6BC24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Stratégie Nationale Bas-Carbone (SNBC) est la feuille de route de la France pour lutter contre le changement climatique. Elle donne des orientations pour mettre en œuvre, dans tous les secteurs d’activité, la transition vers une économie bas-carbone, circulaire et durable. Elle définit une trajectoire de réduction des émissions de gaz à effet de serre jusqu’à 2050 et fixe des objectifs à court-moyen termes : les budgets carbone.</w:t>
            </w:r>
          </w:p>
        </w:tc>
        <w:tc>
          <w:tcPr>
            <w:tcW w:w="218" w:type="dxa"/>
            <w:tcBorders>
              <w:top w:val="nil"/>
              <w:left w:val="nil"/>
              <w:bottom w:val="single" w:sz="4" w:space="0" w:color="auto"/>
              <w:right w:val="single" w:sz="4" w:space="0" w:color="auto"/>
            </w:tcBorders>
            <w:shd w:val="clear" w:color="auto" w:fill="auto"/>
            <w:noWrap/>
            <w:vAlign w:val="bottom"/>
            <w:hideMark/>
          </w:tcPr>
          <w:p w14:paraId="5308609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036DD84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280DB17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05F08F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8E8A00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F514A9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768C657A"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5A5B6B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Obligation d'une part minimale de produits de qualité et bio dans les repas de la restauration collective</w:t>
            </w:r>
          </w:p>
        </w:tc>
        <w:tc>
          <w:tcPr>
            <w:tcW w:w="218" w:type="dxa"/>
            <w:tcBorders>
              <w:top w:val="nil"/>
              <w:left w:val="nil"/>
              <w:bottom w:val="single" w:sz="4" w:space="0" w:color="auto"/>
              <w:right w:val="single" w:sz="4" w:space="0" w:color="auto"/>
            </w:tcBorders>
            <w:shd w:val="clear" w:color="auto" w:fill="auto"/>
            <w:noWrap/>
            <w:vAlign w:val="bottom"/>
            <w:hideMark/>
          </w:tcPr>
          <w:p w14:paraId="115F88E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1913305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Agriculture</w:t>
            </w:r>
          </w:p>
        </w:tc>
        <w:tc>
          <w:tcPr>
            <w:tcW w:w="340" w:type="dxa"/>
            <w:tcBorders>
              <w:top w:val="nil"/>
              <w:left w:val="nil"/>
              <w:bottom w:val="single" w:sz="4" w:space="0" w:color="auto"/>
              <w:right w:val="single" w:sz="4" w:space="0" w:color="auto"/>
            </w:tcBorders>
            <w:shd w:val="clear" w:color="auto" w:fill="auto"/>
            <w:noWrap/>
            <w:vAlign w:val="bottom"/>
            <w:hideMark/>
          </w:tcPr>
          <w:p w14:paraId="1032B5E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69" w:type="dxa"/>
            <w:tcBorders>
              <w:top w:val="nil"/>
              <w:left w:val="nil"/>
              <w:bottom w:val="single" w:sz="4" w:space="0" w:color="auto"/>
              <w:right w:val="single" w:sz="4" w:space="0" w:color="auto"/>
            </w:tcBorders>
            <w:shd w:val="clear" w:color="auto" w:fill="auto"/>
            <w:noWrap/>
            <w:vAlign w:val="bottom"/>
            <w:hideMark/>
          </w:tcPr>
          <w:p w14:paraId="0479242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66CBFB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Information</w:t>
            </w:r>
          </w:p>
        </w:tc>
        <w:tc>
          <w:tcPr>
            <w:tcW w:w="218" w:type="dxa"/>
            <w:tcBorders>
              <w:top w:val="nil"/>
              <w:left w:val="nil"/>
              <w:bottom w:val="single" w:sz="4" w:space="0" w:color="auto"/>
              <w:right w:val="single" w:sz="4" w:space="0" w:color="auto"/>
            </w:tcBorders>
            <w:shd w:val="clear" w:color="auto" w:fill="auto"/>
            <w:noWrap/>
            <w:vAlign w:val="bottom"/>
            <w:hideMark/>
          </w:tcPr>
          <w:p w14:paraId="0503974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75CEBFA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L’approvisionnement de la restauration collective devra comprendre, en 2022, 50% (en valeur) de produits bio, sous autres signes de qualité ou locaux, dont 20% de produits issus de l’agriculture biologique. A partir de 2020, les usagers devront être informés de la part de produits de qualité entrant dans la composition des repas.</w:t>
            </w:r>
          </w:p>
        </w:tc>
        <w:tc>
          <w:tcPr>
            <w:tcW w:w="218" w:type="dxa"/>
            <w:tcBorders>
              <w:top w:val="nil"/>
              <w:left w:val="nil"/>
              <w:bottom w:val="single" w:sz="4" w:space="0" w:color="auto"/>
              <w:right w:val="single" w:sz="4" w:space="0" w:color="auto"/>
            </w:tcBorders>
            <w:shd w:val="clear" w:color="auto" w:fill="auto"/>
            <w:noWrap/>
            <w:vAlign w:val="bottom"/>
            <w:hideMark/>
          </w:tcPr>
          <w:p w14:paraId="179A589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1746195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l'Agriculture et de l'Alimentation(National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7746C8B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718EF17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3D24C1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5BE749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1E82EC2D"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31DED3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Aide à la rénovation énergétique MaPrimeRénov'</w:t>
            </w:r>
          </w:p>
        </w:tc>
        <w:tc>
          <w:tcPr>
            <w:tcW w:w="218" w:type="dxa"/>
            <w:tcBorders>
              <w:top w:val="nil"/>
              <w:left w:val="nil"/>
              <w:bottom w:val="single" w:sz="4" w:space="0" w:color="auto"/>
              <w:right w:val="single" w:sz="4" w:space="0" w:color="auto"/>
            </w:tcBorders>
            <w:shd w:val="clear" w:color="auto" w:fill="auto"/>
            <w:noWrap/>
            <w:vAlign w:val="bottom"/>
            <w:hideMark/>
          </w:tcPr>
          <w:p w14:paraId="2E22F0A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0D766EE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1388EADC"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06A6BF1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5FD553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Fiscal, Economic</w:t>
            </w:r>
          </w:p>
        </w:tc>
        <w:tc>
          <w:tcPr>
            <w:tcW w:w="218" w:type="dxa"/>
            <w:tcBorders>
              <w:top w:val="nil"/>
              <w:left w:val="nil"/>
              <w:bottom w:val="single" w:sz="4" w:space="0" w:color="auto"/>
              <w:right w:val="single" w:sz="4" w:space="0" w:color="auto"/>
            </w:tcBorders>
            <w:shd w:val="clear" w:color="auto" w:fill="auto"/>
            <w:noWrap/>
            <w:vAlign w:val="bottom"/>
            <w:hideMark/>
          </w:tcPr>
          <w:p w14:paraId="22BA9E2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6C523E7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Lancée le 1er janvier 2020, MaPrimeRénov' (MPR) remplace le crédit d’impôt pour la transition énergétique (CITE) et les aides de l’Agence nationale de l’habitat (Anah) « Habiter mieux agilité ». Dans le cadre du Plan de relance de l’économie, le dispositif a été renforcé depuis le 1er octobre 2020. MPR est accessible à tous les propriétaires et à toutes les copropriétés. Plusieurs bonifications existent :  </w:t>
            </w:r>
            <w:r w:rsidRPr="001808DF">
              <w:rPr>
                <w:rFonts w:ascii="Arial" w:hAnsi="Arial" w:cs="Arial"/>
                <w:color w:val="000000"/>
                <w:sz w:val="16"/>
                <w:szCs w:val="16"/>
              </w:rPr>
              <w:br/>
              <w:t>- un bonus sortie de passoire, lorsque les travaux permettent de sortir le  logement de l’état de passoire thermique,</w:t>
            </w:r>
            <w:r w:rsidRPr="001808DF">
              <w:rPr>
                <w:rFonts w:ascii="Arial" w:hAnsi="Arial" w:cs="Arial"/>
                <w:color w:val="000000"/>
                <w:sz w:val="16"/>
                <w:szCs w:val="16"/>
              </w:rPr>
              <w:br/>
              <w:t>- un bonus bâtiment basse consommation pour récompenser l’atteinte d'un niveau de performance énergétique bon ou très bon,</w:t>
            </w:r>
            <w:r w:rsidRPr="001808DF">
              <w:rPr>
                <w:rFonts w:ascii="Arial" w:hAnsi="Arial" w:cs="Arial"/>
                <w:color w:val="000000"/>
                <w:sz w:val="16"/>
                <w:szCs w:val="16"/>
              </w:rPr>
              <w:br/>
              <w:t>- un forfait rénovation globale pour encourager les travaux ambitieux qui permettent un gain énergétique de plus de 55%,</w:t>
            </w:r>
            <w:r w:rsidRPr="001808DF">
              <w:rPr>
                <w:rFonts w:ascii="Arial" w:hAnsi="Arial" w:cs="Arial"/>
                <w:color w:val="000000"/>
                <w:sz w:val="16"/>
                <w:szCs w:val="16"/>
              </w:rPr>
              <w:br/>
              <w:t>- un forfait assistance à maîtrise d'ouvrage pour les ménages souhaitant se faire accompagner dans la réalisation de leurs travaux,</w:t>
            </w:r>
            <w:r w:rsidRPr="001808DF">
              <w:rPr>
                <w:rFonts w:ascii="Arial" w:hAnsi="Arial" w:cs="Arial"/>
                <w:color w:val="000000"/>
                <w:sz w:val="16"/>
                <w:szCs w:val="16"/>
              </w:rPr>
              <w:br/>
              <w:t>- des aides individuelles pour les ménages aux revenus modestes et très modestes (respectivement de 750 € et 1 500 €).</w:t>
            </w:r>
          </w:p>
        </w:tc>
        <w:tc>
          <w:tcPr>
            <w:tcW w:w="218" w:type="dxa"/>
            <w:tcBorders>
              <w:top w:val="nil"/>
              <w:left w:val="nil"/>
              <w:bottom w:val="single" w:sz="4" w:space="0" w:color="auto"/>
              <w:right w:val="single" w:sz="4" w:space="0" w:color="auto"/>
            </w:tcBorders>
            <w:shd w:val="clear" w:color="auto" w:fill="auto"/>
            <w:noWrap/>
            <w:vAlign w:val="bottom"/>
            <w:hideMark/>
          </w:tcPr>
          <w:p w14:paraId="2A32740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6C9B126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 Ministère de la Cohésion des Territoires(National government); Ministère de l'économie(National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141EDB8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7ED8B4A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A97C9C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C25BAF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7382390F"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FAB4EA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Volet "décarbonation de l'industrie" du Plan de relance</w:t>
            </w:r>
          </w:p>
        </w:tc>
        <w:tc>
          <w:tcPr>
            <w:tcW w:w="218" w:type="dxa"/>
            <w:tcBorders>
              <w:top w:val="nil"/>
              <w:left w:val="nil"/>
              <w:bottom w:val="single" w:sz="4" w:space="0" w:color="auto"/>
              <w:right w:val="single" w:sz="4" w:space="0" w:color="auto"/>
            </w:tcBorders>
            <w:shd w:val="clear" w:color="auto" w:fill="auto"/>
            <w:noWrap/>
            <w:vAlign w:val="bottom"/>
            <w:hideMark/>
          </w:tcPr>
          <w:p w14:paraId="09F4D0A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0FF67AA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Industry/industrial processes</w:t>
            </w:r>
          </w:p>
        </w:tc>
        <w:tc>
          <w:tcPr>
            <w:tcW w:w="340" w:type="dxa"/>
            <w:tcBorders>
              <w:top w:val="nil"/>
              <w:left w:val="nil"/>
              <w:bottom w:val="single" w:sz="4" w:space="0" w:color="auto"/>
              <w:right w:val="single" w:sz="4" w:space="0" w:color="auto"/>
            </w:tcBorders>
            <w:shd w:val="clear" w:color="auto" w:fill="auto"/>
            <w:noWrap/>
            <w:vAlign w:val="bottom"/>
            <w:hideMark/>
          </w:tcPr>
          <w:p w14:paraId="7DCC318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(All GHGs)</w:t>
            </w:r>
          </w:p>
        </w:tc>
        <w:tc>
          <w:tcPr>
            <w:tcW w:w="469" w:type="dxa"/>
            <w:tcBorders>
              <w:top w:val="nil"/>
              <w:left w:val="nil"/>
              <w:bottom w:val="single" w:sz="4" w:space="0" w:color="auto"/>
              <w:right w:val="single" w:sz="4" w:space="0" w:color="auto"/>
            </w:tcBorders>
            <w:shd w:val="clear" w:color="auto" w:fill="auto"/>
            <w:noWrap/>
            <w:vAlign w:val="bottom"/>
            <w:hideMark/>
          </w:tcPr>
          <w:p w14:paraId="1D95189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7BDCCE7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w:t>
            </w:r>
          </w:p>
        </w:tc>
        <w:tc>
          <w:tcPr>
            <w:tcW w:w="218" w:type="dxa"/>
            <w:tcBorders>
              <w:top w:val="nil"/>
              <w:left w:val="nil"/>
              <w:bottom w:val="single" w:sz="4" w:space="0" w:color="auto"/>
              <w:right w:val="single" w:sz="4" w:space="0" w:color="auto"/>
            </w:tcBorders>
            <w:shd w:val="clear" w:color="auto" w:fill="auto"/>
            <w:noWrap/>
            <w:vAlign w:val="bottom"/>
            <w:hideMark/>
          </w:tcPr>
          <w:p w14:paraId="60E8955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55B752E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Dans le cadre du plan de relance, 1.2 Mds d'euros sont dédiés à la décarbonation de l'industrie pour la période 2020-2022. </w:t>
            </w:r>
            <w:r w:rsidRPr="001808DF">
              <w:rPr>
                <w:rFonts w:ascii="Arial" w:hAnsi="Arial" w:cs="Arial"/>
                <w:color w:val="000000"/>
                <w:sz w:val="16"/>
                <w:szCs w:val="16"/>
              </w:rPr>
              <w:br/>
              <w:t xml:space="preserve"> Pour les projets supérieurs à 3M€, des appels à projets ADEME  financent la chaleur décarbonée d'une part, et l'efficacité énergétique et la décarbonation des procédés industriels d'autre part. Pour les projets inférieurs à 3M€, un guichet d'aide pour des équipements éligibles est tenu par l''Agence des Services et Paiements. </w:t>
            </w:r>
          </w:p>
        </w:tc>
        <w:tc>
          <w:tcPr>
            <w:tcW w:w="218" w:type="dxa"/>
            <w:tcBorders>
              <w:top w:val="nil"/>
              <w:left w:val="nil"/>
              <w:bottom w:val="single" w:sz="4" w:space="0" w:color="auto"/>
              <w:right w:val="single" w:sz="4" w:space="0" w:color="auto"/>
            </w:tcBorders>
            <w:shd w:val="clear" w:color="auto" w:fill="auto"/>
            <w:noWrap/>
            <w:vAlign w:val="bottom"/>
            <w:hideMark/>
          </w:tcPr>
          <w:p w14:paraId="74F519C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79EAAC4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ADEME; ASP</w:t>
            </w:r>
          </w:p>
        </w:tc>
        <w:tc>
          <w:tcPr>
            <w:tcW w:w="48" w:type="dxa"/>
            <w:tcBorders>
              <w:top w:val="nil"/>
              <w:left w:val="nil"/>
              <w:bottom w:val="single" w:sz="4" w:space="0" w:color="auto"/>
              <w:right w:val="single" w:sz="4" w:space="0" w:color="auto"/>
            </w:tcBorders>
            <w:shd w:val="clear" w:color="auto" w:fill="auto"/>
            <w:noWrap/>
            <w:vAlign w:val="bottom"/>
            <w:hideMark/>
          </w:tcPr>
          <w:p w14:paraId="3AE0EB0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1A62CE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F15C2A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0D982F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169F68E1"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5D3F3E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Règlement européen n°2019/631 du 17 avril 2019 fixant des objectifs de réduction d’émissions à horizon 2025 et 2030 pour les voitures particulières et véhicules utilitaires légers neufs</w:t>
            </w:r>
          </w:p>
        </w:tc>
        <w:tc>
          <w:tcPr>
            <w:tcW w:w="218" w:type="dxa"/>
            <w:tcBorders>
              <w:top w:val="nil"/>
              <w:left w:val="nil"/>
              <w:bottom w:val="single" w:sz="4" w:space="0" w:color="auto"/>
              <w:right w:val="single" w:sz="4" w:space="0" w:color="auto"/>
            </w:tcBorders>
            <w:shd w:val="clear" w:color="auto" w:fill="auto"/>
            <w:noWrap/>
            <w:vAlign w:val="bottom"/>
            <w:hideMark/>
          </w:tcPr>
          <w:p w14:paraId="0F40BDB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41BAABF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3163C2BA"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5B32228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2D6451E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7CA75DE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3BCAC70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règlement européen n°2019/631 du 17 avril 2019 prévoit un renforcement des objectifs fixés aux constructeurs pour les voitures et véhicules utilitaires légers avec une réduction des émissions des voitures neuves de 15% d’ici 2025 et de 37,5% en 2030 par rapport aux émissions de 2021 pour les voitures et une réduction des émissions de 15 % d’ici à 2025 et de 31 % en 2030 par rapport aux émissions de 2021 pour les véhicules utilitaires légers.</w:t>
            </w:r>
          </w:p>
        </w:tc>
        <w:tc>
          <w:tcPr>
            <w:tcW w:w="218" w:type="dxa"/>
            <w:tcBorders>
              <w:top w:val="nil"/>
              <w:left w:val="nil"/>
              <w:bottom w:val="single" w:sz="4" w:space="0" w:color="auto"/>
              <w:right w:val="single" w:sz="4" w:space="0" w:color="auto"/>
            </w:tcBorders>
            <w:shd w:val="clear" w:color="auto" w:fill="auto"/>
            <w:noWrap/>
            <w:vAlign w:val="bottom"/>
            <w:hideMark/>
          </w:tcPr>
          <w:p w14:paraId="6D423C7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2116BB2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(Government)</w:t>
            </w:r>
          </w:p>
        </w:tc>
        <w:tc>
          <w:tcPr>
            <w:tcW w:w="48" w:type="dxa"/>
            <w:tcBorders>
              <w:top w:val="nil"/>
              <w:left w:val="nil"/>
              <w:bottom w:val="single" w:sz="4" w:space="0" w:color="auto"/>
              <w:right w:val="single" w:sz="4" w:space="0" w:color="auto"/>
            </w:tcBorders>
            <w:shd w:val="clear" w:color="auto" w:fill="auto"/>
            <w:noWrap/>
            <w:vAlign w:val="bottom"/>
            <w:hideMark/>
          </w:tcPr>
          <w:p w14:paraId="0015E4C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2F6E04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4 650,00</w:t>
            </w:r>
          </w:p>
        </w:tc>
        <w:tc>
          <w:tcPr>
            <w:tcW w:w="86" w:type="dxa"/>
            <w:tcBorders>
              <w:top w:val="nil"/>
              <w:left w:val="nil"/>
              <w:bottom w:val="single" w:sz="4" w:space="0" w:color="auto"/>
              <w:right w:val="single" w:sz="4" w:space="0" w:color="auto"/>
            </w:tcBorders>
            <w:shd w:val="clear" w:color="auto" w:fill="auto"/>
            <w:noWrap/>
            <w:vAlign w:val="bottom"/>
            <w:hideMark/>
          </w:tcPr>
          <w:p w14:paraId="3406641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12 560,00</w:t>
            </w:r>
          </w:p>
        </w:tc>
        <w:tc>
          <w:tcPr>
            <w:tcW w:w="86" w:type="dxa"/>
            <w:tcBorders>
              <w:top w:val="nil"/>
              <w:left w:val="nil"/>
              <w:bottom w:val="single" w:sz="4" w:space="0" w:color="auto"/>
              <w:right w:val="single" w:sz="4" w:space="0" w:color="auto"/>
            </w:tcBorders>
            <w:shd w:val="clear" w:color="auto" w:fill="auto"/>
            <w:noWrap/>
            <w:vAlign w:val="bottom"/>
            <w:hideMark/>
          </w:tcPr>
          <w:p w14:paraId="743B00E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23 730,00</w:t>
            </w:r>
          </w:p>
        </w:tc>
      </w:tr>
      <w:tr w:rsidR="00A46044" w:rsidRPr="001808DF" w14:paraId="268CB625"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C873F0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forfait mobilités durables vélo et covoiturage</w:t>
            </w:r>
          </w:p>
        </w:tc>
        <w:tc>
          <w:tcPr>
            <w:tcW w:w="218" w:type="dxa"/>
            <w:tcBorders>
              <w:top w:val="nil"/>
              <w:left w:val="nil"/>
              <w:bottom w:val="single" w:sz="4" w:space="0" w:color="auto"/>
              <w:right w:val="single" w:sz="4" w:space="0" w:color="auto"/>
            </w:tcBorders>
            <w:shd w:val="clear" w:color="auto" w:fill="auto"/>
            <w:noWrap/>
            <w:vAlign w:val="bottom"/>
            <w:hideMark/>
          </w:tcPr>
          <w:p w14:paraId="6B8AC23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4549B8C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3842B3CA"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71F80BC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3E8780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Fiscal, Economic, Voluntary Agreement</w:t>
            </w:r>
          </w:p>
        </w:tc>
        <w:tc>
          <w:tcPr>
            <w:tcW w:w="218" w:type="dxa"/>
            <w:tcBorders>
              <w:top w:val="nil"/>
              <w:left w:val="nil"/>
              <w:bottom w:val="single" w:sz="4" w:space="0" w:color="auto"/>
              <w:right w:val="single" w:sz="4" w:space="0" w:color="auto"/>
            </w:tcBorders>
            <w:shd w:val="clear" w:color="auto" w:fill="auto"/>
            <w:noWrap/>
            <w:vAlign w:val="bottom"/>
            <w:hideMark/>
          </w:tcPr>
          <w:p w14:paraId="1851A14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0EA5CB0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Depuis 2020, tous les employeurs privés et publics peuvent contribuer aux frais de déplacement domicile-travail en covoiturage ou en vélo de leurs salariés. Ce forfait peut s’élever jusqu’à 700 €/an en franchise d’impôt et de cotisations sociales. </w:t>
            </w:r>
          </w:p>
        </w:tc>
        <w:tc>
          <w:tcPr>
            <w:tcW w:w="218" w:type="dxa"/>
            <w:tcBorders>
              <w:top w:val="nil"/>
              <w:left w:val="nil"/>
              <w:bottom w:val="single" w:sz="4" w:space="0" w:color="auto"/>
              <w:right w:val="single" w:sz="4" w:space="0" w:color="auto"/>
            </w:tcBorders>
            <w:shd w:val="clear" w:color="auto" w:fill="auto"/>
            <w:noWrap/>
            <w:vAlign w:val="bottom"/>
            <w:hideMark/>
          </w:tcPr>
          <w:p w14:paraId="0969E2D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3E31420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Employeurs(Companies / businesses / industrial associations); Ministère de la Transition Ecologique(National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2BDF4A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C5FB82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F27C7C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428A69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4859DEE0"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F346C8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Augmentation de 2c€  de la taxe sur le gazole utilisé pour le transport routier de marchandises</w:t>
            </w:r>
          </w:p>
        </w:tc>
        <w:tc>
          <w:tcPr>
            <w:tcW w:w="218" w:type="dxa"/>
            <w:tcBorders>
              <w:top w:val="nil"/>
              <w:left w:val="nil"/>
              <w:bottom w:val="single" w:sz="4" w:space="0" w:color="auto"/>
              <w:right w:val="single" w:sz="4" w:space="0" w:color="auto"/>
            </w:tcBorders>
            <w:shd w:val="clear" w:color="auto" w:fill="auto"/>
            <w:noWrap/>
            <w:vAlign w:val="bottom"/>
            <w:hideMark/>
          </w:tcPr>
          <w:p w14:paraId="19335A2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621609C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02828E1C"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6592881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17B8B8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Fiscal</w:t>
            </w:r>
          </w:p>
        </w:tc>
        <w:tc>
          <w:tcPr>
            <w:tcW w:w="218" w:type="dxa"/>
            <w:tcBorders>
              <w:top w:val="nil"/>
              <w:left w:val="nil"/>
              <w:bottom w:val="single" w:sz="4" w:space="0" w:color="auto"/>
              <w:right w:val="single" w:sz="4" w:space="0" w:color="auto"/>
            </w:tcBorders>
            <w:shd w:val="clear" w:color="auto" w:fill="auto"/>
            <w:noWrap/>
            <w:vAlign w:val="bottom"/>
            <w:hideMark/>
          </w:tcPr>
          <w:p w14:paraId="3BA3F11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1B63CFC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taxe énergétique sur le gazole utilisé pour le transport routier de marchandises a été augmentée de 2 c€/L de 43,19 c€/L à 45,19 c€/L.</w:t>
            </w:r>
          </w:p>
        </w:tc>
        <w:tc>
          <w:tcPr>
            <w:tcW w:w="218" w:type="dxa"/>
            <w:tcBorders>
              <w:top w:val="nil"/>
              <w:left w:val="nil"/>
              <w:bottom w:val="single" w:sz="4" w:space="0" w:color="auto"/>
              <w:right w:val="single" w:sz="4" w:space="0" w:color="auto"/>
            </w:tcBorders>
            <w:shd w:val="clear" w:color="auto" w:fill="auto"/>
            <w:noWrap/>
            <w:vAlign w:val="bottom"/>
            <w:hideMark/>
          </w:tcPr>
          <w:p w14:paraId="5F27AEE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106DE66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des finances  (Government)</w:t>
            </w:r>
          </w:p>
        </w:tc>
        <w:tc>
          <w:tcPr>
            <w:tcW w:w="48" w:type="dxa"/>
            <w:tcBorders>
              <w:top w:val="nil"/>
              <w:left w:val="nil"/>
              <w:bottom w:val="single" w:sz="4" w:space="0" w:color="auto"/>
              <w:right w:val="single" w:sz="4" w:space="0" w:color="auto"/>
            </w:tcBorders>
            <w:shd w:val="clear" w:color="auto" w:fill="auto"/>
            <w:noWrap/>
            <w:vAlign w:val="bottom"/>
            <w:hideMark/>
          </w:tcPr>
          <w:p w14:paraId="632CDB6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AE8E98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45409A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7043B0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63E38F32"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AC814F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Services publics eco-responsables</w:t>
            </w:r>
          </w:p>
        </w:tc>
        <w:tc>
          <w:tcPr>
            <w:tcW w:w="218" w:type="dxa"/>
            <w:tcBorders>
              <w:top w:val="nil"/>
              <w:left w:val="nil"/>
              <w:bottom w:val="single" w:sz="4" w:space="0" w:color="auto"/>
              <w:right w:val="single" w:sz="4" w:space="0" w:color="auto"/>
            </w:tcBorders>
            <w:shd w:val="clear" w:color="auto" w:fill="auto"/>
            <w:noWrap/>
            <w:vAlign w:val="bottom"/>
            <w:hideMark/>
          </w:tcPr>
          <w:p w14:paraId="28D8F63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26695A9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Cross-cutting</w:t>
            </w:r>
          </w:p>
        </w:tc>
        <w:tc>
          <w:tcPr>
            <w:tcW w:w="340" w:type="dxa"/>
            <w:tcBorders>
              <w:top w:val="nil"/>
              <w:left w:val="nil"/>
              <w:bottom w:val="single" w:sz="4" w:space="0" w:color="auto"/>
              <w:right w:val="single" w:sz="4" w:space="0" w:color="auto"/>
            </w:tcBorders>
            <w:shd w:val="clear" w:color="auto" w:fill="auto"/>
            <w:noWrap/>
            <w:vAlign w:val="bottom"/>
            <w:hideMark/>
          </w:tcPr>
          <w:p w14:paraId="32C533D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(All GHGs)</w:t>
            </w:r>
          </w:p>
        </w:tc>
        <w:tc>
          <w:tcPr>
            <w:tcW w:w="469" w:type="dxa"/>
            <w:tcBorders>
              <w:top w:val="nil"/>
              <w:left w:val="nil"/>
              <w:bottom w:val="single" w:sz="4" w:space="0" w:color="auto"/>
              <w:right w:val="single" w:sz="4" w:space="0" w:color="auto"/>
            </w:tcBorders>
            <w:shd w:val="clear" w:color="auto" w:fill="auto"/>
            <w:noWrap/>
            <w:vAlign w:val="bottom"/>
            <w:hideMark/>
          </w:tcPr>
          <w:p w14:paraId="52618E0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03935A4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46F9EE5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7D39561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La circulaire du premier ministre n°6145/SG visant l’engagement de l’Etat dans des services publics écoresponsables. Elle repose sur un socle de 20 mesures obligatoires à destination de tous les services de l'Etat.  Ces mesures portent sur : </w:t>
            </w:r>
            <w:r w:rsidRPr="001808DF">
              <w:rPr>
                <w:rFonts w:ascii="Arial" w:hAnsi="Arial" w:cs="Arial"/>
                <w:color w:val="000000"/>
                <w:sz w:val="16"/>
                <w:szCs w:val="16"/>
              </w:rPr>
              <w:br/>
              <w:t>- la mobilité durable des agents,</w:t>
            </w:r>
            <w:r w:rsidRPr="001808DF">
              <w:rPr>
                <w:rFonts w:ascii="Arial" w:hAnsi="Arial" w:cs="Arial"/>
                <w:color w:val="000000"/>
                <w:sz w:val="16"/>
                <w:szCs w:val="16"/>
              </w:rPr>
              <w:br/>
              <w:t>- la suppression du plastique à usage unique,</w:t>
            </w:r>
            <w:r w:rsidRPr="001808DF">
              <w:rPr>
                <w:rFonts w:ascii="Arial" w:hAnsi="Arial" w:cs="Arial"/>
                <w:color w:val="000000"/>
                <w:sz w:val="16"/>
                <w:szCs w:val="16"/>
              </w:rPr>
              <w:br/>
              <w:t>- une politique d’achat zéro-déforestation,</w:t>
            </w:r>
            <w:r w:rsidRPr="001808DF">
              <w:rPr>
                <w:rFonts w:ascii="Arial" w:hAnsi="Arial" w:cs="Arial"/>
                <w:color w:val="000000"/>
                <w:sz w:val="16"/>
                <w:szCs w:val="16"/>
              </w:rPr>
              <w:br/>
              <w:t>- une alimentation plus respectueuse de l’environnement,</w:t>
            </w:r>
            <w:r w:rsidRPr="001808DF">
              <w:rPr>
                <w:rFonts w:ascii="Arial" w:hAnsi="Arial" w:cs="Arial"/>
                <w:color w:val="000000"/>
                <w:sz w:val="16"/>
                <w:szCs w:val="16"/>
              </w:rPr>
              <w:br/>
              <w:t>- la réduction de la consommation d’énergie dans les bâtiments publics,</w:t>
            </w:r>
            <w:r w:rsidRPr="001808DF">
              <w:rPr>
                <w:rFonts w:ascii="Arial" w:hAnsi="Arial" w:cs="Arial"/>
                <w:color w:val="000000"/>
                <w:sz w:val="16"/>
                <w:szCs w:val="16"/>
              </w:rPr>
              <w:br/>
              <w:t>- la suppression des produits phytopharmaceutiques,</w:t>
            </w:r>
            <w:r w:rsidRPr="001808DF">
              <w:rPr>
                <w:rFonts w:ascii="Arial" w:hAnsi="Arial" w:cs="Arial"/>
                <w:color w:val="000000"/>
                <w:sz w:val="16"/>
                <w:szCs w:val="16"/>
              </w:rPr>
              <w:br/>
              <w:t>- l’économie circulaire et la maîtrise de l’empreinte carbone du numérique.</w:t>
            </w:r>
          </w:p>
        </w:tc>
        <w:tc>
          <w:tcPr>
            <w:tcW w:w="218" w:type="dxa"/>
            <w:tcBorders>
              <w:top w:val="nil"/>
              <w:left w:val="nil"/>
              <w:bottom w:val="single" w:sz="4" w:space="0" w:color="auto"/>
              <w:right w:val="single" w:sz="4" w:space="0" w:color="auto"/>
            </w:tcBorders>
            <w:shd w:val="clear" w:color="auto" w:fill="auto"/>
            <w:noWrap/>
            <w:vAlign w:val="bottom"/>
            <w:hideMark/>
          </w:tcPr>
          <w:p w14:paraId="1BA7E1E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2020</w:t>
            </w:r>
          </w:p>
        </w:tc>
        <w:tc>
          <w:tcPr>
            <w:tcW w:w="1478" w:type="dxa"/>
            <w:tcBorders>
              <w:top w:val="nil"/>
              <w:left w:val="nil"/>
              <w:bottom w:val="single" w:sz="4" w:space="0" w:color="auto"/>
              <w:right w:val="single" w:sz="4" w:space="0" w:color="auto"/>
            </w:tcBorders>
            <w:shd w:val="clear" w:color="auto" w:fill="auto"/>
            <w:noWrap/>
            <w:vAlign w:val="bottom"/>
            <w:hideMark/>
          </w:tcPr>
          <w:p w14:paraId="1292546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12BBD19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A63C10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FF208F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34E74C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51093BD1"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BF9703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Les projets alimentaires territoriaux (PAT)</w:t>
            </w:r>
          </w:p>
        </w:tc>
        <w:tc>
          <w:tcPr>
            <w:tcW w:w="218" w:type="dxa"/>
            <w:tcBorders>
              <w:top w:val="nil"/>
              <w:left w:val="nil"/>
              <w:bottom w:val="single" w:sz="4" w:space="0" w:color="auto"/>
              <w:right w:val="single" w:sz="4" w:space="0" w:color="auto"/>
            </w:tcBorders>
            <w:shd w:val="clear" w:color="auto" w:fill="auto"/>
            <w:noWrap/>
            <w:vAlign w:val="bottom"/>
            <w:hideMark/>
          </w:tcPr>
          <w:p w14:paraId="1B53D6C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7A62C15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Agriculture</w:t>
            </w:r>
          </w:p>
        </w:tc>
        <w:tc>
          <w:tcPr>
            <w:tcW w:w="340" w:type="dxa"/>
            <w:tcBorders>
              <w:top w:val="nil"/>
              <w:left w:val="nil"/>
              <w:bottom w:val="single" w:sz="4" w:space="0" w:color="auto"/>
              <w:right w:val="single" w:sz="4" w:space="0" w:color="auto"/>
            </w:tcBorders>
            <w:shd w:val="clear" w:color="auto" w:fill="auto"/>
            <w:noWrap/>
            <w:vAlign w:val="bottom"/>
            <w:hideMark/>
          </w:tcPr>
          <w:p w14:paraId="399F2F6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69" w:type="dxa"/>
            <w:tcBorders>
              <w:top w:val="nil"/>
              <w:left w:val="nil"/>
              <w:bottom w:val="single" w:sz="4" w:space="0" w:color="auto"/>
              <w:right w:val="single" w:sz="4" w:space="0" w:color="auto"/>
            </w:tcBorders>
            <w:shd w:val="clear" w:color="auto" w:fill="auto"/>
            <w:noWrap/>
            <w:vAlign w:val="bottom"/>
            <w:hideMark/>
          </w:tcPr>
          <w:p w14:paraId="2AEA0FF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7073E54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(Support), Information</w:t>
            </w:r>
          </w:p>
        </w:tc>
        <w:tc>
          <w:tcPr>
            <w:tcW w:w="218" w:type="dxa"/>
            <w:tcBorders>
              <w:top w:val="nil"/>
              <w:left w:val="nil"/>
              <w:bottom w:val="single" w:sz="4" w:space="0" w:color="auto"/>
              <w:right w:val="single" w:sz="4" w:space="0" w:color="auto"/>
            </w:tcBorders>
            <w:shd w:val="clear" w:color="auto" w:fill="auto"/>
            <w:noWrap/>
            <w:vAlign w:val="bottom"/>
            <w:hideMark/>
          </w:tcPr>
          <w:p w14:paraId="2930A20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49C3AA8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Les projets alimentaires territoriaux (PAT) ont l'ambition de fédérer les différents acteurs d'un territoire autour de la question de l'alimentation, contribuant ainsi à la prise en compte des dimensions sociales, environnementales, économiques et de santé de ce territoire.</w:t>
            </w:r>
            <w:r w:rsidRPr="001808DF">
              <w:rPr>
                <w:rFonts w:ascii="Arial" w:hAnsi="Arial" w:cs="Arial"/>
                <w:color w:val="000000"/>
                <w:sz w:val="16"/>
                <w:szCs w:val="16"/>
              </w:rPr>
              <w:br/>
            </w:r>
            <w:r w:rsidRPr="001808DF">
              <w:rPr>
                <w:rFonts w:ascii="Arial" w:hAnsi="Arial" w:cs="Arial"/>
                <w:color w:val="000000"/>
                <w:sz w:val="16"/>
                <w:szCs w:val="16"/>
              </w:rPr>
              <w:br/>
              <w:t>La nouvelle procédure de reconnaissance révisée en 2021, propose deux niveaux : un premier niveau qui identifie les PAT émergents, afin de les accompagner dans leur construction, et un deuxième niveau qui valorise et donne de la visibilité aux projets opérationnels qui mettent en œuvre un plan d’actions effectives sur leur territoire.</w:t>
            </w:r>
          </w:p>
        </w:tc>
        <w:tc>
          <w:tcPr>
            <w:tcW w:w="218" w:type="dxa"/>
            <w:tcBorders>
              <w:top w:val="nil"/>
              <w:left w:val="nil"/>
              <w:bottom w:val="single" w:sz="4" w:space="0" w:color="auto"/>
              <w:right w:val="single" w:sz="4" w:space="0" w:color="auto"/>
            </w:tcBorders>
            <w:shd w:val="clear" w:color="auto" w:fill="auto"/>
            <w:noWrap/>
            <w:vAlign w:val="bottom"/>
            <w:hideMark/>
          </w:tcPr>
          <w:p w14:paraId="7272A0D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3290313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l'Agriculture et de l'Alimentation (Government)</w:t>
            </w:r>
          </w:p>
        </w:tc>
        <w:tc>
          <w:tcPr>
            <w:tcW w:w="48" w:type="dxa"/>
            <w:tcBorders>
              <w:top w:val="nil"/>
              <w:left w:val="nil"/>
              <w:bottom w:val="single" w:sz="4" w:space="0" w:color="auto"/>
              <w:right w:val="single" w:sz="4" w:space="0" w:color="auto"/>
            </w:tcBorders>
            <w:shd w:val="clear" w:color="auto" w:fill="auto"/>
            <w:noWrap/>
            <w:vAlign w:val="bottom"/>
            <w:hideMark/>
          </w:tcPr>
          <w:p w14:paraId="60BDDDB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EF0305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F7B588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A00855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54E32196"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A48A48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Bon diagnostic carbone</w:t>
            </w:r>
          </w:p>
        </w:tc>
        <w:tc>
          <w:tcPr>
            <w:tcW w:w="218" w:type="dxa"/>
            <w:tcBorders>
              <w:top w:val="nil"/>
              <w:left w:val="nil"/>
              <w:bottom w:val="single" w:sz="4" w:space="0" w:color="auto"/>
              <w:right w:val="single" w:sz="4" w:space="0" w:color="auto"/>
            </w:tcBorders>
            <w:shd w:val="clear" w:color="auto" w:fill="auto"/>
            <w:noWrap/>
            <w:vAlign w:val="bottom"/>
            <w:hideMark/>
          </w:tcPr>
          <w:p w14:paraId="7FDBD20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2F168A8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Agriculture</w:t>
            </w:r>
          </w:p>
        </w:tc>
        <w:tc>
          <w:tcPr>
            <w:tcW w:w="340" w:type="dxa"/>
            <w:tcBorders>
              <w:top w:val="nil"/>
              <w:left w:val="nil"/>
              <w:bottom w:val="single" w:sz="4" w:space="0" w:color="auto"/>
              <w:right w:val="single" w:sz="4" w:space="0" w:color="auto"/>
            </w:tcBorders>
            <w:shd w:val="clear" w:color="auto" w:fill="auto"/>
            <w:noWrap/>
            <w:vAlign w:val="bottom"/>
            <w:hideMark/>
          </w:tcPr>
          <w:p w14:paraId="0ECE1BD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69" w:type="dxa"/>
            <w:tcBorders>
              <w:top w:val="nil"/>
              <w:left w:val="nil"/>
              <w:bottom w:val="single" w:sz="4" w:space="0" w:color="auto"/>
              <w:right w:val="single" w:sz="4" w:space="0" w:color="auto"/>
            </w:tcBorders>
            <w:shd w:val="clear" w:color="auto" w:fill="auto"/>
            <w:noWrap/>
            <w:vAlign w:val="bottom"/>
            <w:hideMark/>
          </w:tcPr>
          <w:p w14:paraId="140FC28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BA7903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Information, Other (Support), Other (Consulting)</w:t>
            </w:r>
          </w:p>
        </w:tc>
        <w:tc>
          <w:tcPr>
            <w:tcW w:w="218" w:type="dxa"/>
            <w:tcBorders>
              <w:top w:val="nil"/>
              <w:left w:val="nil"/>
              <w:bottom w:val="single" w:sz="4" w:space="0" w:color="auto"/>
              <w:right w:val="single" w:sz="4" w:space="0" w:color="auto"/>
            </w:tcBorders>
            <w:shd w:val="clear" w:color="auto" w:fill="auto"/>
            <w:noWrap/>
            <w:vAlign w:val="bottom"/>
            <w:hideMark/>
          </w:tcPr>
          <w:p w14:paraId="265349A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643E02D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Bon diagnostic carbone a pour objectif d’offrir la possibilité aux agriculteurs nouvellement installés depuis moins de 5 ans, de réaliser un diagnostic carbone suivi d’un plan d’actions et d’un accompagnement personnalisé de leur exploitation, pour s’engager dans la transition agroécologique et de se mobiliser dans la lutte contre le changement climatique.</w:t>
            </w:r>
          </w:p>
        </w:tc>
        <w:tc>
          <w:tcPr>
            <w:tcW w:w="218" w:type="dxa"/>
            <w:tcBorders>
              <w:top w:val="nil"/>
              <w:left w:val="nil"/>
              <w:bottom w:val="single" w:sz="4" w:space="0" w:color="auto"/>
              <w:right w:val="single" w:sz="4" w:space="0" w:color="auto"/>
            </w:tcBorders>
            <w:shd w:val="clear" w:color="auto" w:fill="auto"/>
            <w:noWrap/>
            <w:vAlign w:val="bottom"/>
            <w:hideMark/>
          </w:tcPr>
          <w:p w14:paraId="3A006E5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3D94DC5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l'Agriculture et de l'Alimentation (Government); ADEME (others)</w:t>
            </w:r>
          </w:p>
        </w:tc>
        <w:tc>
          <w:tcPr>
            <w:tcW w:w="48" w:type="dxa"/>
            <w:tcBorders>
              <w:top w:val="nil"/>
              <w:left w:val="nil"/>
              <w:bottom w:val="single" w:sz="4" w:space="0" w:color="auto"/>
              <w:right w:val="single" w:sz="4" w:space="0" w:color="auto"/>
            </w:tcBorders>
            <w:shd w:val="clear" w:color="auto" w:fill="auto"/>
            <w:noWrap/>
            <w:vAlign w:val="bottom"/>
            <w:hideMark/>
          </w:tcPr>
          <w:p w14:paraId="12D5B0F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AF22EB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7F73DE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30DD64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6AA63CB1"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88C5AA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Volet forestier du Plan de Relance</w:t>
            </w:r>
          </w:p>
        </w:tc>
        <w:tc>
          <w:tcPr>
            <w:tcW w:w="218" w:type="dxa"/>
            <w:tcBorders>
              <w:top w:val="nil"/>
              <w:left w:val="nil"/>
              <w:bottom w:val="single" w:sz="4" w:space="0" w:color="auto"/>
              <w:right w:val="single" w:sz="4" w:space="0" w:color="auto"/>
            </w:tcBorders>
            <w:shd w:val="clear" w:color="auto" w:fill="auto"/>
            <w:noWrap/>
            <w:vAlign w:val="bottom"/>
            <w:hideMark/>
          </w:tcPr>
          <w:p w14:paraId="2B7D6B8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0592740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Forestry/LULUCF</w:t>
            </w:r>
          </w:p>
        </w:tc>
        <w:tc>
          <w:tcPr>
            <w:tcW w:w="340" w:type="dxa"/>
            <w:tcBorders>
              <w:top w:val="nil"/>
              <w:left w:val="nil"/>
              <w:bottom w:val="single" w:sz="4" w:space="0" w:color="auto"/>
              <w:right w:val="single" w:sz="4" w:space="0" w:color="auto"/>
            </w:tcBorders>
            <w:shd w:val="clear" w:color="auto" w:fill="auto"/>
            <w:noWrap/>
            <w:vAlign w:val="bottom"/>
            <w:hideMark/>
          </w:tcPr>
          <w:p w14:paraId="5E7B1367"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32A439D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14C151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 Voluntary Agreement</w:t>
            </w:r>
          </w:p>
        </w:tc>
        <w:tc>
          <w:tcPr>
            <w:tcW w:w="218" w:type="dxa"/>
            <w:tcBorders>
              <w:top w:val="nil"/>
              <w:left w:val="nil"/>
              <w:bottom w:val="single" w:sz="4" w:space="0" w:color="auto"/>
              <w:right w:val="single" w:sz="4" w:space="0" w:color="auto"/>
            </w:tcBorders>
            <w:shd w:val="clear" w:color="auto" w:fill="auto"/>
            <w:noWrap/>
            <w:vAlign w:val="bottom"/>
            <w:hideMark/>
          </w:tcPr>
          <w:p w14:paraId="3ED21CB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DA3D6D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mesure de « Renouvellement forestier », prévue par le plan France relance, dotée d’un budget de 150 millions d’euros, vise 45 000 hectares de forêts améliorés, adaptés, régénérés ou reconstitués avant fin 2024. Elle permettra de soutenir financièrement les propriétaires forestiers pour les accompagner dans leurs projets d'investissements. L’enjeu est d’adapter les forêts françaises au changement climatique et à valoriser leur rôle en terme d'atténuation.</w:t>
            </w:r>
          </w:p>
        </w:tc>
        <w:tc>
          <w:tcPr>
            <w:tcW w:w="218" w:type="dxa"/>
            <w:tcBorders>
              <w:top w:val="nil"/>
              <w:left w:val="nil"/>
              <w:bottom w:val="single" w:sz="4" w:space="0" w:color="auto"/>
              <w:right w:val="single" w:sz="4" w:space="0" w:color="auto"/>
            </w:tcBorders>
            <w:shd w:val="clear" w:color="auto" w:fill="auto"/>
            <w:noWrap/>
            <w:vAlign w:val="bottom"/>
            <w:hideMark/>
          </w:tcPr>
          <w:p w14:paraId="3175F1D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14CA8E2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l'Agriculture et de l'Alimentation(National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39BB727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722F6F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369B40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92D51C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7508B1C7"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6733B8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Interdiction d’installer des systèmes de chauffage et de production d’eau chaude sanitaire consommant principalement des combustibles à haut niveau d’émissions de gaz à effet de serre dans les bâtiments à usage d’habitation ou à usage professionnel</w:t>
            </w:r>
          </w:p>
        </w:tc>
        <w:tc>
          <w:tcPr>
            <w:tcW w:w="218" w:type="dxa"/>
            <w:tcBorders>
              <w:top w:val="nil"/>
              <w:left w:val="nil"/>
              <w:bottom w:val="single" w:sz="4" w:space="0" w:color="auto"/>
              <w:right w:val="single" w:sz="4" w:space="0" w:color="auto"/>
            </w:tcBorders>
            <w:shd w:val="clear" w:color="auto" w:fill="auto"/>
            <w:noWrap/>
            <w:vAlign w:val="bottom"/>
            <w:hideMark/>
          </w:tcPr>
          <w:p w14:paraId="0DBE783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5F1794B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26B171DF"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006A4AB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08C1D62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0F41776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5D8F6D1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À partir du 1er juillet 2021 seront interdits les systèmes de chauffage et de production d'eau chaude sanitaire utilisant principalement des combustibles très fortement émetteurs en gaz à effet de serre dans les bâtiments résidentiels et les bâtiments tertiaires. Un seuil de 250 g</w:t>
            </w:r>
            <w:r w:rsidRPr="001808DF">
              <w:rPr>
                <w:sz w:val="16"/>
                <w:szCs w:val="16"/>
              </w:rPr>
              <w:t>CO</w:t>
            </w:r>
            <w:r w:rsidRPr="001808DF">
              <w:rPr>
                <w:sz w:val="16"/>
                <w:szCs w:val="16"/>
                <w:vertAlign w:val="subscript"/>
              </w:rPr>
              <w:t>2</w:t>
            </w:r>
            <w:r w:rsidRPr="001808DF">
              <w:rPr>
                <w:rFonts w:ascii="Arial" w:hAnsi="Arial" w:cs="Arial"/>
                <w:color w:val="000000"/>
                <w:sz w:val="16"/>
                <w:szCs w:val="16"/>
              </w:rPr>
              <w:t>eq/kWh au-delà duquel les équipements ne devront plus être installés est fixé. Il concerne principalement les installations au fioul et au charbon</w:t>
            </w:r>
          </w:p>
        </w:tc>
        <w:tc>
          <w:tcPr>
            <w:tcW w:w="218" w:type="dxa"/>
            <w:tcBorders>
              <w:top w:val="nil"/>
              <w:left w:val="nil"/>
              <w:bottom w:val="single" w:sz="4" w:space="0" w:color="auto"/>
              <w:right w:val="single" w:sz="4" w:space="0" w:color="auto"/>
            </w:tcBorders>
            <w:shd w:val="clear" w:color="auto" w:fill="auto"/>
            <w:noWrap/>
            <w:vAlign w:val="bottom"/>
            <w:hideMark/>
          </w:tcPr>
          <w:p w14:paraId="625927C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11577DE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64857F0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7067ECC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DF3DDC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F8FA70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7931BAA6"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9991C7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Favoriser la réalisation d'audit énergétique pour les logements passoires thermiques</w:t>
            </w:r>
          </w:p>
        </w:tc>
        <w:tc>
          <w:tcPr>
            <w:tcW w:w="218" w:type="dxa"/>
            <w:tcBorders>
              <w:top w:val="nil"/>
              <w:left w:val="nil"/>
              <w:bottom w:val="single" w:sz="4" w:space="0" w:color="auto"/>
              <w:right w:val="single" w:sz="4" w:space="0" w:color="auto"/>
            </w:tcBorders>
            <w:shd w:val="clear" w:color="auto" w:fill="auto"/>
            <w:noWrap/>
            <w:vAlign w:val="bottom"/>
            <w:hideMark/>
          </w:tcPr>
          <w:p w14:paraId="31E7220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0B125ED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5ACCF2DC"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038DC7D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7137C4B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w:t>
            </w:r>
          </w:p>
        </w:tc>
        <w:tc>
          <w:tcPr>
            <w:tcW w:w="218" w:type="dxa"/>
            <w:tcBorders>
              <w:top w:val="nil"/>
              <w:left w:val="nil"/>
              <w:bottom w:val="single" w:sz="4" w:space="0" w:color="auto"/>
              <w:right w:val="single" w:sz="4" w:space="0" w:color="auto"/>
            </w:tcBorders>
            <w:shd w:val="clear" w:color="auto" w:fill="auto"/>
            <w:noWrap/>
            <w:vAlign w:val="bottom"/>
            <w:hideMark/>
          </w:tcPr>
          <w:p w14:paraId="0381886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1B59AF3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programmation pluriannuelle de l'énergie 2019-2028 prévoit le financement à 100% d'un audit énergétique pour les ménages modestes propriétaires de logements passoires thermiques (diagnostics de performance F ou G) et de rendre cet audit obligatoire avant la mise en location d’un logement privé de catégorie F ou G ainsi que lors de la mutation d’un logement classé F ou G, d’ici 2021, pour inciter les propriétaires à engager des travaux.</w:t>
            </w:r>
          </w:p>
        </w:tc>
        <w:tc>
          <w:tcPr>
            <w:tcW w:w="218" w:type="dxa"/>
            <w:tcBorders>
              <w:top w:val="nil"/>
              <w:left w:val="nil"/>
              <w:bottom w:val="single" w:sz="4" w:space="0" w:color="auto"/>
              <w:right w:val="single" w:sz="4" w:space="0" w:color="auto"/>
            </w:tcBorders>
            <w:shd w:val="clear" w:color="auto" w:fill="auto"/>
            <w:noWrap/>
            <w:vAlign w:val="bottom"/>
            <w:hideMark/>
          </w:tcPr>
          <w:p w14:paraId="5AA3400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43DCE44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 Ministère de la Cohésion des Territoires(National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C2D479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01F30C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79E6D5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3D4E3B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13854A5E"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3D26F3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Projet de taxation des HFC</w:t>
            </w:r>
          </w:p>
        </w:tc>
        <w:tc>
          <w:tcPr>
            <w:tcW w:w="218" w:type="dxa"/>
            <w:tcBorders>
              <w:top w:val="nil"/>
              <w:left w:val="nil"/>
              <w:bottom w:val="single" w:sz="4" w:space="0" w:color="auto"/>
              <w:right w:val="single" w:sz="4" w:space="0" w:color="auto"/>
            </w:tcBorders>
            <w:shd w:val="clear" w:color="auto" w:fill="auto"/>
            <w:noWrap/>
            <w:vAlign w:val="bottom"/>
            <w:hideMark/>
          </w:tcPr>
          <w:p w14:paraId="3B013CA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39811BA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Cross-cutting</w:t>
            </w:r>
          </w:p>
        </w:tc>
        <w:tc>
          <w:tcPr>
            <w:tcW w:w="340" w:type="dxa"/>
            <w:tcBorders>
              <w:top w:val="nil"/>
              <w:left w:val="nil"/>
              <w:bottom w:val="single" w:sz="4" w:space="0" w:color="auto"/>
              <w:right w:val="single" w:sz="4" w:space="0" w:color="auto"/>
            </w:tcBorders>
            <w:shd w:val="clear" w:color="auto" w:fill="auto"/>
            <w:noWrap/>
            <w:vAlign w:val="bottom"/>
            <w:hideMark/>
          </w:tcPr>
          <w:p w14:paraId="290DA91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HFCs</w:t>
            </w:r>
          </w:p>
        </w:tc>
        <w:tc>
          <w:tcPr>
            <w:tcW w:w="469" w:type="dxa"/>
            <w:tcBorders>
              <w:top w:val="nil"/>
              <w:left w:val="nil"/>
              <w:bottom w:val="single" w:sz="4" w:space="0" w:color="auto"/>
              <w:right w:val="single" w:sz="4" w:space="0" w:color="auto"/>
            </w:tcBorders>
            <w:shd w:val="clear" w:color="auto" w:fill="auto"/>
            <w:noWrap/>
            <w:vAlign w:val="bottom"/>
            <w:hideMark/>
          </w:tcPr>
          <w:p w14:paraId="0C1D64C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5EB0C6D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Fiscal</w:t>
            </w:r>
          </w:p>
        </w:tc>
        <w:tc>
          <w:tcPr>
            <w:tcW w:w="218" w:type="dxa"/>
            <w:tcBorders>
              <w:top w:val="nil"/>
              <w:left w:val="nil"/>
              <w:bottom w:val="single" w:sz="4" w:space="0" w:color="auto"/>
              <w:right w:val="single" w:sz="4" w:space="0" w:color="auto"/>
            </w:tcBorders>
            <w:shd w:val="clear" w:color="auto" w:fill="auto"/>
            <w:noWrap/>
            <w:vAlign w:val="bottom"/>
            <w:hideMark/>
          </w:tcPr>
          <w:p w14:paraId="3EC9130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42ECB79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Au niveau national, la loi de finances pour 2019 avait prévu la mise en place à partir du 1er janvier 2021 d’une taxe sur les HFC dont le tarif devait évoluer de la manière suivante : 15€ par tonne équivalent </w:t>
            </w:r>
            <w:r w:rsidRPr="001808DF">
              <w:rPr>
                <w:sz w:val="16"/>
                <w:szCs w:val="16"/>
              </w:rPr>
              <w:t>CO</w:t>
            </w:r>
            <w:r w:rsidRPr="001808DF">
              <w:rPr>
                <w:sz w:val="16"/>
                <w:szCs w:val="16"/>
                <w:vertAlign w:val="subscript"/>
              </w:rPr>
              <w:t>2</w:t>
            </w:r>
            <w:r w:rsidRPr="001808DF">
              <w:rPr>
                <w:rFonts w:ascii="Arial" w:hAnsi="Arial" w:cs="Arial"/>
                <w:color w:val="000000"/>
                <w:sz w:val="16"/>
                <w:szCs w:val="16"/>
              </w:rPr>
              <w:t xml:space="preserve"> en 2021, 18€ en 2022, 22€ en 2023, 26€ en 2024 et 30€ à compter de 2025. L’entrée en vigueur de la taxe HFC a été repoussée au 1er janvier 2025 par la loi de finances 2022 compte tenu de l’atteinte des objectifs de réduction de l’utilisation de HFC qui avaient été fixés aux professionnels du froid et de la réfrigération en 2019.</w:t>
            </w:r>
          </w:p>
        </w:tc>
        <w:tc>
          <w:tcPr>
            <w:tcW w:w="218" w:type="dxa"/>
            <w:tcBorders>
              <w:top w:val="nil"/>
              <w:left w:val="nil"/>
              <w:bottom w:val="single" w:sz="4" w:space="0" w:color="auto"/>
              <w:right w:val="single" w:sz="4" w:space="0" w:color="auto"/>
            </w:tcBorders>
            <w:shd w:val="clear" w:color="auto" w:fill="auto"/>
            <w:noWrap/>
            <w:vAlign w:val="bottom"/>
            <w:hideMark/>
          </w:tcPr>
          <w:p w14:paraId="0E4CA60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2D892F0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2DE285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1FBF453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7CE0E4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70630A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5B73F244"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B82A78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Règlement européen n°2019/1242 du 20 juin 2019 fixant des objectifs de réduction d’émissions à horizon 2025 et 2030 pour les poids lourds</w:t>
            </w:r>
          </w:p>
        </w:tc>
        <w:tc>
          <w:tcPr>
            <w:tcW w:w="218" w:type="dxa"/>
            <w:tcBorders>
              <w:top w:val="nil"/>
              <w:left w:val="nil"/>
              <w:bottom w:val="single" w:sz="4" w:space="0" w:color="auto"/>
              <w:right w:val="single" w:sz="4" w:space="0" w:color="auto"/>
            </w:tcBorders>
            <w:shd w:val="clear" w:color="auto" w:fill="auto"/>
            <w:noWrap/>
            <w:vAlign w:val="bottom"/>
            <w:hideMark/>
          </w:tcPr>
          <w:p w14:paraId="5E60D1E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4361AD9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154D3A72"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4EC7F0E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772487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265359B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66A6BDA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règlement européen n°2019/1242 du 20 juin 2019 fixe des objectifs aux constructeurs pour les poids lourds avec une réduction de 15 % des émissions d’ici à 2025 et une réduction de 30% en 2030 par rapport aux émissions de 2021.</w:t>
            </w:r>
          </w:p>
        </w:tc>
        <w:tc>
          <w:tcPr>
            <w:tcW w:w="218" w:type="dxa"/>
            <w:tcBorders>
              <w:top w:val="nil"/>
              <w:left w:val="nil"/>
              <w:bottom w:val="single" w:sz="4" w:space="0" w:color="auto"/>
              <w:right w:val="single" w:sz="4" w:space="0" w:color="auto"/>
            </w:tcBorders>
            <w:shd w:val="clear" w:color="auto" w:fill="auto"/>
            <w:noWrap/>
            <w:vAlign w:val="bottom"/>
            <w:hideMark/>
          </w:tcPr>
          <w:p w14:paraId="25C7155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6189E09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(Government)</w:t>
            </w:r>
          </w:p>
        </w:tc>
        <w:tc>
          <w:tcPr>
            <w:tcW w:w="48" w:type="dxa"/>
            <w:tcBorders>
              <w:top w:val="nil"/>
              <w:left w:val="nil"/>
              <w:bottom w:val="single" w:sz="4" w:space="0" w:color="auto"/>
              <w:right w:val="single" w:sz="4" w:space="0" w:color="auto"/>
            </w:tcBorders>
            <w:shd w:val="clear" w:color="auto" w:fill="auto"/>
            <w:noWrap/>
            <w:vAlign w:val="bottom"/>
            <w:hideMark/>
          </w:tcPr>
          <w:p w14:paraId="017955E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6E2158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1 250,00</w:t>
            </w:r>
          </w:p>
        </w:tc>
        <w:tc>
          <w:tcPr>
            <w:tcW w:w="86" w:type="dxa"/>
            <w:tcBorders>
              <w:top w:val="nil"/>
              <w:left w:val="nil"/>
              <w:bottom w:val="single" w:sz="4" w:space="0" w:color="auto"/>
              <w:right w:val="single" w:sz="4" w:space="0" w:color="auto"/>
            </w:tcBorders>
            <w:shd w:val="clear" w:color="auto" w:fill="auto"/>
            <w:noWrap/>
            <w:vAlign w:val="bottom"/>
            <w:hideMark/>
          </w:tcPr>
          <w:p w14:paraId="4A5FB66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3 125,00</w:t>
            </w:r>
          </w:p>
        </w:tc>
        <w:tc>
          <w:tcPr>
            <w:tcW w:w="86" w:type="dxa"/>
            <w:tcBorders>
              <w:top w:val="nil"/>
              <w:left w:val="nil"/>
              <w:bottom w:val="single" w:sz="4" w:space="0" w:color="auto"/>
              <w:right w:val="single" w:sz="4" w:space="0" w:color="auto"/>
            </w:tcBorders>
            <w:shd w:val="clear" w:color="auto" w:fill="auto"/>
            <w:noWrap/>
            <w:vAlign w:val="bottom"/>
            <w:hideMark/>
          </w:tcPr>
          <w:p w14:paraId="54E4754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5 625,00</w:t>
            </w:r>
          </w:p>
        </w:tc>
      </w:tr>
      <w:tr w:rsidR="00A46044" w:rsidRPr="001808DF" w14:paraId="45A93372"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A2213D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Interdiction des vols s'il existe une alternative ferroviaire de moins de 2h30</w:t>
            </w:r>
          </w:p>
        </w:tc>
        <w:tc>
          <w:tcPr>
            <w:tcW w:w="218" w:type="dxa"/>
            <w:tcBorders>
              <w:top w:val="nil"/>
              <w:left w:val="nil"/>
              <w:bottom w:val="single" w:sz="4" w:space="0" w:color="auto"/>
              <w:right w:val="single" w:sz="4" w:space="0" w:color="auto"/>
            </w:tcBorders>
            <w:shd w:val="clear" w:color="auto" w:fill="auto"/>
            <w:noWrap/>
            <w:vAlign w:val="bottom"/>
            <w:hideMark/>
          </w:tcPr>
          <w:p w14:paraId="5860D41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15B6135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050F8F13"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40F0896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66D4AC9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07ED9A6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41487BA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Le projet de loi climat et résilence de 2021 interdit l’exploitation de services aériens sur des liaisons intérieures au territoire national, dès lors qu’un trajet alternatif, par un autre moyen de transport collectif, moins émetteur de </w:t>
            </w:r>
            <w:r w:rsidRPr="001808DF">
              <w:rPr>
                <w:sz w:val="16"/>
                <w:szCs w:val="16"/>
              </w:rPr>
              <w:t>CO</w:t>
            </w:r>
            <w:r w:rsidRPr="001808DF">
              <w:rPr>
                <w:sz w:val="16"/>
                <w:szCs w:val="16"/>
                <w:vertAlign w:val="subscript"/>
              </w:rPr>
              <w:t>2</w:t>
            </w:r>
            <w:r w:rsidRPr="001808DF">
              <w:rPr>
                <w:rFonts w:ascii="Arial" w:hAnsi="Arial" w:cs="Arial"/>
                <w:color w:val="000000"/>
                <w:sz w:val="16"/>
                <w:szCs w:val="16"/>
              </w:rPr>
              <w:t>, existe en moins de 2h30. Un décret fixera les conditions dans lesquelles des aménagements à l’interdiction sont prévus pour les services aériens qui assurent majoritairement le transport de passagers en correspondance ou qui offrent un transport aérien majoritairement décarboné.</w:t>
            </w:r>
          </w:p>
        </w:tc>
        <w:tc>
          <w:tcPr>
            <w:tcW w:w="218" w:type="dxa"/>
            <w:tcBorders>
              <w:top w:val="nil"/>
              <w:left w:val="nil"/>
              <w:bottom w:val="single" w:sz="4" w:space="0" w:color="auto"/>
              <w:right w:val="single" w:sz="4" w:space="0" w:color="auto"/>
            </w:tcBorders>
            <w:shd w:val="clear" w:color="auto" w:fill="auto"/>
            <w:noWrap/>
            <w:vAlign w:val="bottom"/>
            <w:hideMark/>
          </w:tcPr>
          <w:p w14:paraId="14BD0F5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3402234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(Government)</w:t>
            </w:r>
          </w:p>
        </w:tc>
        <w:tc>
          <w:tcPr>
            <w:tcW w:w="48" w:type="dxa"/>
            <w:tcBorders>
              <w:top w:val="nil"/>
              <w:left w:val="nil"/>
              <w:bottom w:val="single" w:sz="4" w:space="0" w:color="auto"/>
              <w:right w:val="single" w:sz="4" w:space="0" w:color="auto"/>
            </w:tcBorders>
            <w:shd w:val="clear" w:color="auto" w:fill="auto"/>
            <w:noWrap/>
            <w:vAlign w:val="bottom"/>
            <w:hideMark/>
          </w:tcPr>
          <w:p w14:paraId="510FDD6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8AE130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91E015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F2626B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130D2CD0"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7276FE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Taxation du carburant utilisé par l'aviation de loisir</w:t>
            </w:r>
          </w:p>
        </w:tc>
        <w:tc>
          <w:tcPr>
            <w:tcW w:w="218" w:type="dxa"/>
            <w:tcBorders>
              <w:top w:val="nil"/>
              <w:left w:val="nil"/>
              <w:bottom w:val="single" w:sz="4" w:space="0" w:color="auto"/>
              <w:right w:val="single" w:sz="4" w:space="0" w:color="auto"/>
            </w:tcBorders>
            <w:shd w:val="clear" w:color="auto" w:fill="auto"/>
            <w:noWrap/>
            <w:vAlign w:val="bottom"/>
            <w:hideMark/>
          </w:tcPr>
          <w:p w14:paraId="0EFC184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783C3A3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3991B1A3"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25587E7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EF8D40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Fiscal</w:t>
            </w:r>
          </w:p>
        </w:tc>
        <w:tc>
          <w:tcPr>
            <w:tcW w:w="218" w:type="dxa"/>
            <w:tcBorders>
              <w:top w:val="nil"/>
              <w:left w:val="nil"/>
              <w:bottom w:val="single" w:sz="4" w:space="0" w:color="auto"/>
              <w:right w:val="single" w:sz="4" w:space="0" w:color="auto"/>
            </w:tcBorders>
            <w:shd w:val="clear" w:color="auto" w:fill="auto"/>
            <w:noWrap/>
            <w:vAlign w:val="bottom"/>
            <w:hideMark/>
          </w:tcPr>
          <w:p w14:paraId="3AEA015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3E42D57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taxe sur les carburants utilisés pour l'aviation de loisir a été relevée pour être alignée sur la taxe sur l'essence</w:t>
            </w:r>
          </w:p>
        </w:tc>
        <w:tc>
          <w:tcPr>
            <w:tcW w:w="218" w:type="dxa"/>
            <w:tcBorders>
              <w:top w:val="nil"/>
              <w:left w:val="nil"/>
              <w:bottom w:val="single" w:sz="4" w:space="0" w:color="auto"/>
              <w:right w:val="single" w:sz="4" w:space="0" w:color="auto"/>
            </w:tcBorders>
            <w:shd w:val="clear" w:color="auto" w:fill="auto"/>
            <w:noWrap/>
            <w:vAlign w:val="bottom"/>
            <w:hideMark/>
          </w:tcPr>
          <w:p w14:paraId="250485D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399008E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des finances(Government)</w:t>
            </w:r>
          </w:p>
        </w:tc>
        <w:tc>
          <w:tcPr>
            <w:tcW w:w="48" w:type="dxa"/>
            <w:tcBorders>
              <w:top w:val="nil"/>
              <w:left w:val="nil"/>
              <w:bottom w:val="single" w:sz="4" w:space="0" w:color="auto"/>
              <w:right w:val="single" w:sz="4" w:space="0" w:color="auto"/>
            </w:tcBorders>
            <w:shd w:val="clear" w:color="auto" w:fill="auto"/>
            <w:noWrap/>
            <w:vAlign w:val="bottom"/>
            <w:hideMark/>
          </w:tcPr>
          <w:p w14:paraId="65B2B12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13421AB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A072B7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01AE69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4631D9F9"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B7CE7F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Dispositif fiscal de suramortissement pour les engins non routiers utilisés par les entreprises du bâtiment et des travaux publics et les exploitants aéroportuaires et fonctionnant à l'électricité, l'hydrogène et le gaz naturel</w:t>
            </w:r>
          </w:p>
        </w:tc>
        <w:tc>
          <w:tcPr>
            <w:tcW w:w="218" w:type="dxa"/>
            <w:tcBorders>
              <w:top w:val="nil"/>
              <w:left w:val="nil"/>
              <w:bottom w:val="single" w:sz="4" w:space="0" w:color="auto"/>
              <w:right w:val="single" w:sz="4" w:space="0" w:color="auto"/>
            </w:tcBorders>
            <w:shd w:val="clear" w:color="auto" w:fill="auto"/>
            <w:noWrap/>
            <w:vAlign w:val="bottom"/>
            <w:hideMark/>
          </w:tcPr>
          <w:p w14:paraId="01DD29E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1C9E78E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069065C0"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6C9C339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F74149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Fiscal</w:t>
            </w:r>
          </w:p>
        </w:tc>
        <w:tc>
          <w:tcPr>
            <w:tcW w:w="218" w:type="dxa"/>
            <w:tcBorders>
              <w:top w:val="nil"/>
              <w:left w:val="nil"/>
              <w:bottom w:val="single" w:sz="4" w:space="0" w:color="auto"/>
              <w:right w:val="single" w:sz="4" w:space="0" w:color="auto"/>
            </w:tcBorders>
            <w:shd w:val="clear" w:color="auto" w:fill="auto"/>
            <w:noWrap/>
            <w:vAlign w:val="bottom"/>
            <w:hideMark/>
          </w:tcPr>
          <w:p w14:paraId="63463AD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3407" w:type="dxa"/>
            <w:tcBorders>
              <w:top w:val="nil"/>
              <w:left w:val="nil"/>
              <w:bottom w:val="single" w:sz="4" w:space="0" w:color="auto"/>
              <w:right w:val="single" w:sz="4" w:space="0" w:color="auto"/>
            </w:tcBorders>
            <w:shd w:val="clear" w:color="auto" w:fill="auto"/>
            <w:noWrap/>
            <w:vAlign w:val="bottom"/>
            <w:hideMark/>
          </w:tcPr>
          <w:p w14:paraId="184B67F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Dispositif fiscal de suramortissement pour les engins non routiers utilisés par les entreprises du bâtiment et des travaux publics et les exploitants aéroportuaires tels que engins de piste des aéroports, matériels et outillages pour les opérations industrielles, matériels de manutention, fonctionnant à l'électricité, l'hydrogène et le gaz naturel</w:t>
            </w:r>
          </w:p>
        </w:tc>
        <w:tc>
          <w:tcPr>
            <w:tcW w:w="218" w:type="dxa"/>
            <w:tcBorders>
              <w:top w:val="nil"/>
              <w:left w:val="nil"/>
              <w:bottom w:val="single" w:sz="4" w:space="0" w:color="auto"/>
              <w:right w:val="single" w:sz="4" w:space="0" w:color="auto"/>
            </w:tcBorders>
            <w:shd w:val="clear" w:color="auto" w:fill="auto"/>
            <w:noWrap/>
            <w:vAlign w:val="bottom"/>
            <w:hideMark/>
          </w:tcPr>
          <w:p w14:paraId="1FDFB11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2021</w:t>
            </w:r>
          </w:p>
        </w:tc>
        <w:tc>
          <w:tcPr>
            <w:tcW w:w="1478" w:type="dxa"/>
            <w:tcBorders>
              <w:top w:val="nil"/>
              <w:left w:val="nil"/>
              <w:bottom w:val="single" w:sz="4" w:space="0" w:color="auto"/>
              <w:right w:val="single" w:sz="4" w:space="0" w:color="auto"/>
            </w:tcBorders>
            <w:shd w:val="clear" w:color="auto" w:fill="auto"/>
            <w:noWrap/>
            <w:vAlign w:val="bottom"/>
            <w:hideMark/>
          </w:tcPr>
          <w:p w14:paraId="6398A03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des finances(Government)</w:t>
            </w:r>
          </w:p>
        </w:tc>
        <w:tc>
          <w:tcPr>
            <w:tcW w:w="48" w:type="dxa"/>
            <w:tcBorders>
              <w:top w:val="nil"/>
              <w:left w:val="nil"/>
              <w:bottom w:val="single" w:sz="4" w:space="0" w:color="auto"/>
              <w:right w:val="single" w:sz="4" w:space="0" w:color="auto"/>
            </w:tcBorders>
            <w:shd w:val="clear" w:color="auto" w:fill="auto"/>
            <w:noWrap/>
            <w:vAlign w:val="bottom"/>
            <w:hideMark/>
          </w:tcPr>
          <w:p w14:paraId="7146F29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9D53C7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47D37F0"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2D7A71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23DF88AA"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183FD4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Réglementation environnementale 2020 (RE 2020) dans les bâtiments neufs</w:t>
            </w:r>
          </w:p>
        </w:tc>
        <w:tc>
          <w:tcPr>
            <w:tcW w:w="218" w:type="dxa"/>
            <w:tcBorders>
              <w:top w:val="nil"/>
              <w:left w:val="nil"/>
              <w:bottom w:val="single" w:sz="4" w:space="0" w:color="auto"/>
              <w:right w:val="single" w:sz="4" w:space="0" w:color="auto"/>
            </w:tcBorders>
            <w:shd w:val="clear" w:color="auto" w:fill="auto"/>
            <w:noWrap/>
            <w:vAlign w:val="bottom"/>
            <w:hideMark/>
          </w:tcPr>
          <w:p w14:paraId="3F983BC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4E39F08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(Building), Energy</w:t>
            </w:r>
          </w:p>
        </w:tc>
        <w:tc>
          <w:tcPr>
            <w:tcW w:w="340" w:type="dxa"/>
            <w:tcBorders>
              <w:top w:val="nil"/>
              <w:left w:val="nil"/>
              <w:bottom w:val="single" w:sz="4" w:space="0" w:color="auto"/>
              <w:right w:val="single" w:sz="4" w:space="0" w:color="auto"/>
            </w:tcBorders>
            <w:shd w:val="clear" w:color="auto" w:fill="auto"/>
            <w:noWrap/>
            <w:vAlign w:val="bottom"/>
            <w:hideMark/>
          </w:tcPr>
          <w:p w14:paraId="1FCC2E13"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771064F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AFF592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410C618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3060D2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La future réglementation environnementale dans la construction neuve (article 181 de la loi ELAN de 2018) et succède à la RT 2012 et met en place un standard environnemental innovant pour les bâtiments neufs, réunissant des exigences à la fois en matière de réduction de la consommation d’énergie, de développement des énergies renouvelables, et de prise en compte des émissions de gaz à effet de serre sur l’ensemble du cycle de vie du bâtiment (depuis sa construction jusqu’à sa démolition, en passant par son exploitation). La fixation des modalités de la future réglementation environnementale s’appuiera sur les retours de l’expérimentation  Bâtiments à Energie Positive &amp; Réduction Carbone (E+C-)  lancée fin 2016.</w:t>
            </w:r>
          </w:p>
        </w:tc>
        <w:tc>
          <w:tcPr>
            <w:tcW w:w="218" w:type="dxa"/>
            <w:tcBorders>
              <w:top w:val="nil"/>
              <w:left w:val="nil"/>
              <w:bottom w:val="single" w:sz="4" w:space="0" w:color="auto"/>
              <w:right w:val="single" w:sz="4" w:space="0" w:color="auto"/>
            </w:tcBorders>
            <w:shd w:val="clear" w:color="auto" w:fill="auto"/>
            <w:noWrap/>
            <w:vAlign w:val="bottom"/>
            <w:hideMark/>
          </w:tcPr>
          <w:p w14:paraId="6A34335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6FA3639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Ecologique(National government); Ministère de la Cohésion des Territoires(National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6A301B1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528BA0E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7 350,00</w:t>
            </w:r>
          </w:p>
        </w:tc>
        <w:tc>
          <w:tcPr>
            <w:tcW w:w="86" w:type="dxa"/>
            <w:tcBorders>
              <w:top w:val="nil"/>
              <w:left w:val="nil"/>
              <w:bottom w:val="single" w:sz="4" w:space="0" w:color="auto"/>
              <w:right w:val="single" w:sz="4" w:space="0" w:color="auto"/>
            </w:tcBorders>
            <w:shd w:val="clear" w:color="auto" w:fill="auto"/>
            <w:noWrap/>
            <w:vAlign w:val="bottom"/>
            <w:hideMark/>
          </w:tcPr>
          <w:p w14:paraId="51A8F1E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14 700,00</w:t>
            </w:r>
          </w:p>
        </w:tc>
        <w:tc>
          <w:tcPr>
            <w:tcW w:w="86" w:type="dxa"/>
            <w:tcBorders>
              <w:top w:val="nil"/>
              <w:left w:val="nil"/>
              <w:bottom w:val="single" w:sz="4" w:space="0" w:color="auto"/>
              <w:right w:val="single" w:sz="4" w:space="0" w:color="auto"/>
            </w:tcBorders>
            <w:shd w:val="clear" w:color="auto" w:fill="auto"/>
            <w:noWrap/>
            <w:vAlign w:val="bottom"/>
            <w:hideMark/>
          </w:tcPr>
          <w:p w14:paraId="5954C39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15 650,00</w:t>
            </w:r>
          </w:p>
        </w:tc>
      </w:tr>
      <w:tr w:rsidR="00A46044" w:rsidRPr="001808DF" w14:paraId="4A3BB96C"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18AA65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Obligation de rénovation des passoires énergétiques</w:t>
            </w:r>
          </w:p>
        </w:tc>
        <w:tc>
          <w:tcPr>
            <w:tcW w:w="218" w:type="dxa"/>
            <w:tcBorders>
              <w:top w:val="nil"/>
              <w:left w:val="nil"/>
              <w:bottom w:val="single" w:sz="4" w:space="0" w:color="auto"/>
              <w:right w:val="single" w:sz="4" w:space="0" w:color="auto"/>
            </w:tcBorders>
            <w:shd w:val="clear" w:color="auto" w:fill="auto"/>
            <w:noWrap/>
            <w:vAlign w:val="bottom"/>
            <w:hideMark/>
          </w:tcPr>
          <w:p w14:paraId="4F1B52F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664B540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(Building), Energy</w:t>
            </w:r>
          </w:p>
        </w:tc>
        <w:tc>
          <w:tcPr>
            <w:tcW w:w="340" w:type="dxa"/>
            <w:tcBorders>
              <w:top w:val="nil"/>
              <w:left w:val="nil"/>
              <w:bottom w:val="single" w:sz="4" w:space="0" w:color="auto"/>
              <w:right w:val="single" w:sz="4" w:space="0" w:color="auto"/>
            </w:tcBorders>
            <w:shd w:val="clear" w:color="auto" w:fill="auto"/>
            <w:noWrap/>
            <w:vAlign w:val="bottom"/>
            <w:hideMark/>
          </w:tcPr>
          <w:p w14:paraId="72E47400"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414318D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61BC44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 Information</w:t>
            </w:r>
          </w:p>
        </w:tc>
        <w:tc>
          <w:tcPr>
            <w:tcW w:w="218" w:type="dxa"/>
            <w:tcBorders>
              <w:top w:val="nil"/>
              <w:left w:val="nil"/>
              <w:bottom w:val="single" w:sz="4" w:space="0" w:color="auto"/>
              <w:right w:val="single" w:sz="4" w:space="0" w:color="auto"/>
            </w:tcBorders>
            <w:shd w:val="clear" w:color="auto" w:fill="auto"/>
            <w:noWrap/>
            <w:vAlign w:val="bottom"/>
            <w:hideMark/>
          </w:tcPr>
          <w:p w14:paraId="32465E3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Planned</w:t>
            </w:r>
          </w:p>
        </w:tc>
        <w:tc>
          <w:tcPr>
            <w:tcW w:w="3407" w:type="dxa"/>
            <w:tcBorders>
              <w:top w:val="nil"/>
              <w:left w:val="nil"/>
              <w:bottom w:val="single" w:sz="4" w:space="0" w:color="auto"/>
              <w:right w:val="single" w:sz="4" w:space="0" w:color="auto"/>
            </w:tcBorders>
            <w:shd w:val="clear" w:color="auto" w:fill="auto"/>
            <w:noWrap/>
            <w:vAlign w:val="bottom"/>
            <w:hideMark/>
          </w:tcPr>
          <w:p w14:paraId="50985BA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La loi énergie-climat de 2019 crée des obligations de rénovation des passoires énergétiques à horizon 2028.  Une première phase incitative prévoie l’obligation dès 2022 de réaliser un audit énergétique en cas de mise en vente ou location d’une passoire thermique, contenant des propositions de travaux adaptés au logement ainsi que leur coût estimé, et d’informer l’acquéreur ou locataire sur ses futures dépenses en énergie. Il est prévu dans une deuxième phase une obligation avant 2028 pour les propriétaires de passoires thermiques de réaliser des travaux d’amélioration de la performance énergétique de leur logement. </w:t>
            </w:r>
          </w:p>
        </w:tc>
        <w:tc>
          <w:tcPr>
            <w:tcW w:w="218" w:type="dxa"/>
            <w:tcBorders>
              <w:top w:val="nil"/>
              <w:left w:val="nil"/>
              <w:bottom w:val="single" w:sz="4" w:space="0" w:color="auto"/>
              <w:right w:val="single" w:sz="4" w:space="0" w:color="auto"/>
            </w:tcBorders>
            <w:shd w:val="clear" w:color="auto" w:fill="auto"/>
            <w:noWrap/>
            <w:vAlign w:val="bottom"/>
            <w:hideMark/>
          </w:tcPr>
          <w:p w14:paraId="0002394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705BC6B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 Ministère de la Cohésion des Territoires(National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0BE3FCC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464537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3 000,00</w:t>
            </w:r>
          </w:p>
        </w:tc>
        <w:tc>
          <w:tcPr>
            <w:tcW w:w="86" w:type="dxa"/>
            <w:tcBorders>
              <w:top w:val="nil"/>
              <w:left w:val="nil"/>
              <w:bottom w:val="single" w:sz="4" w:space="0" w:color="auto"/>
              <w:right w:val="single" w:sz="4" w:space="0" w:color="auto"/>
            </w:tcBorders>
            <w:shd w:val="clear" w:color="auto" w:fill="auto"/>
            <w:noWrap/>
            <w:vAlign w:val="bottom"/>
            <w:hideMark/>
          </w:tcPr>
          <w:p w14:paraId="57E24CB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6 000,00</w:t>
            </w:r>
          </w:p>
        </w:tc>
        <w:tc>
          <w:tcPr>
            <w:tcW w:w="86" w:type="dxa"/>
            <w:tcBorders>
              <w:top w:val="nil"/>
              <w:left w:val="nil"/>
              <w:bottom w:val="single" w:sz="4" w:space="0" w:color="auto"/>
              <w:right w:val="single" w:sz="4" w:space="0" w:color="auto"/>
            </w:tcBorders>
            <w:shd w:val="clear" w:color="auto" w:fill="auto"/>
            <w:noWrap/>
            <w:vAlign w:val="bottom"/>
            <w:hideMark/>
          </w:tcPr>
          <w:p w14:paraId="1FA64F4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471692C9"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045364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Volet "décarbonation de l'industrie" du plan France 2030</w:t>
            </w:r>
          </w:p>
        </w:tc>
        <w:tc>
          <w:tcPr>
            <w:tcW w:w="218" w:type="dxa"/>
            <w:tcBorders>
              <w:top w:val="nil"/>
              <w:left w:val="nil"/>
              <w:bottom w:val="single" w:sz="4" w:space="0" w:color="auto"/>
              <w:right w:val="single" w:sz="4" w:space="0" w:color="auto"/>
            </w:tcBorders>
            <w:shd w:val="clear" w:color="auto" w:fill="auto"/>
            <w:noWrap/>
            <w:vAlign w:val="bottom"/>
            <w:hideMark/>
          </w:tcPr>
          <w:p w14:paraId="2A403E0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7D984C4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Industry/industrial processes</w:t>
            </w:r>
          </w:p>
        </w:tc>
        <w:tc>
          <w:tcPr>
            <w:tcW w:w="340" w:type="dxa"/>
            <w:tcBorders>
              <w:top w:val="nil"/>
              <w:left w:val="nil"/>
              <w:bottom w:val="single" w:sz="4" w:space="0" w:color="auto"/>
              <w:right w:val="single" w:sz="4" w:space="0" w:color="auto"/>
            </w:tcBorders>
            <w:shd w:val="clear" w:color="auto" w:fill="auto"/>
            <w:noWrap/>
            <w:vAlign w:val="bottom"/>
            <w:hideMark/>
          </w:tcPr>
          <w:p w14:paraId="56B474A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(All GHGs)</w:t>
            </w:r>
          </w:p>
        </w:tc>
        <w:tc>
          <w:tcPr>
            <w:tcW w:w="469" w:type="dxa"/>
            <w:tcBorders>
              <w:top w:val="nil"/>
              <w:left w:val="nil"/>
              <w:bottom w:val="single" w:sz="4" w:space="0" w:color="auto"/>
              <w:right w:val="single" w:sz="4" w:space="0" w:color="auto"/>
            </w:tcBorders>
            <w:shd w:val="clear" w:color="auto" w:fill="auto"/>
            <w:noWrap/>
            <w:vAlign w:val="bottom"/>
            <w:hideMark/>
          </w:tcPr>
          <w:p w14:paraId="63EAF6C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809927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w:t>
            </w:r>
          </w:p>
        </w:tc>
        <w:tc>
          <w:tcPr>
            <w:tcW w:w="218" w:type="dxa"/>
            <w:tcBorders>
              <w:top w:val="nil"/>
              <w:left w:val="nil"/>
              <w:bottom w:val="single" w:sz="4" w:space="0" w:color="auto"/>
              <w:right w:val="single" w:sz="4" w:space="0" w:color="auto"/>
            </w:tcBorders>
            <w:shd w:val="clear" w:color="auto" w:fill="auto"/>
            <w:noWrap/>
            <w:vAlign w:val="bottom"/>
            <w:hideMark/>
          </w:tcPr>
          <w:p w14:paraId="3244FA8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Planned</w:t>
            </w:r>
          </w:p>
        </w:tc>
        <w:tc>
          <w:tcPr>
            <w:tcW w:w="3407" w:type="dxa"/>
            <w:tcBorders>
              <w:top w:val="nil"/>
              <w:left w:val="nil"/>
              <w:bottom w:val="single" w:sz="4" w:space="0" w:color="auto"/>
              <w:right w:val="single" w:sz="4" w:space="0" w:color="auto"/>
            </w:tcBorders>
            <w:shd w:val="clear" w:color="auto" w:fill="auto"/>
            <w:noWrap/>
            <w:vAlign w:val="bottom"/>
            <w:hideMark/>
          </w:tcPr>
          <w:p w14:paraId="1B4D082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plan d’investissement « France 2030 » prévoit de soutenir le déploiement de solutions de décarbonation de sites industriels à hauteur de 5 milliards d’euros sur la période 2022-2026 </w:t>
            </w:r>
          </w:p>
        </w:tc>
        <w:tc>
          <w:tcPr>
            <w:tcW w:w="218" w:type="dxa"/>
            <w:tcBorders>
              <w:top w:val="nil"/>
              <w:left w:val="nil"/>
              <w:bottom w:val="single" w:sz="4" w:space="0" w:color="auto"/>
              <w:right w:val="single" w:sz="4" w:space="0" w:color="auto"/>
            </w:tcBorders>
            <w:shd w:val="clear" w:color="auto" w:fill="auto"/>
            <w:noWrap/>
            <w:vAlign w:val="bottom"/>
            <w:hideMark/>
          </w:tcPr>
          <w:p w14:paraId="753FAA7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267ABA2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ADEME</w:t>
            </w:r>
          </w:p>
        </w:tc>
        <w:tc>
          <w:tcPr>
            <w:tcW w:w="48" w:type="dxa"/>
            <w:tcBorders>
              <w:top w:val="nil"/>
              <w:left w:val="nil"/>
              <w:bottom w:val="single" w:sz="4" w:space="0" w:color="auto"/>
              <w:right w:val="single" w:sz="4" w:space="0" w:color="auto"/>
            </w:tcBorders>
            <w:shd w:val="clear" w:color="auto" w:fill="auto"/>
            <w:noWrap/>
            <w:vAlign w:val="bottom"/>
            <w:hideMark/>
          </w:tcPr>
          <w:p w14:paraId="4D44ED0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846AEA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AA695C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3CCE91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6272D9DC"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809FFC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Stratégie d'accélération de la décarbonation de l'industrie du PIA4</w:t>
            </w:r>
          </w:p>
        </w:tc>
        <w:tc>
          <w:tcPr>
            <w:tcW w:w="218" w:type="dxa"/>
            <w:tcBorders>
              <w:top w:val="nil"/>
              <w:left w:val="nil"/>
              <w:bottom w:val="single" w:sz="4" w:space="0" w:color="auto"/>
              <w:right w:val="single" w:sz="4" w:space="0" w:color="auto"/>
            </w:tcBorders>
            <w:shd w:val="clear" w:color="auto" w:fill="auto"/>
            <w:noWrap/>
            <w:vAlign w:val="bottom"/>
            <w:hideMark/>
          </w:tcPr>
          <w:p w14:paraId="42A6A8E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0EAA421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Industry/industrial processes</w:t>
            </w:r>
          </w:p>
        </w:tc>
        <w:tc>
          <w:tcPr>
            <w:tcW w:w="340" w:type="dxa"/>
            <w:tcBorders>
              <w:top w:val="nil"/>
              <w:left w:val="nil"/>
              <w:bottom w:val="single" w:sz="4" w:space="0" w:color="auto"/>
              <w:right w:val="single" w:sz="4" w:space="0" w:color="auto"/>
            </w:tcBorders>
            <w:shd w:val="clear" w:color="auto" w:fill="auto"/>
            <w:noWrap/>
            <w:vAlign w:val="bottom"/>
            <w:hideMark/>
          </w:tcPr>
          <w:p w14:paraId="34B6519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Other (All GHGs)</w:t>
            </w:r>
          </w:p>
        </w:tc>
        <w:tc>
          <w:tcPr>
            <w:tcW w:w="469" w:type="dxa"/>
            <w:tcBorders>
              <w:top w:val="nil"/>
              <w:left w:val="nil"/>
              <w:bottom w:val="single" w:sz="4" w:space="0" w:color="auto"/>
              <w:right w:val="single" w:sz="4" w:space="0" w:color="auto"/>
            </w:tcBorders>
            <w:shd w:val="clear" w:color="auto" w:fill="auto"/>
            <w:noWrap/>
            <w:vAlign w:val="bottom"/>
            <w:hideMark/>
          </w:tcPr>
          <w:p w14:paraId="5164AA2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1DE1738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 Research</w:t>
            </w:r>
          </w:p>
        </w:tc>
        <w:tc>
          <w:tcPr>
            <w:tcW w:w="218" w:type="dxa"/>
            <w:tcBorders>
              <w:top w:val="nil"/>
              <w:left w:val="nil"/>
              <w:bottom w:val="single" w:sz="4" w:space="0" w:color="auto"/>
              <w:right w:val="single" w:sz="4" w:space="0" w:color="auto"/>
            </w:tcBorders>
            <w:shd w:val="clear" w:color="auto" w:fill="auto"/>
            <w:noWrap/>
            <w:vAlign w:val="bottom"/>
            <w:hideMark/>
          </w:tcPr>
          <w:p w14:paraId="6D19496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Implemented</w:t>
            </w:r>
          </w:p>
        </w:tc>
        <w:tc>
          <w:tcPr>
            <w:tcW w:w="3407" w:type="dxa"/>
            <w:tcBorders>
              <w:top w:val="nil"/>
              <w:left w:val="nil"/>
              <w:bottom w:val="single" w:sz="4" w:space="0" w:color="auto"/>
              <w:right w:val="single" w:sz="4" w:space="0" w:color="auto"/>
            </w:tcBorders>
            <w:shd w:val="clear" w:color="auto" w:fill="auto"/>
            <w:noWrap/>
            <w:vAlign w:val="bottom"/>
            <w:hideMark/>
          </w:tcPr>
          <w:p w14:paraId="7E219B9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Dans le cadre du PIA4 (4ème programme des investissements d’avenir), une stratégie d’accélération de la décarbonation de l’industrie a été élaborée. Elle prévoit de consacrer une enveloppe de 610 millions d’euros au déploiement de dispositifs d’aide couvrant l’ensemble de la chaîne d’innovation et d’industrialisation - du concept de laboratoire préparant les technologies en rupture de la prochaine décennie à l’innovation incrémentale qui pourra être déployée à court terme, à l’industrialisation de la technologie et son accès au marché -, pour assurer un continuum des financements</w:t>
            </w:r>
          </w:p>
        </w:tc>
        <w:tc>
          <w:tcPr>
            <w:tcW w:w="218" w:type="dxa"/>
            <w:tcBorders>
              <w:top w:val="nil"/>
              <w:left w:val="nil"/>
              <w:bottom w:val="single" w:sz="4" w:space="0" w:color="auto"/>
              <w:right w:val="single" w:sz="4" w:space="0" w:color="auto"/>
            </w:tcBorders>
            <w:shd w:val="clear" w:color="auto" w:fill="auto"/>
            <w:noWrap/>
            <w:vAlign w:val="bottom"/>
            <w:hideMark/>
          </w:tcPr>
          <w:p w14:paraId="6A5B632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4EF77A8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ADEME</w:t>
            </w:r>
          </w:p>
        </w:tc>
        <w:tc>
          <w:tcPr>
            <w:tcW w:w="48" w:type="dxa"/>
            <w:tcBorders>
              <w:top w:val="nil"/>
              <w:left w:val="nil"/>
              <w:bottom w:val="single" w:sz="4" w:space="0" w:color="auto"/>
              <w:right w:val="single" w:sz="4" w:space="0" w:color="auto"/>
            </w:tcBorders>
            <w:shd w:val="clear" w:color="auto" w:fill="auto"/>
            <w:noWrap/>
            <w:vAlign w:val="bottom"/>
            <w:hideMark/>
          </w:tcPr>
          <w:p w14:paraId="0725539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E04453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4E0DAE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13B7E8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60E1863A"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B1CC9AD"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Compensation des émissions des vols intérieur </w:t>
            </w:r>
          </w:p>
        </w:tc>
        <w:tc>
          <w:tcPr>
            <w:tcW w:w="218" w:type="dxa"/>
            <w:tcBorders>
              <w:top w:val="nil"/>
              <w:left w:val="nil"/>
              <w:bottom w:val="single" w:sz="4" w:space="0" w:color="auto"/>
              <w:right w:val="single" w:sz="4" w:space="0" w:color="auto"/>
            </w:tcBorders>
            <w:shd w:val="clear" w:color="auto" w:fill="auto"/>
            <w:noWrap/>
            <w:vAlign w:val="bottom"/>
            <w:hideMark/>
          </w:tcPr>
          <w:p w14:paraId="4A71E7B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0ED3005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4FBFFD0A"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135B4BC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0765D9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47F15D5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1195E91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projet de loi climat et résilence de 2021 va rendre obligatoire pour tous les opérateurs aériens la compensation carbone des émissions des vols intérieurs métropolitains ainsi que, sur une base volontaire, celle pour les vols depuis et vers l’outre-mer. Un calendrier progressif de mise en oeuvre est appliqué, pour un début de mise en application dès 2022 et une compensation de 100 % des émissions en 2024. Par ailleurs, afin de garantir le bénéfice environnemental de la mesure, les types de crédits carbone pouvant être utilisés seront encadrés, et favoriseront notamment les puits de carbone et les projets soutenus sur le territoire des États membres de l’Union européenne.</w:t>
            </w:r>
          </w:p>
        </w:tc>
        <w:tc>
          <w:tcPr>
            <w:tcW w:w="218" w:type="dxa"/>
            <w:tcBorders>
              <w:top w:val="nil"/>
              <w:left w:val="nil"/>
              <w:bottom w:val="single" w:sz="4" w:space="0" w:color="auto"/>
              <w:right w:val="single" w:sz="4" w:space="0" w:color="auto"/>
            </w:tcBorders>
            <w:shd w:val="clear" w:color="auto" w:fill="auto"/>
            <w:noWrap/>
            <w:vAlign w:val="bottom"/>
            <w:hideMark/>
          </w:tcPr>
          <w:p w14:paraId="3F1C943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466FC36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(Government)</w:t>
            </w:r>
          </w:p>
        </w:tc>
        <w:tc>
          <w:tcPr>
            <w:tcW w:w="48" w:type="dxa"/>
            <w:tcBorders>
              <w:top w:val="nil"/>
              <w:left w:val="nil"/>
              <w:bottom w:val="single" w:sz="4" w:space="0" w:color="auto"/>
              <w:right w:val="single" w:sz="4" w:space="0" w:color="auto"/>
            </w:tcBorders>
            <w:shd w:val="clear" w:color="auto" w:fill="auto"/>
            <w:noWrap/>
            <w:vAlign w:val="bottom"/>
            <w:hideMark/>
          </w:tcPr>
          <w:p w14:paraId="48A8E93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1307BAC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A95F97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68FACB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241A3437"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6E73D2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Interdiction des avions publicitaires</w:t>
            </w:r>
          </w:p>
        </w:tc>
        <w:tc>
          <w:tcPr>
            <w:tcW w:w="218" w:type="dxa"/>
            <w:tcBorders>
              <w:top w:val="nil"/>
              <w:left w:val="nil"/>
              <w:bottom w:val="single" w:sz="4" w:space="0" w:color="auto"/>
              <w:right w:val="single" w:sz="4" w:space="0" w:color="auto"/>
            </w:tcBorders>
            <w:shd w:val="clear" w:color="auto" w:fill="auto"/>
            <w:noWrap/>
            <w:vAlign w:val="bottom"/>
            <w:hideMark/>
          </w:tcPr>
          <w:p w14:paraId="3022ECF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46E8D495"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340" w:type="dxa"/>
            <w:tcBorders>
              <w:top w:val="nil"/>
              <w:left w:val="nil"/>
              <w:bottom w:val="single" w:sz="4" w:space="0" w:color="auto"/>
              <w:right w:val="single" w:sz="4" w:space="0" w:color="auto"/>
            </w:tcBorders>
            <w:shd w:val="clear" w:color="auto" w:fill="auto"/>
            <w:noWrap/>
            <w:vAlign w:val="bottom"/>
            <w:hideMark/>
          </w:tcPr>
          <w:p w14:paraId="6D303BB5"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6E6F77F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559A66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1B50AFE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0178200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Les avions publicitaires sont interdits dans le cadre du projet de loi climat et résilience</w:t>
            </w:r>
          </w:p>
        </w:tc>
        <w:tc>
          <w:tcPr>
            <w:tcW w:w="218" w:type="dxa"/>
            <w:tcBorders>
              <w:top w:val="nil"/>
              <w:left w:val="nil"/>
              <w:bottom w:val="single" w:sz="4" w:space="0" w:color="auto"/>
              <w:right w:val="single" w:sz="4" w:space="0" w:color="auto"/>
            </w:tcBorders>
            <w:shd w:val="clear" w:color="auto" w:fill="auto"/>
            <w:noWrap/>
            <w:vAlign w:val="bottom"/>
            <w:hideMark/>
          </w:tcPr>
          <w:p w14:paraId="7870BB5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17CF4DC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écologique(Government)</w:t>
            </w:r>
          </w:p>
        </w:tc>
        <w:tc>
          <w:tcPr>
            <w:tcW w:w="48" w:type="dxa"/>
            <w:tcBorders>
              <w:top w:val="nil"/>
              <w:left w:val="nil"/>
              <w:bottom w:val="single" w:sz="4" w:space="0" w:color="auto"/>
              <w:right w:val="single" w:sz="4" w:space="0" w:color="auto"/>
            </w:tcBorders>
            <w:shd w:val="clear" w:color="auto" w:fill="auto"/>
            <w:noWrap/>
            <w:vAlign w:val="bottom"/>
            <w:hideMark/>
          </w:tcPr>
          <w:p w14:paraId="06E681A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5409121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B0843E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0721508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29BC18F4"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C51E32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Obligation d'incorporation de biocarburants dans les carburants aéronautiques</w:t>
            </w:r>
          </w:p>
        </w:tc>
        <w:tc>
          <w:tcPr>
            <w:tcW w:w="218" w:type="dxa"/>
            <w:tcBorders>
              <w:top w:val="nil"/>
              <w:left w:val="nil"/>
              <w:bottom w:val="single" w:sz="4" w:space="0" w:color="auto"/>
              <w:right w:val="single" w:sz="4" w:space="0" w:color="auto"/>
            </w:tcBorders>
            <w:shd w:val="clear" w:color="auto" w:fill="auto"/>
            <w:noWrap/>
            <w:vAlign w:val="bottom"/>
            <w:hideMark/>
          </w:tcPr>
          <w:p w14:paraId="0C84C38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5C4D38B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198623FF"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4A1F9AB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980523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0ADE4CF1"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0D3A67E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Les carburants d'aviation font l'objet d'une obligation d'incorporation (1% à compter de 2022)</w:t>
            </w:r>
          </w:p>
        </w:tc>
        <w:tc>
          <w:tcPr>
            <w:tcW w:w="218" w:type="dxa"/>
            <w:tcBorders>
              <w:top w:val="nil"/>
              <w:left w:val="nil"/>
              <w:bottom w:val="single" w:sz="4" w:space="0" w:color="auto"/>
              <w:right w:val="single" w:sz="4" w:space="0" w:color="auto"/>
            </w:tcBorders>
            <w:shd w:val="clear" w:color="auto" w:fill="auto"/>
            <w:noWrap/>
            <w:vAlign w:val="bottom"/>
            <w:hideMark/>
          </w:tcPr>
          <w:p w14:paraId="14B2000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0BB731C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écologique(Government)</w:t>
            </w:r>
          </w:p>
        </w:tc>
        <w:tc>
          <w:tcPr>
            <w:tcW w:w="48" w:type="dxa"/>
            <w:tcBorders>
              <w:top w:val="nil"/>
              <w:left w:val="nil"/>
              <w:bottom w:val="single" w:sz="4" w:space="0" w:color="auto"/>
              <w:right w:val="single" w:sz="4" w:space="0" w:color="auto"/>
            </w:tcBorders>
            <w:shd w:val="clear" w:color="auto" w:fill="auto"/>
            <w:noWrap/>
            <w:vAlign w:val="bottom"/>
            <w:hideMark/>
          </w:tcPr>
          <w:p w14:paraId="0DFE86F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788BED51"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2B1C42D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63D539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7901A081"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016078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Plan de relance aéronautique - soutien à l'innovation verte dans l'aviation</w:t>
            </w:r>
          </w:p>
        </w:tc>
        <w:tc>
          <w:tcPr>
            <w:tcW w:w="218" w:type="dxa"/>
            <w:tcBorders>
              <w:top w:val="nil"/>
              <w:left w:val="nil"/>
              <w:bottom w:val="single" w:sz="4" w:space="0" w:color="auto"/>
              <w:right w:val="single" w:sz="4" w:space="0" w:color="auto"/>
            </w:tcBorders>
            <w:shd w:val="clear" w:color="auto" w:fill="auto"/>
            <w:noWrap/>
            <w:vAlign w:val="bottom"/>
            <w:hideMark/>
          </w:tcPr>
          <w:p w14:paraId="582AC8E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7C6A85C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1D9C3702"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0CF7154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7DF81E8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Research</w:t>
            </w:r>
          </w:p>
        </w:tc>
        <w:tc>
          <w:tcPr>
            <w:tcW w:w="218" w:type="dxa"/>
            <w:tcBorders>
              <w:top w:val="nil"/>
              <w:left w:val="nil"/>
              <w:bottom w:val="single" w:sz="4" w:space="0" w:color="auto"/>
              <w:right w:val="single" w:sz="4" w:space="0" w:color="auto"/>
            </w:tcBorders>
            <w:shd w:val="clear" w:color="auto" w:fill="auto"/>
            <w:noWrap/>
            <w:vAlign w:val="bottom"/>
            <w:hideMark/>
          </w:tcPr>
          <w:p w14:paraId="32B91EA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02D9CA4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plan de relance pour l'aéronautique inclut 1,5 Mds€ de soutien pour l'avion vert</w:t>
            </w:r>
          </w:p>
        </w:tc>
        <w:tc>
          <w:tcPr>
            <w:tcW w:w="218" w:type="dxa"/>
            <w:tcBorders>
              <w:top w:val="nil"/>
              <w:left w:val="nil"/>
              <w:bottom w:val="single" w:sz="4" w:space="0" w:color="auto"/>
              <w:right w:val="single" w:sz="4" w:space="0" w:color="auto"/>
            </w:tcBorders>
            <w:shd w:val="clear" w:color="auto" w:fill="auto"/>
            <w:noWrap/>
            <w:vAlign w:val="bottom"/>
            <w:hideMark/>
          </w:tcPr>
          <w:p w14:paraId="7830F46E"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091E117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écologique(Government)</w:t>
            </w:r>
          </w:p>
        </w:tc>
        <w:tc>
          <w:tcPr>
            <w:tcW w:w="48" w:type="dxa"/>
            <w:tcBorders>
              <w:top w:val="nil"/>
              <w:left w:val="nil"/>
              <w:bottom w:val="single" w:sz="4" w:space="0" w:color="auto"/>
              <w:right w:val="single" w:sz="4" w:space="0" w:color="auto"/>
            </w:tcBorders>
            <w:shd w:val="clear" w:color="auto" w:fill="auto"/>
            <w:noWrap/>
            <w:vAlign w:val="bottom"/>
            <w:hideMark/>
          </w:tcPr>
          <w:p w14:paraId="61916D47"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231A359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3F86411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1C7CC0E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1CAB8B69"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E776A5A"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Mesures en faveur du ferroviaire (voyageurs et marchandises) actées dand le cadre du Plan de relance</w:t>
            </w:r>
          </w:p>
        </w:tc>
        <w:tc>
          <w:tcPr>
            <w:tcW w:w="218" w:type="dxa"/>
            <w:tcBorders>
              <w:top w:val="nil"/>
              <w:left w:val="nil"/>
              <w:bottom w:val="single" w:sz="4" w:space="0" w:color="auto"/>
              <w:right w:val="single" w:sz="4" w:space="0" w:color="auto"/>
            </w:tcBorders>
            <w:shd w:val="clear" w:color="auto" w:fill="auto"/>
            <w:noWrap/>
            <w:vAlign w:val="bottom"/>
            <w:hideMark/>
          </w:tcPr>
          <w:p w14:paraId="5637D157"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3666DDD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Transport</w:t>
            </w:r>
          </w:p>
        </w:tc>
        <w:tc>
          <w:tcPr>
            <w:tcW w:w="340" w:type="dxa"/>
            <w:tcBorders>
              <w:top w:val="nil"/>
              <w:left w:val="nil"/>
              <w:bottom w:val="single" w:sz="4" w:space="0" w:color="auto"/>
              <w:right w:val="single" w:sz="4" w:space="0" w:color="auto"/>
            </w:tcBorders>
            <w:shd w:val="clear" w:color="auto" w:fill="auto"/>
            <w:noWrap/>
            <w:vAlign w:val="bottom"/>
            <w:hideMark/>
          </w:tcPr>
          <w:p w14:paraId="2359FFF0"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4EBC6ACF"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2D5A7220"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w:t>
            </w:r>
          </w:p>
        </w:tc>
        <w:tc>
          <w:tcPr>
            <w:tcW w:w="218" w:type="dxa"/>
            <w:tcBorders>
              <w:top w:val="nil"/>
              <w:left w:val="nil"/>
              <w:bottom w:val="single" w:sz="4" w:space="0" w:color="auto"/>
              <w:right w:val="single" w:sz="4" w:space="0" w:color="auto"/>
            </w:tcBorders>
            <w:shd w:val="clear" w:color="auto" w:fill="auto"/>
            <w:noWrap/>
            <w:vAlign w:val="bottom"/>
            <w:hideMark/>
          </w:tcPr>
          <w:p w14:paraId="01D8F0D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7A9B6ECB"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Le plan de relance a acté un  ensemble de mesures en faveur du ferroviaire (regénération de lignes, mesures en faveur du fret) pour un montant de 4,7 Mds € d'investissement</w:t>
            </w:r>
          </w:p>
        </w:tc>
        <w:tc>
          <w:tcPr>
            <w:tcW w:w="218" w:type="dxa"/>
            <w:tcBorders>
              <w:top w:val="nil"/>
              <w:left w:val="nil"/>
              <w:bottom w:val="single" w:sz="4" w:space="0" w:color="auto"/>
              <w:right w:val="single" w:sz="4" w:space="0" w:color="auto"/>
            </w:tcBorders>
            <w:shd w:val="clear" w:color="auto" w:fill="auto"/>
            <w:noWrap/>
            <w:vAlign w:val="bottom"/>
            <w:hideMark/>
          </w:tcPr>
          <w:p w14:paraId="37F65F08"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01A8751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écologique (Government)</w:t>
            </w:r>
          </w:p>
        </w:tc>
        <w:tc>
          <w:tcPr>
            <w:tcW w:w="48" w:type="dxa"/>
            <w:tcBorders>
              <w:top w:val="nil"/>
              <w:left w:val="nil"/>
              <w:bottom w:val="single" w:sz="4" w:space="0" w:color="auto"/>
              <w:right w:val="single" w:sz="4" w:space="0" w:color="auto"/>
            </w:tcBorders>
            <w:shd w:val="clear" w:color="auto" w:fill="auto"/>
            <w:noWrap/>
            <w:vAlign w:val="bottom"/>
            <w:hideMark/>
          </w:tcPr>
          <w:p w14:paraId="36A0121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35E32BC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6712C59C"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5633CF7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54C2E2B5"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C0FF9E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Volet forestier du Plan d'investissement France 2030</w:t>
            </w:r>
          </w:p>
        </w:tc>
        <w:tc>
          <w:tcPr>
            <w:tcW w:w="218" w:type="dxa"/>
            <w:tcBorders>
              <w:top w:val="nil"/>
              <w:left w:val="nil"/>
              <w:bottom w:val="single" w:sz="4" w:space="0" w:color="auto"/>
              <w:right w:val="single" w:sz="4" w:space="0" w:color="auto"/>
            </w:tcBorders>
            <w:shd w:val="clear" w:color="auto" w:fill="auto"/>
            <w:noWrap/>
            <w:vAlign w:val="bottom"/>
            <w:hideMark/>
          </w:tcPr>
          <w:p w14:paraId="0BF427E9"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30ABC04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Forestry/LULUCF</w:t>
            </w:r>
          </w:p>
        </w:tc>
        <w:tc>
          <w:tcPr>
            <w:tcW w:w="340" w:type="dxa"/>
            <w:tcBorders>
              <w:top w:val="nil"/>
              <w:left w:val="nil"/>
              <w:bottom w:val="single" w:sz="4" w:space="0" w:color="auto"/>
              <w:right w:val="single" w:sz="4" w:space="0" w:color="auto"/>
            </w:tcBorders>
            <w:shd w:val="clear" w:color="auto" w:fill="auto"/>
            <w:noWrap/>
            <w:vAlign w:val="bottom"/>
            <w:hideMark/>
          </w:tcPr>
          <w:p w14:paraId="47FC4B32"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34DD8A1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3208694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Economic, Research</w:t>
            </w:r>
          </w:p>
        </w:tc>
        <w:tc>
          <w:tcPr>
            <w:tcW w:w="218" w:type="dxa"/>
            <w:tcBorders>
              <w:top w:val="nil"/>
              <w:left w:val="nil"/>
              <w:bottom w:val="single" w:sz="4" w:space="0" w:color="auto"/>
              <w:right w:val="single" w:sz="4" w:space="0" w:color="auto"/>
            </w:tcBorders>
            <w:shd w:val="clear" w:color="auto" w:fill="auto"/>
            <w:noWrap/>
            <w:vAlign w:val="bottom"/>
            <w:hideMark/>
          </w:tcPr>
          <w:p w14:paraId="07BBB47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470713B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xml:space="preserve">Dans le cadre du plan France 2030, 500 M€ sont dédiés aux forêts françaises, avec les priorités suivantes : opérations de renouvellement forestier (200 M€ y seront dédiés), renforcement et modernisation de l’appareil de production au service du développement du bois construction, développement d’une chaîne de production performante et innovante, développement des débouchés pour tous les co-produits du bois est soutenu via un plan cellulose permettant de créer de nouveaux débouchés : production d’énergie, valorisation de la cellulose par la chimie verte, etc. </w:t>
            </w:r>
          </w:p>
        </w:tc>
        <w:tc>
          <w:tcPr>
            <w:tcW w:w="218" w:type="dxa"/>
            <w:tcBorders>
              <w:top w:val="nil"/>
              <w:left w:val="nil"/>
              <w:bottom w:val="single" w:sz="4" w:space="0" w:color="auto"/>
              <w:right w:val="single" w:sz="4" w:space="0" w:color="auto"/>
            </w:tcBorders>
            <w:shd w:val="clear" w:color="auto" w:fill="auto"/>
            <w:noWrap/>
            <w:vAlign w:val="bottom"/>
            <w:hideMark/>
          </w:tcPr>
          <w:p w14:paraId="758D4A0B"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485E8906"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6DBB7CED"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4CB47074"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414B02C2"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86" w:type="dxa"/>
            <w:tcBorders>
              <w:top w:val="nil"/>
              <w:left w:val="nil"/>
              <w:bottom w:val="single" w:sz="4" w:space="0" w:color="auto"/>
              <w:right w:val="single" w:sz="4" w:space="0" w:color="auto"/>
            </w:tcBorders>
            <w:shd w:val="clear" w:color="auto" w:fill="auto"/>
            <w:noWrap/>
            <w:vAlign w:val="bottom"/>
            <w:hideMark/>
          </w:tcPr>
          <w:p w14:paraId="75B5A68A"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r>
      <w:tr w:rsidR="00A46044" w:rsidRPr="001808DF" w14:paraId="55F05EE8" w14:textId="77777777" w:rsidTr="009765CE">
        <w:trPr>
          <w:trHeight w:val="255"/>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3802D3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Dispositif éco-énergie tertiaire (dit "décret tertiaire")</w:t>
            </w:r>
          </w:p>
        </w:tc>
        <w:tc>
          <w:tcPr>
            <w:tcW w:w="218" w:type="dxa"/>
            <w:tcBorders>
              <w:top w:val="nil"/>
              <w:left w:val="nil"/>
              <w:bottom w:val="single" w:sz="4" w:space="0" w:color="auto"/>
              <w:right w:val="single" w:sz="4" w:space="0" w:color="auto"/>
            </w:tcBorders>
            <w:shd w:val="clear" w:color="auto" w:fill="auto"/>
            <w:noWrap/>
            <w:vAlign w:val="bottom"/>
            <w:hideMark/>
          </w:tcPr>
          <w:p w14:paraId="775393A8"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No</w:t>
            </w:r>
          </w:p>
        </w:tc>
        <w:tc>
          <w:tcPr>
            <w:tcW w:w="369" w:type="dxa"/>
            <w:tcBorders>
              <w:top w:val="nil"/>
              <w:left w:val="nil"/>
              <w:bottom w:val="single" w:sz="4" w:space="0" w:color="auto"/>
              <w:right w:val="single" w:sz="4" w:space="0" w:color="auto"/>
            </w:tcBorders>
            <w:shd w:val="clear" w:color="auto" w:fill="auto"/>
            <w:noWrap/>
            <w:vAlign w:val="bottom"/>
            <w:hideMark/>
          </w:tcPr>
          <w:p w14:paraId="5C549DD3"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Energy</w:t>
            </w:r>
          </w:p>
        </w:tc>
        <w:tc>
          <w:tcPr>
            <w:tcW w:w="340" w:type="dxa"/>
            <w:tcBorders>
              <w:top w:val="nil"/>
              <w:left w:val="nil"/>
              <w:bottom w:val="single" w:sz="4" w:space="0" w:color="auto"/>
              <w:right w:val="single" w:sz="4" w:space="0" w:color="auto"/>
            </w:tcBorders>
            <w:shd w:val="clear" w:color="auto" w:fill="auto"/>
            <w:noWrap/>
            <w:vAlign w:val="bottom"/>
            <w:hideMark/>
          </w:tcPr>
          <w:p w14:paraId="353782FE" w14:textId="77777777" w:rsidR="00A46044" w:rsidRPr="001808DF" w:rsidRDefault="00A46044" w:rsidP="009765CE">
            <w:pPr>
              <w:jc w:val="left"/>
              <w:rPr>
                <w:rFonts w:ascii="Arial" w:hAnsi="Arial" w:cs="Arial"/>
                <w:color w:val="000000"/>
                <w:sz w:val="16"/>
                <w:szCs w:val="16"/>
              </w:rPr>
            </w:pPr>
            <w:r w:rsidRPr="001808DF">
              <w:rPr>
                <w:sz w:val="16"/>
                <w:szCs w:val="16"/>
              </w:rPr>
              <w:t>CO</w:t>
            </w:r>
            <w:r w:rsidRPr="001808DF">
              <w:rPr>
                <w:sz w:val="16"/>
                <w:szCs w:val="16"/>
                <w:vertAlign w:val="subscript"/>
              </w:rPr>
              <w:t>2</w:t>
            </w:r>
          </w:p>
        </w:tc>
        <w:tc>
          <w:tcPr>
            <w:tcW w:w="469" w:type="dxa"/>
            <w:tcBorders>
              <w:top w:val="nil"/>
              <w:left w:val="nil"/>
              <w:bottom w:val="single" w:sz="4" w:space="0" w:color="auto"/>
              <w:right w:val="single" w:sz="4" w:space="0" w:color="auto"/>
            </w:tcBorders>
            <w:shd w:val="clear" w:color="auto" w:fill="auto"/>
            <w:noWrap/>
            <w:vAlign w:val="bottom"/>
            <w:hideMark/>
          </w:tcPr>
          <w:p w14:paraId="2DA90DDC"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 </w:t>
            </w:r>
          </w:p>
        </w:tc>
        <w:tc>
          <w:tcPr>
            <w:tcW w:w="459" w:type="dxa"/>
            <w:tcBorders>
              <w:top w:val="nil"/>
              <w:left w:val="nil"/>
              <w:bottom w:val="single" w:sz="4" w:space="0" w:color="auto"/>
              <w:right w:val="single" w:sz="4" w:space="0" w:color="auto"/>
            </w:tcBorders>
            <w:shd w:val="clear" w:color="auto" w:fill="auto"/>
            <w:noWrap/>
            <w:vAlign w:val="bottom"/>
            <w:hideMark/>
          </w:tcPr>
          <w:p w14:paraId="4985849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Regulatory</w:t>
            </w:r>
          </w:p>
        </w:tc>
        <w:tc>
          <w:tcPr>
            <w:tcW w:w="218" w:type="dxa"/>
            <w:tcBorders>
              <w:top w:val="nil"/>
              <w:left w:val="nil"/>
              <w:bottom w:val="single" w:sz="4" w:space="0" w:color="auto"/>
              <w:right w:val="single" w:sz="4" w:space="0" w:color="auto"/>
            </w:tcBorders>
            <w:shd w:val="clear" w:color="auto" w:fill="auto"/>
            <w:noWrap/>
            <w:vAlign w:val="bottom"/>
            <w:hideMark/>
          </w:tcPr>
          <w:p w14:paraId="223D771E"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Adopted</w:t>
            </w:r>
          </w:p>
        </w:tc>
        <w:tc>
          <w:tcPr>
            <w:tcW w:w="3407" w:type="dxa"/>
            <w:tcBorders>
              <w:top w:val="nil"/>
              <w:left w:val="nil"/>
              <w:bottom w:val="single" w:sz="4" w:space="0" w:color="auto"/>
              <w:right w:val="single" w:sz="4" w:space="0" w:color="auto"/>
            </w:tcBorders>
            <w:shd w:val="clear" w:color="auto" w:fill="auto"/>
            <w:noWrap/>
            <w:vAlign w:val="bottom"/>
            <w:hideMark/>
          </w:tcPr>
          <w:p w14:paraId="2B0F8BF2"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Cette obligation prévue par la loi ELAN et précisée par décret oblige les entreprises et administrations à réduire la consommation énergétique de leurs locaux tertiaires, dès lors que leur surface est supérieure à 1000m², de 40% en 2030, 50% en 2040, 60% en 2050.</w:t>
            </w:r>
          </w:p>
        </w:tc>
        <w:tc>
          <w:tcPr>
            <w:tcW w:w="218" w:type="dxa"/>
            <w:tcBorders>
              <w:top w:val="nil"/>
              <w:left w:val="nil"/>
              <w:bottom w:val="single" w:sz="4" w:space="0" w:color="auto"/>
              <w:right w:val="single" w:sz="4" w:space="0" w:color="auto"/>
            </w:tcBorders>
            <w:shd w:val="clear" w:color="auto" w:fill="auto"/>
            <w:noWrap/>
            <w:vAlign w:val="bottom"/>
            <w:hideMark/>
          </w:tcPr>
          <w:p w14:paraId="0E7898C9"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2022</w:t>
            </w:r>
          </w:p>
        </w:tc>
        <w:tc>
          <w:tcPr>
            <w:tcW w:w="1478" w:type="dxa"/>
            <w:tcBorders>
              <w:top w:val="nil"/>
              <w:left w:val="nil"/>
              <w:bottom w:val="single" w:sz="4" w:space="0" w:color="auto"/>
              <w:right w:val="single" w:sz="4" w:space="0" w:color="auto"/>
            </w:tcBorders>
            <w:shd w:val="clear" w:color="auto" w:fill="auto"/>
            <w:noWrap/>
            <w:vAlign w:val="bottom"/>
            <w:hideMark/>
          </w:tcPr>
          <w:p w14:paraId="438A10A4" w14:textId="77777777" w:rsidR="00A46044" w:rsidRPr="001808DF" w:rsidRDefault="00A46044" w:rsidP="009765CE">
            <w:pPr>
              <w:jc w:val="left"/>
              <w:rPr>
                <w:rFonts w:ascii="Arial" w:hAnsi="Arial" w:cs="Arial"/>
                <w:color w:val="000000"/>
                <w:sz w:val="16"/>
                <w:szCs w:val="16"/>
              </w:rPr>
            </w:pPr>
            <w:r w:rsidRPr="001808DF">
              <w:rPr>
                <w:rFonts w:ascii="Arial" w:hAnsi="Arial" w:cs="Arial"/>
                <w:color w:val="000000"/>
                <w:sz w:val="16"/>
                <w:szCs w:val="16"/>
              </w:rPr>
              <w:t>Ministère de la Transition Ecologique (National government)(National government)</w:t>
            </w:r>
          </w:p>
        </w:tc>
        <w:tc>
          <w:tcPr>
            <w:tcW w:w="48" w:type="dxa"/>
            <w:tcBorders>
              <w:top w:val="nil"/>
              <w:left w:val="nil"/>
              <w:bottom w:val="single" w:sz="4" w:space="0" w:color="auto"/>
              <w:right w:val="single" w:sz="4" w:space="0" w:color="auto"/>
            </w:tcBorders>
            <w:shd w:val="clear" w:color="auto" w:fill="auto"/>
            <w:noWrap/>
            <w:vAlign w:val="bottom"/>
            <w:hideMark/>
          </w:tcPr>
          <w:p w14:paraId="22AD3135"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 </w:t>
            </w:r>
          </w:p>
        </w:tc>
        <w:tc>
          <w:tcPr>
            <w:tcW w:w="77" w:type="dxa"/>
            <w:tcBorders>
              <w:top w:val="nil"/>
              <w:left w:val="nil"/>
              <w:bottom w:val="single" w:sz="4" w:space="0" w:color="auto"/>
              <w:right w:val="single" w:sz="4" w:space="0" w:color="auto"/>
            </w:tcBorders>
            <w:shd w:val="clear" w:color="auto" w:fill="auto"/>
            <w:noWrap/>
            <w:vAlign w:val="bottom"/>
            <w:hideMark/>
          </w:tcPr>
          <w:p w14:paraId="6945789F"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3 000,00</w:t>
            </w:r>
          </w:p>
        </w:tc>
        <w:tc>
          <w:tcPr>
            <w:tcW w:w="86" w:type="dxa"/>
            <w:tcBorders>
              <w:top w:val="nil"/>
              <w:left w:val="nil"/>
              <w:bottom w:val="single" w:sz="4" w:space="0" w:color="auto"/>
              <w:right w:val="single" w:sz="4" w:space="0" w:color="auto"/>
            </w:tcBorders>
            <w:shd w:val="clear" w:color="auto" w:fill="auto"/>
            <w:noWrap/>
            <w:vAlign w:val="bottom"/>
            <w:hideMark/>
          </w:tcPr>
          <w:p w14:paraId="293158B6"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6 000,00</w:t>
            </w:r>
          </w:p>
        </w:tc>
        <w:tc>
          <w:tcPr>
            <w:tcW w:w="86" w:type="dxa"/>
            <w:tcBorders>
              <w:top w:val="nil"/>
              <w:left w:val="nil"/>
              <w:bottom w:val="single" w:sz="4" w:space="0" w:color="auto"/>
              <w:right w:val="single" w:sz="4" w:space="0" w:color="auto"/>
            </w:tcBorders>
            <w:shd w:val="clear" w:color="auto" w:fill="auto"/>
            <w:noWrap/>
            <w:vAlign w:val="bottom"/>
            <w:hideMark/>
          </w:tcPr>
          <w:p w14:paraId="6524F5A3" w14:textId="77777777" w:rsidR="00A46044" w:rsidRPr="001808DF" w:rsidRDefault="00A46044" w:rsidP="009765CE">
            <w:pPr>
              <w:jc w:val="right"/>
              <w:rPr>
                <w:rFonts w:ascii="Arial" w:hAnsi="Arial" w:cs="Arial"/>
                <w:color w:val="000000"/>
                <w:sz w:val="16"/>
                <w:szCs w:val="16"/>
              </w:rPr>
            </w:pPr>
            <w:r w:rsidRPr="001808DF">
              <w:rPr>
                <w:rFonts w:ascii="Arial" w:hAnsi="Arial" w:cs="Arial"/>
                <w:color w:val="000000"/>
                <w:sz w:val="16"/>
                <w:szCs w:val="16"/>
              </w:rPr>
              <w:t>7 500,00</w:t>
            </w:r>
          </w:p>
        </w:tc>
      </w:tr>
    </w:tbl>
    <w:p w14:paraId="57AA5D68" w14:textId="77777777" w:rsidR="00811B0F" w:rsidRPr="005B54EE" w:rsidRDefault="00811B0F" w:rsidP="0051771F">
      <w:pPr>
        <w:pStyle w:val="Textedesaisie"/>
        <w:sectPr w:rsidR="00811B0F" w:rsidRPr="005B54EE" w:rsidSect="001808DF">
          <w:type w:val="continuous"/>
          <w:pgSz w:w="16838" w:h="11906" w:orient="landscape" w:code="9"/>
          <w:pgMar w:top="1049" w:right="1229" w:bottom="907" w:left="1648" w:header="284" w:footer="284" w:gutter="0"/>
          <w:cols w:space="708"/>
          <w:titlePg/>
          <w:docGrid w:linePitch="360"/>
        </w:sectPr>
      </w:pPr>
    </w:p>
    <w:p w14:paraId="52C36355" w14:textId="188C411B" w:rsidR="0051771F" w:rsidRPr="005B54EE" w:rsidRDefault="0051771F" w:rsidP="0051771F">
      <w:pPr>
        <w:pStyle w:val="Textedesaisie"/>
      </w:pPr>
    </w:p>
    <w:p w14:paraId="655BE07D" w14:textId="77777777" w:rsidR="0051771F" w:rsidRPr="005B54EE" w:rsidRDefault="0051771F" w:rsidP="0051771F">
      <w:pPr>
        <w:pStyle w:val="Textedesaisie"/>
      </w:pPr>
    </w:p>
    <w:p w14:paraId="750D51B6" w14:textId="77777777" w:rsidR="0051771F" w:rsidRPr="005B54EE" w:rsidRDefault="0051771F" w:rsidP="0051771F">
      <w:pPr>
        <w:pStyle w:val="Textedesaisie"/>
      </w:pPr>
    </w:p>
    <w:p w14:paraId="6CAC4E7B" w14:textId="77777777" w:rsidR="0051771F" w:rsidRPr="005B54EE" w:rsidRDefault="0051771F" w:rsidP="0051771F">
      <w:pPr>
        <w:pStyle w:val="Textedesaisie"/>
      </w:pPr>
    </w:p>
    <w:p w14:paraId="41BC4D19" w14:textId="77777777" w:rsidR="0051771F" w:rsidRPr="005B54EE" w:rsidRDefault="0051771F" w:rsidP="0051771F">
      <w:pPr>
        <w:pStyle w:val="Textedesaisie"/>
      </w:pPr>
    </w:p>
    <w:p w14:paraId="402D05AD" w14:textId="77777777" w:rsidR="0051771F" w:rsidRPr="005B54EE" w:rsidRDefault="0051771F" w:rsidP="0051771F">
      <w:pPr>
        <w:pStyle w:val="Textedesaisie"/>
      </w:pPr>
    </w:p>
    <w:p w14:paraId="51CE66CF" w14:textId="77777777" w:rsidR="004D72D0" w:rsidRPr="005B54EE" w:rsidRDefault="004D72D0" w:rsidP="0051771F">
      <w:pPr>
        <w:pStyle w:val="Textedesaisie"/>
      </w:pPr>
    </w:p>
    <w:p w14:paraId="7D176123" w14:textId="77777777" w:rsidR="004D72D0" w:rsidRPr="005B54EE" w:rsidRDefault="004D72D0" w:rsidP="004D72D0">
      <w:pPr>
        <w:jc w:val="center"/>
        <w:rPr>
          <w:rFonts w:cs="Arial"/>
          <w:sz w:val="24"/>
        </w:rPr>
      </w:pPr>
    </w:p>
    <w:p w14:paraId="04F66644" w14:textId="77777777" w:rsidR="004D72D0" w:rsidRPr="005B54EE" w:rsidRDefault="004D72D0" w:rsidP="004D72D0">
      <w:pPr>
        <w:jc w:val="center"/>
        <w:rPr>
          <w:rFonts w:cs="Arial"/>
          <w:sz w:val="24"/>
        </w:rPr>
      </w:pPr>
    </w:p>
    <w:p w14:paraId="7BBDFD91" w14:textId="77777777" w:rsidR="004D72D0" w:rsidRPr="005B54EE" w:rsidRDefault="004D72D0" w:rsidP="004D72D0">
      <w:pPr>
        <w:jc w:val="center"/>
        <w:rPr>
          <w:rFonts w:cs="Arial"/>
          <w:sz w:val="24"/>
        </w:rPr>
      </w:pPr>
    </w:p>
    <w:p w14:paraId="42B58CBA" w14:textId="77777777" w:rsidR="004D72D0" w:rsidRPr="005B54EE" w:rsidRDefault="004D72D0" w:rsidP="004D72D0">
      <w:pPr>
        <w:ind w:right="27"/>
        <w:jc w:val="center"/>
        <w:rPr>
          <w:rFonts w:cs="Arial"/>
          <w:sz w:val="24"/>
        </w:rPr>
      </w:pPr>
    </w:p>
    <w:p w14:paraId="49E48885" w14:textId="77777777" w:rsidR="004D72D0" w:rsidRPr="005B54EE" w:rsidRDefault="004D72D0" w:rsidP="004D72D0">
      <w:pPr>
        <w:jc w:val="center"/>
        <w:rPr>
          <w:rFonts w:cs="Arial"/>
          <w:sz w:val="24"/>
        </w:rPr>
      </w:pPr>
    </w:p>
    <w:p w14:paraId="5F56450F" w14:textId="77777777" w:rsidR="004D72D0" w:rsidRPr="005B54EE" w:rsidRDefault="004D72D0" w:rsidP="004D72D0">
      <w:pPr>
        <w:jc w:val="center"/>
        <w:rPr>
          <w:rFonts w:cs="Arial"/>
          <w:sz w:val="24"/>
        </w:rPr>
      </w:pPr>
    </w:p>
    <w:p w14:paraId="0BA43C20" w14:textId="77777777" w:rsidR="004D72D0" w:rsidRPr="005B54EE" w:rsidRDefault="004D72D0" w:rsidP="004D72D0">
      <w:pPr>
        <w:jc w:val="center"/>
        <w:rPr>
          <w:rFonts w:cs="Arial"/>
          <w:sz w:val="24"/>
        </w:rPr>
      </w:pPr>
    </w:p>
    <w:p w14:paraId="36A34BC7" w14:textId="77777777" w:rsidR="00CA43A0" w:rsidRPr="005B54EE" w:rsidRDefault="00CA43A0" w:rsidP="004D72D0">
      <w:pPr>
        <w:jc w:val="center"/>
        <w:rPr>
          <w:rFonts w:cs="Arial"/>
        </w:rPr>
      </w:pPr>
    </w:p>
    <w:p w14:paraId="319ED4F4" w14:textId="77777777" w:rsidR="00CA43A0" w:rsidRPr="005B54EE" w:rsidRDefault="00CA43A0" w:rsidP="004D72D0">
      <w:pPr>
        <w:jc w:val="center"/>
        <w:rPr>
          <w:rFonts w:cs="Arial"/>
        </w:rPr>
      </w:pPr>
    </w:p>
    <w:p w14:paraId="355C6F4E" w14:textId="77777777" w:rsidR="00CA43A0" w:rsidRPr="005B54EE" w:rsidRDefault="00CA43A0" w:rsidP="004D72D0">
      <w:pPr>
        <w:jc w:val="center"/>
        <w:rPr>
          <w:rFonts w:cs="Arial"/>
        </w:rPr>
      </w:pPr>
    </w:p>
    <w:p w14:paraId="3626D4EF" w14:textId="77777777" w:rsidR="00CA43A0" w:rsidRPr="005B54EE" w:rsidRDefault="00CA43A0" w:rsidP="004D72D0">
      <w:pPr>
        <w:jc w:val="center"/>
        <w:rPr>
          <w:rFonts w:cs="Arial"/>
        </w:rPr>
      </w:pPr>
    </w:p>
    <w:p w14:paraId="0AC3A740" w14:textId="77777777" w:rsidR="00CA43A0" w:rsidRPr="005B54EE" w:rsidRDefault="00CA43A0" w:rsidP="004D72D0">
      <w:pPr>
        <w:jc w:val="center"/>
        <w:rPr>
          <w:rFonts w:cs="Arial"/>
        </w:rPr>
      </w:pPr>
    </w:p>
    <w:p w14:paraId="0EF3EE3C" w14:textId="77777777" w:rsidR="00CA43A0" w:rsidRPr="005B54EE" w:rsidRDefault="00CA43A0" w:rsidP="004D72D0">
      <w:pPr>
        <w:jc w:val="center"/>
        <w:rPr>
          <w:rFonts w:cs="Arial"/>
        </w:rPr>
      </w:pPr>
    </w:p>
    <w:p w14:paraId="3F073F2D" w14:textId="77777777" w:rsidR="00CA43A0" w:rsidRPr="005B54EE" w:rsidRDefault="00CA43A0" w:rsidP="004D72D0">
      <w:pPr>
        <w:jc w:val="center"/>
        <w:rPr>
          <w:rFonts w:cs="Arial"/>
        </w:rPr>
      </w:pPr>
    </w:p>
    <w:p w14:paraId="140F70D9" w14:textId="1DF1D77B" w:rsidR="003E4D7F" w:rsidRPr="005B54EE" w:rsidRDefault="006B4DCF" w:rsidP="004D72D0">
      <w:pPr>
        <w:jc w:val="center"/>
        <w:rPr>
          <w:rFonts w:cs="Arial"/>
        </w:rPr>
      </w:pPr>
      <w:r w:rsidRPr="005B54EE">
        <w:rPr>
          <w:noProof/>
          <w:lang w:val="fr-FR"/>
        </w:rPr>
        <w:drawing>
          <wp:anchor distT="0" distB="0" distL="114300" distR="114300" simplePos="0" relativeHeight="251841024" behindDoc="0" locked="0" layoutInCell="1" allowOverlap="1" wp14:anchorId="52A7F8CC" wp14:editId="08C686CA">
            <wp:simplePos x="0" y="0"/>
            <wp:positionH relativeFrom="page">
              <wp:posOffset>520700</wp:posOffset>
            </wp:positionH>
            <wp:positionV relativeFrom="page">
              <wp:posOffset>8324215</wp:posOffset>
            </wp:positionV>
            <wp:extent cx="1907540" cy="1381760"/>
            <wp:effectExtent l="0" t="0" r="0" b="889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a:picLocks noChangeAspect="1" noChangeArrowheads="1"/>
                    </pic:cNvPicPr>
                  </pic:nvPicPr>
                  <pic:blipFill>
                    <a:blip r:embed="rId11"/>
                    <a:stretch>
                      <a:fillRect/>
                    </a:stretch>
                  </pic:blipFill>
                  <pic:spPr bwMode="auto">
                    <a:xfrm>
                      <a:off x="0" y="0"/>
                      <a:ext cx="1907540" cy="1381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54EE">
        <w:rPr>
          <w:noProof/>
          <w:lang w:val="fr-FR"/>
        </w:rPr>
        <mc:AlternateContent>
          <mc:Choice Requires="wps">
            <w:drawing>
              <wp:anchor distT="0" distB="0" distL="114300" distR="114300" simplePos="0" relativeHeight="251690496" behindDoc="0" locked="0" layoutInCell="1" allowOverlap="1" wp14:anchorId="5C514D42" wp14:editId="61E449F8">
                <wp:simplePos x="0" y="0"/>
                <wp:positionH relativeFrom="column">
                  <wp:posOffset>-4445</wp:posOffset>
                </wp:positionH>
                <wp:positionV relativeFrom="paragraph">
                  <wp:posOffset>5974715</wp:posOffset>
                </wp:positionV>
                <wp:extent cx="6290945" cy="4445"/>
                <wp:effectExtent l="0" t="0" r="20955" b="20955"/>
                <wp:wrapNone/>
                <wp:docPr id="9" name="Connecteur droit 9"/>
                <wp:cNvGraphicFramePr/>
                <a:graphic xmlns:a="http://schemas.openxmlformats.org/drawingml/2006/main">
                  <a:graphicData uri="http://schemas.microsoft.com/office/word/2010/wordprocessingShape">
                    <wps:wsp>
                      <wps:cNvCnPr/>
                      <wps:spPr>
                        <a:xfrm>
                          <a:off x="0" y="0"/>
                          <a:ext cx="6290945"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DB067" id="Connecteur droit 9"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35pt,470.45pt" to="495pt,4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" strokecolor="black [3213]"/>
            </w:pict>
          </mc:Fallback>
        </mc:AlternateContent>
      </w:r>
      <w:r w:rsidRPr="005B54EE">
        <w:rPr>
          <w:noProof/>
          <w:lang w:val="fr-FR"/>
        </w:rPr>
        <mc:AlternateContent>
          <mc:Choice Requires="wps">
            <w:drawing>
              <wp:anchor distT="0" distB="0" distL="114300" distR="114300" simplePos="0" relativeHeight="251685376" behindDoc="0" locked="0" layoutInCell="1" allowOverlap="1" wp14:anchorId="48AC7045" wp14:editId="1A5BD153">
                <wp:simplePos x="0" y="0"/>
                <wp:positionH relativeFrom="column">
                  <wp:posOffset>8255</wp:posOffset>
                </wp:positionH>
                <wp:positionV relativeFrom="paragraph">
                  <wp:posOffset>9372600</wp:posOffset>
                </wp:positionV>
                <wp:extent cx="6299200" cy="0"/>
                <wp:effectExtent l="0" t="0" r="25400" b="19050"/>
                <wp:wrapNone/>
                <wp:docPr id="3" name="Connecteur droit 3"/>
                <wp:cNvGraphicFramePr/>
                <a:graphic xmlns:a="http://schemas.openxmlformats.org/drawingml/2006/main">
                  <a:graphicData uri="http://schemas.microsoft.com/office/word/2010/wordprocessingShape">
                    <wps:wsp>
                      <wps:cNvCnPr/>
                      <wps:spPr>
                        <a:xfrm>
                          <a:off x="0" y="0"/>
                          <a:ext cx="6299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603DE2" id="Connecteur droit 3"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65pt,738pt" to="49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" strokecolor="black [3213]"/>
            </w:pict>
          </mc:Fallback>
        </mc:AlternateContent>
      </w:r>
    </w:p>
    <w:sectPr w:rsidR="003E4D7F" w:rsidRPr="005B54EE" w:rsidSect="00811B0F">
      <w:pgSz w:w="11906" w:h="16838" w:code="9"/>
      <w:pgMar w:top="1229" w:right="907" w:bottom="1648" w:left="1049"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36E82" w14:textId="77777777" w:rsidR="00AF217C" w:rsidRDefault="00AF217C" w:rsidP="00F51D4C">
      <w:r>
        <w:separator/>
      </w:r>
    </w:p>
    <w:p w14:paraId="49B33C4E" w14:textId="77777777" w:rsidR="00AF217C" w:rsidRDefault="00AF217C"/>
    <w:p w14:paraId="7C1D5652" w14:textId="77777777" w:rsidR="00AF217C" w:rsidRDefault="00AF217C"/>
    <w:p w14:paraId="0C858DC4" w14:textId="77777777" w:rsidR="00AF217C" w:rsidRDefault="00AF217C"/>
  </w:endnote>
  <w:endnote w:type="continuationSeparator" w:id="0">
    <w:p w14:paraId="57C2B2E2" w14:textId="77777777" w:rsidR="00AF217C" w:rsidRDefault="00AF217C" w:rsidP="00F51D4C">
      <w:r>
        <w:continuationSeparator/>
      </w:r>
    </w:p>
    <w:p w14:paraId="63557352" w14:textId="77777777" w:rsidR="00AF217C" w:rsidRDefault="00AF217C"/>
    <w:p w14:paraId="60360E38" w14:textId="77777777" w:rsidR="00AF217C" w:rsidRDefault="00AF217C"/>
    <w:p w14:paraId="14CC56BC" w14:textId="77777777" w:rsidR="00AF217C" w:rsidRDefault="00AF2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ianne">
    <w:altName w:val="Times New Roman"/>
    <w:panose1 w:val="00000000000000000000"/>
    <w:charset w:val="00"/>
    <w:family w:val="modern"/>
    <w:notTrueType/>
    <w:pitch w:val="variable"/>
    <w:sig w:usb0="0000000F" w:usb1="00000000" w:usb2="00000000" w:usb3="00000000" w:csb0="00000003" w:csb1="00000000"/>
  </w:font>
  <w:font w:name="StarSymbo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arianne Light">
    <w:altName w:val="Times New Roman"/>
    <w:panose1 w:val="00000000000000000000"/>
    <w:charset w:val="00"/>
    <w:family w:val="modern"/>
    <w:notTrueType/>
    <w:pitch w:val="variable"/>
    <w:sig w:usb0="0000000F"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rianne Medium">
    <w:altName w:val="Times New Roman"/>
    <w:panose1 w:val="00000000000000000000"/>
    <w:charset w:val="00"/>
    <w:family w:val="modern"/>
    <w:notTrueType/>
    <w:pitch w:val="variable"/>
    <w:sig w:usb0="0000000F"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Arial">
    <w:panose1 w:val="00000000000000000000"/>
    <w:charset w:val="00"/>
    <w:family w:val="roman"/>
    <w:notTrueType/>
    <w:pitch w:val="default"/>
  </w:font>
  <w:font w:name="Marianne ExtraBold">
    <w:altName w:val="Times New Roman"/>
    <w:panose1 w:val="00000000000000000000"/>
    <w:charset w:val="00"/>
    <w:family w:val="modern"/>
    <w:notTrueType/>
    <w:pitch w:val="variable"/>
    <w:sig w:usb0="0000000F" w:usb1="00000000" w:usb2="00000000" w:usb3="00000000" w:csb0="00000003" w:csb1="00000000"/>
  </w:font>
  <w:font w:name="CIDFont+F1">
    <w:altName w:val="Calibri"/>
    <w:panose1 w:val="00000000000000000000"/>
    <w:charset w:val="00"/>
    <w:family w:val="auto"/>
    <w:notTrueType/>
    <w:pitch w:val="default"/>
    <w:sig w:usb0="00000003" w:usb1="00000000" w:usb2="00000000" w:usb3="00000000" w:csb0="00000001" w:csb1="00000000"/>
  </w:font>
  <w:font w:name="TrebuchetM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28B1" w14:textId="6D2827B0" w:rsidR="00AF217C" w:rsidRDefault="00AF217C" w:rsidP="003E4D7F">
    <w:pPr>
      <w:pStyle w:val="Footer"/>
      <w:jc w:val="right"/>
    </w:pPr>
    <w:r>
      <w:rPr>
        <w:noProof/>
        <w:lang w:val="fr-FR" w:eastAsia="fr-FR"/>
      </w:rPr>
      <mc:AlternateContent>
        <mc:Choice Requires="wps">
          <w:drawing>
            <wp:anchor distT="45720" distB="45720" distL="114300" distR="114300" simplePos="0" relativeHeight="251663360" behindDoc="0" locked="0" layoutInCell="1" allowOverlap="1" wp14:anchorId="008060D3" wp14:editId="252D489C">
              <wp:simplePos x="0" y="0"/>
              <wp:positionH relativeFrom="margin">
                <wp:align>left</wp:align>
              </wp:positionH>
              <wp:positionV relativeFrom="paragraph">
                <wp:posOffset>13335</wp:posOffset>
              </wp:positionV>
              <wp:extent cx="4248150" cy="180975"/>
              <wp:effectExtent l="0" t="0" r="0" b="952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180975"/>
                      </a:xfrm>
                      <a:prstGeom prst="rect">
                        <a:avLst/>
                      </a:prstGeom>
                      <a:solidFill>
                        <a:srgbClr val="FFFFFF"/>
                      </a:solidFill>
                      <a:ln w="9525">
                        <a:noFill/>
                        <a:miter lim="800000"/>
                        <a:headEnd/>
                        <a:tailEnd/>
                      </a:ln>
                    </wps:spPr>
                    <wps:txbx>
                      <w:txbxContent>
                        <w:p w14:paraId="22569C69" w14:textId="51C31B2D" w:rsidR="00AF217C" w:rsidRPr="009C6A8D" w:rsidRDefault="00AF217C">
                          <w:pPr>
                            <w:rPr>
                              <w:rFonts w:cs="Arial"/>
                              <w:sz w:val="16"/>
                              <w:szCs w:val="16"/>
                            </w:rPr>
                          </w:pPr>
                          <w:r>
                            <w:rPr>
                              <w:sz w:val="16"/>
                            </w:rPr>
                            <w:t>France’s Eighth National Communication to the UNFCCC ǀ December 2022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8060D3" id="_x0000_t202" coordsize="21600,21600" o:spt="202" path="m,l,21600r21600,l21600,xe">
              <v:stroke joinstyle="miter"/>
              <v:path gradientshapeok="t" o:connecttype="rect"/>
            </v:shapetype>
            <v:shape id="_x0000_s1027" type="#_x0000_t202" style="position:absolute;left:0;text-align:left;margin-left:0;margin-top:1.05pt;width:334.5pt;height:14.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" stroked="f">
              <v:textbox inset="0,0,0,0">
                <w:txbxContent>
                  <w:p w14:paraId="22569C69" w14:textId="51C31B2D" w:rsidR="00AF217C" w:rsidRPr="009C6A8D" w:rsidRDefault="00AF217C">
                    <w:pPr>
                      <w:rPr>
                        <w:rFonts w:cs="Arial"/>
                        <w:sz w:val="16"/>
                        <w:szCs w:val="16"/>
                      </w:rPr>
                    </w:pPr>
                    <w:r>
                      <w:rPr>
                        <w:sz w:val="16"/>
                      </w:rPr>
                      <w:t>France’s Eighth National Communication to the UNFCCC ǀ December 2022</w:t>
                    </w:r>
                  </w:p>
                </w:txbxContent>
              </v:textbox>
              <w10:wrap anchorx="margin"/>
            </v:shape>
          </w:pict>
        </mc:Fallback>
      </mc:AlternateContent>
    </w:r>
    <w:sdt>
      <w:sdtPr>
        <w:id w:val="-1550528615"/>
        <w:docPartObj>
          <w:docPartGallery w:val="Page Numbers (Bottom of Page)"/>
          <w:docPartUnique/>
        </w:docPartObj>
      </w:sdtPr>
      <w:sdtEndPr/>
      <w:sdtContent>
        <w:r>
          <w:fldChar w:fldCharType="begin"/>
        </w:r>
        <w:r>
          <w:instrText>PAGE   \* MERGEFORMAT</w:instrText>
        </w:r>
        <w:r>
          <w:fldChar w:fldCharType="separate"/>
        </w:r>
        <w:r>
          <w:t>14</w:t>
        </w:r>
        <w:r>
          <w:fldChar w:fldCharType="end"/>
        </w:r>
      </w:sdtContent>
    </w:sdt>
  </w:p>
  <w:p w14:paraId="7419CAEA" w14:textId="77777777" w:rsidR="00AF217C" w:rsidRDefault="00AF2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DF49" w14:textId="24F8CCAF" w:rsidR="00AF217C" w:rsidRDefault="00AF217C">
    <w:pPr>
      <w:pStyle w:val="Footer"/>
      <w:jc w:val="right"/>
    </w:pPr>
    <w:r>
      <w:fldChar w:fldCharType="begin"/>
    </w:r>
    <w:r>
      <w:instrText>PAGE</w:instrText>
    </w:r>
    <w:r>
      <w:fldChar w:fldCharType="separate"/>
    </w:r>
    <w:r w:rsidR="00C50CEB">
      <w:rPr>
        <w:noProof/>
      </w:rPr>
      <w:t>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55B4D" w14:textId="77777777" w:rsidR="00AF217C" w:rsidRDefault="00AF217C" w:rsidP="00F51D4C">
      <w:r>
        <w:separator/>
      </w:r>
    </w:p>
    <w:p w14:paraId="0CCC8DB7" w14:textId="77777777" w:rsidR="00AF217C" w:rsidRDefault="00AF217C"/>
    <w:p w14:paraId="1E6558F5" w14:textId="77777777" w:rsidR="00AF217C" w:rsidRDefault="00AF217C"/>
    <w:p w14:paraId="311280AD" w14:textId="77777777" w:rsidR="00AF217C" w:rsidRDefault="00AF217C"/>
  </w:footnote>
  <w:footnote w:type="continuationSeparator" w:id="0">
    <w:p w14:paraId="69966062" w14:textId="77777777" w:rsidR="00AF217C" w:rsidRDefault="00AF217C" w:rsidP="00F51D4C">
      <w:r>
        <w:continuationSeparator/>
      </w:r>
    </w:p>
    <w:p w14:paraId="48FC81B8" w14:textId="77777777" w:rsidR="00AF217C" w:rsidRDefault="00AF217C"/>
    <w:p w14:paraId="1A093BD3" w14:textId="77777777" w:rsidR="00AF217C" w:rsidRDefault="00AF217C"/>
    <w:p w14:paraId="6F48C82B" w14:textId="77777777" w:rsidR="00AF217C" w:rsidRDefault="00AF217C"/>
  </w:footnote>
  <w:footnote w:id="1">
    <w:p w14:paraId="3A0CEF20" w14:textId="77777777" w:rsidR="00AF217C" w:rsidRDefault="00AF217C" w:rsidP="000863E6">
      <w:pPr>
        <w:autoSpaceDE w:val="0"/>
        <w:autoSpaceDN w:val="0"/>
        <w:adjustRightInd w:val="0"/>
      </w:pPr>
      <w:r>
        <w:rPr>
          <w:rStyle w:val="FootnoteReference"/>
        </w:rPr>
        <w:footnoteRef/>
      </w:r>
      <w:r>
        <w:t xml:space="preserve"> </w:t>
      </w:r>
      <w:hyperlink r:id="rId1" w:history="1">
        <w:r>
          <w:rPr>
            <w:rStyle w:val="Hyperlink"/>
            <w:rFonts w:asciiTheme="majorHAnsi" w:hAnsiTheme="majorHAnsi"/>
            <w:sz w:val="16"/>
            <w:u w:val="none"/>
          </w:rPr>
          <w:t>https://www.legifrance.gouv.fr/affichCodeArticle.do?cidTexte=LEGITEXT000006074220&amp;idArticle=LEGIARTI000022476854&amp;</w:t>
        </w:r>
      </w:hyperlink>
      <w:r>
        <w:rPr>
          <w:rFonts w:asciiTheme="majorHAnsi" w:hAnsiTheme="majorHAnsi"/>
          <w:sz w:val="16"/>
        </w:rPr>
        <w:t xml:space="preserve"> dateTexte=&amp;categorieLien=cid</w:t>
      </w:r>
    </w:p>
  </w:footnote>
  <w:footnote w:id="2">
    <w:p w14:paraId="50104343" w14:textId="77777777" w:rsidR="00AF217C" w:rsidRPr="00052DCE" w:rsidRDefault="00AF217C" w:rsidP="000863E6">
      <w:pPr>
        <w:pStyle w:val="FootnoteText"/>
        <w:rPr>
          <w:sz w:val="16"/>
          <w:szCs w:val="16"/>
        </w:rPr>
      </w:pPr>
      <w:r>
        <w:rPr>
          <w:rStyle w:val="FootnoteReference"/>
          <w:sz w:val="16"/>
          <w:szCs w:val="16"/>
        </w:rPr>
        <w:footnoteRef/>
      </w:r>
      <w:r>
        <w:rPr>
          <w:sz w:val="16"/>
        </w:rPr>
        <w:t xml:space="preserve"> https://www.ecologie.gouv.fr/suivi-strategie-nationale-bas-carbone</w:t>
      </w:r>
    </w:p>
  </w:footnote>
  <w:footnote w:id="3">
    <w:p w14:paraId="1AF14F43" w14:textId="77777777" w:rsidR="00AF217C" w:rsidRDefault="00AF217C" w:rsidP="000863E6">
      <w:pPr>
        <w:pStyle w:val="FootnoteText"/>
      </w:pPr>
      <w:r>
        <w:rPr>
          <w:rStyle w:val="FootnoteReference"/>
          <w:sz w:val="16"/>
          <w:szCs w:val="16"/>
        </w:rPr>
        <w:footnoteRef/>
      </w:r>
      <w:r>
        <w:rPr>
          <w:sz w:val="16"/>
        </w:rPr>
        <w:t xml:space="preserve"> </w:t>
      </w:r>
      <w:hyperlink r:id="rId2" w:history="1">
        <w:r>
          <w:rPr>
            <w:rStyle w:val="Hyperlink"/>
            <w:sz w:val="16"/>
          </w:rPr>
          <w:t>https://www.ecologie.gouv.fr/rapportages-climat-france</w:t>
        </w:r>
      </w:hyperlink>
    </w:p>
  </w:footnote>
  <w:footnote w:id="4">
    <w:p w14:paraId="6A04D5CB" w14:textId="77777777" w:rsidR="00AF217C" w:rsidRPr="00A17C42" w:rsidRDefault="00AF217C" w:rsidP="0018240E">
      <w:pPr>
        <w:pStyle w:val="FootnoteText"/>
        <w:rPr>
          <w:sz w:val="16"/>
          <w:szCs w:val="16"/>
        </w:rPr>
      </w:pPr>
      <w:r>
        <w:rPr>
          <w:rStyle w:val="FootnoteReference"/>
          <w:sz w:val="16"/>
          <w:szCs w:val="16"/>
        </w:rPr>
        <w:footnoteRef/>
      </w:r>
      <w:r>
        <w:rPr>
          <w:sz w:val="16"/>
        </w:rPr>
        <w:t xml:space="preserve"> Citepa, June 2022. Inventory of greenhouse gas emissions and atmospheric pollutants in France –</w:t>
      </w:r>
    </w:p>
    <w:p w14:paraId="568AB9C4" w14:textId="77777777" w:rsidR="00AF217C" w:rsidRPr="00052DCE" w:rsidRDefault="00AF217C" w:rsidP="0018240E">
      <w:pPr>
        <w:pStyle w:val="FootnoteText"/>
        <w:rPr>
          <w:sz w:val="16"/>
          <w:szCs w:val="16"/>
        </w:rPr>
      </w:pPr>
      <w:r>
        <w:rPr>
          <w:sz w:val="16"/>
        </w:rPr>
        <w:t>Secten Format.</w:t>
      </w:r>
    </w:p>
  </w:footnote>
  <w:footnote w:id="5">
    <w:p w14:paraId="5565CBB6" w14:textId="77777777" w:rsidR="00AF217C" w:rsidRPr="00A17C42" w:rsidRDefault="00AF217C" w:rsidP="00C060AE">
      <w:pPr>
        <w:pStyle w:val="FootnoteText"/>
        <w:rPr>
          <w:sz w:val="16"/>
          <w:szCs w:val="16"/>
        </w:rPr>
      </w:pPr>
      <w:r>
        <w:rPr>
          <w:rStyle w:val="FootnoteReference"/>
        </w:rPr>
        <w:footnoteRef/>
      </w:r>
      <w:r>
        <w:rPr>
          <w:sz w:val="16"/>
        </w:rPr>
        <w:t xml:space="preserve"> Citepa, June 2022. Inventory of greenhouse gas emissions and atmospheric pollutants in France –</w:t>
      </w:r>
    </w:p>
    <w:p w14:paraId="3D44E733" w14:textId="77777777" w:rsidR="00AF217C" w:rsidRDefault="00AF217C" w:rsidP="00C060AE">
      <w:pPr>
        <w:pStyle w:val="FootnoteText"/>
      </w:pPr>
      <w:r>
        <w:rPr>
          <w:sz w:val="16"/>
        </w:rPr>
        <w:t>Secten Format.</w:t>
      </w:r>
    </w:p>
  </w:footnote>
  <w:footnote w:id="6">
    <w:p w14:paraId="17666074" w14:textId="77777777" w:rsidR="00AF217C" w:rsidRDefault="00AF217C" w:rsidP="00C060AE">
      <w:pPr>
        <w:pStyle w:val="CommentText"/>
      </w:pPr>
      <w:r>
        <w:rPr>
          <w:rStyle w:val="FootnoteReference"/>
        </w:rPr>
        <w:footnoteRef/>
      </w:r>
      <w:r>
        <w:t xml:space="preserve"> </w:t>
      </w:r>
      <w:hyperlink r:id="rId3" w:history="1">
        <w:r>
          <w:rPr>
            <w:rStyle w:val="Hyperlink"/>
            <w:sz w:val="16"/>
          </w:rPr>
          <w:t>https://eur-lex.europa.eu/legal-content/FR/TXT/PDF/?uri=CELEX:32019R0807&amp;from=EN</w:t>
        </w:r>
      </w:hyperlink>
    </w:p>
    <w:p w14:paraId="4D8EFC36" w14:textId="77777777" w:rsidR="00AF217C" w:rsidRDefault="00AF217C" w:rsidP="00C060AE">
      <w:pPr>
        <w:pStyle w:val="FootnoteText"/>
      </w:pPr>
    </w:p>
  </w:footnote>
  <w:footnote w:id="7">
    <w:p w14:paraId="7EBD46E8" w14:textId="77777777" w:rsidR="00AF217C" w:rsidRDefault="00AF217C" w:rsidP="00896B85">
      <w:pPr>
        <w:pStyle w:val="FootnoteText"/>
      </w:pPr>
      <w:r>
        <w:rPr>
          <w:rStyle w:val="FootnoteReference"/>
        </w:rPr>
        <w:footnoteRef/>
      </w:r>
      <w:r>
        <w:t xml:space="preserve"> </w:t>
      </w:r>
      <w:r>
        <w:rPr>
          <w:sz w:val="16"/>
        </w:rPr>
        <w:t>https://www.ecologie.gouv.fr/artificialisation-des-sols#scroll-nav__3</w:t>
      </w:r>
    </w:p>
  </w:footnote>
  <w:footnote w:id="8">
    <w:p w14:paraId="3E5626DF" w14:textId="77777777" w:rsidR="00AF217C" w:rsidRDefault="00AF217C" w:rsidP="00896B85">
      <w:pPr>
        <w:pStyle w:val="FootnoteText"/>
      </w:pPr>
      <w:r>
        <w:rPr>
          <w:rStyle w:val="FootnoteReference"/>
        </w:rPr>
        <w:footnoteRef/>
      </w:r>
      <w:r>
        <w:t xml:space="preserve"> https://agriculture.gouv.fr/filiere-graines-et-plants-forestiers-plus-de-50-millions-deuros-pour-batir-lavenir-de-la-foret</w:t>
      </w:r>
    </w:p>
  </w:footnote>
  <w:footnote w:id="9">
    <w:p w14:paraId="0A1E04C5" w14:textId="77777777" w:rsidR="00AF217C" w:rsidRPr="009E30DE" w:rsidRDefault="00AF217C" w:rsidP="00896B85">
      <w:pPr>
        <w:pStyle w:val="FootnoteText"/>
        <w:rPr>
          <w:sz w:val="16"/>
          <w:szCs w:val="16"/>
        </w:rPr>
      </w:pPr>
      <w:r>
        <w:rPr>
          <w:rStyle w:val="FootnoteReference"/>
          <w:sz w:val="16"/>
          <w:szCs w:val="16"/>
        </w:rPr>
        <w:footnoteRef/>
      </w:r>
      <w:r>
        <w:rPr>
          <w:sz w:val="16"/>
        </w:rPr>
        <w:t xml:space="preserve"> http://bois.bpifrance.fr/</w:t>
      </w:r>
    </w:p>
  </w:footnote>
  <w:footnote w:id="10">
    <w:p w14:paraId="3CA99F2E" w14:textId="77777777" w:rsidR="00AF217C" w:rsidRPr="00052DCE" w:rsidRDefault="00AF217C" w:rsidP="00896B85">
      <w:pPr>
        <w:pStyle w:val="FootnoteText"/>
        <w:rPr>
          <w:sz w:val="16"/>
          <w:szCs w:val="16"/>
        </w:rPr>
      </w:pPr>
      <w:r>
        <w:rPr>
          <w:rStyle w:val="FootnoteReference"/>
          <w:sz w:val="16"/>
          <w:szCs w:val="16"/>
        </w:rPr>
        <w:footnoteRef/>
      </w:r>
      <w:r>
        <w:rPr>
          <w:sz w:val="16"/>
        </w:rPr>
        <w:t xml:space="preserve"> https://fondschaleur.ademe.fr/</w:t>
      </w:r>
    </w:p>
  </w:footnote>
  <w:footnote w:id="11">
    <w:p w14:paraId="08964F87" w14:textId="77777777" w:rsidR="00AF217C" w:rsidRPr="00A17C42" w:rsidRDefault="00AF217C" w:rsidP="00A229A3">
      <w:pPr>
        <w:autoSpaceDE w:val="0"/>
        <w:autoSpaceDN w:val="0"/>
        <w:adjustRightInd w:val="0"/>
        <w:rPr>
          <w:rFonts w:asciiTheme="majorHAnsi" w:eastAsiaTheme="minorHAnsi" w:hAnsiTheme="majorHAnsi" w:cs="TrebuchetMS"/>
          <w:sz w:val="16"/>
          <w:szCs w:val="16"/>
        </w:rPr>
      </w:pPr>
      <w:r>
        <w:rPr>
          <w:rStyle w:val="FootnoteReference"/>
          <w:rFonts w:asciiTheme="majorHAnsi" w:hAnsiTheme="majorHAnsi"/>
          <w:sz w:val="16"/>
          <w:szCs w:val="16"/>
        </w:rPr>
        <w:footnoteRef/>
      </w:r>
      <w:r>
        <w:rPr>
          <w:rFonts w:asciiTheme="majorHAnsi" w:hAnsiTheme="majorHAnsi"/>
          <w:sz w:val="16"/>
        </w:rPr>
        <w:t xml:space="preserve"> Citepa, June 2022. Inventory of greenhouse gas emissions and atmospheric pollutants in France –</w:t>
      </w:r>
    </w:p>
    <w:p w14:paraId="0975B42E" w14:textId="77777777" w:rsidR="00AF217C" w:rsidRDefault="00AF217C" w:rsidP="00A229A3">
      <w:pPr>
        <w:pStyle w:val="FootnoteText"/>
      </w:pPr>
      <w:r>
        <w:rPr>
          <w:rFonts w:asciiTheme="majorHAnsi" w:hAnsiTheme="majorHAnsi"/>
          <w:sz w:val="16"/>
        </w:rPr>
        <w:t>Secten Format.</w:t>
      </w:r>
    </w:p>
  </w:footnote>
  <w:footnote w:id="12">
    <w:p w14:paraId="038DFCCA" w14:textId="77777777" w:rsidR="00AF217C" w:rsidRDefault="00AF217C" w:rsidP="00A229A3">
      <w:pPr>
        <w:pStyle w:val="FootnoteText"/>
      </w:pPr>
      <w:r>
        <w:rPr>
          <w:rStyle w:val="FootnoteReference"/>
        </w:rPr>
        <w:footnoteRef/>
      </w:r>
      <w:r>
        <w:t xml:space="preserve"> https://www.ecologie.gouv.fr/sites/default/files/Projet%20de%20FAQ.pdf</w:t>
      </w:r>
    </w:p>
  </w:footnote>
  <w:footnote w:id="13">
    <w:p w14:paraId="79278E12" w14:textId="77777777" w:rsidR="00AF217C" w:rsidRDefault="00AF217C" w:rsidP="00A229A3">
      <w:pPr>
        <w:pStyle w:val="FootnoteText"/>
      </w:pPr>
      <w:r>
        <w:rPr>
          <w:rStyle w:val="FootnoteReference"/>
        </w:rPr>
        <w:footnoteRef/>
      </w:r>
      <w:r>
        <w:t xml:space="preserve"> professional packaging (2025), including packaging used by catering professionals (2023), construction products or materials in the building sector (2022), toys (2022), sports and leisure goods (2022), DIY and garden items (2022), mineral or synthetic oils (2022), tobacco products (2021), chewing gum (2024), single-use sanitary textiles (2024), fishing gear containing plastic (2025), medical technical aids (possibility)</w:t>
      </w:r>
    </w:p>
  </w:footnote>
  <w:footnote w:id="14">
    <w:p w14:paraId="478D3405" w14:textId="6FC924E6" w:rsidR="00AF217C" w:rsidRDefault="00AF217C">
      <w:pPr>
        <w:pStyle w:val="FootnoteText"/>
      </w:pPr>
      <w:r>
        <w:rPr>
          <w:rStyle w:val="FootnoteReference"/>
        </w:rPr>
        <w:footnoteRef/>
      </w:r>
      <w:r>
        <w:t xml:space="preserve"> </w:t>
      </w:r>
      <w:hyperlink r:id="rId4" w:history="1">
        <w:r>
          <w:rPr>
            <w:rStyle w:val="Hyperlink"/>
          </w:rPr>
          <w:t>https://unfccc.int/sites/default/files/resource/BR_FRA_resubmission.pdf</w:t>
        </w:r>
      </w:hyperlink>
    </w:p>
  </w:footnote>
  <w:footnote w:id="15">
    <w:p w14:paraId="18747A4A" w14:textId="7667E5A8" w:rsidR="00AF217C" w:rsidRDefault="00AF217C">
      <w:pPr>
        <w:pStyle w:val="FootnoteText"/>
      </w:pPr>
      <w:r>
        <w:rPr>
          <w:rStyle w:val="FootnoteReference"/>
        </w:rPr>
        <w:footnoteRef/>
      </w:r>
      <w:r>
        <w:t xml:space="preserve"> </w:t>
      </w:r>
      <w:hyperlink r:id="rId5" w:history="1">
        <w:r>
          <w:rPr>
            <w:rStyle w:val="Hyperlink"/>
          </w:rPr>
          <w:t>https://unfccc.int/sites/default/files/resource/BR_FRA_resubmission.pdf</w:t>
        </w:r>
      </w:hyperlink>
    </w:p>
  </w:footnote>
  <w:footnote w:id="16">
    <w:p w14:paraId="41BA7F55" w14:textId="77777777" w:rsidR="00AF217C" w:rsidRDefault="00AF217C" w:rsidP="00920B68">
      <w:pPr>
        <w:pStyle w:val="FootnoteText"/>
      </w:pPr>
      <w:r>
        <w:rPr>
          <w:rStyle w:val="FootnoteReference"/>
        </w:rPr>
        <w:footnoteRef/>
      </w:r>
      <w:r>
        <w:t xml:space="preserve"> </w:t>
      </w:r>
      <w:hyperlink r:id="rId6" w:history="1">
        <w:r>
          <w:rPr>
            <w:rStyle w:val="Hyperlink"/>
          </w:rPr>
          <w:t>https://www.ecologie.gouv.fr/sites/default/files/Synth%C3%A8se_du_sc%C3%A9nario_AME2021_postQAQC%5B1%5D.pdf</w:t>
        </w:r>
      </w:hyperlink>
    </w:p>
  </w:footnote>
  <w:footnote w:id="17">
    <w:p w14:paraId="35F053F6" w14:textId="77777777" w:rsidR="00AF217C" w:rsidRPr="00C14DCA" w:rsidRDefault="00AF217C" w:rsidP="00F24A36">
      <w:pPr>
        <w:pStyle w:val="Footnote"/>
        <w:rPr>
          <w:rFonts w:asciiTheme="majorHAnsi" w:hAnsiTheme="majorHAnsi"/>
        </w:rPr>
      </w:pPr>
      <w:r>
        <w:rPr>
          <w:rStyle w:val="FootnoteReference"/>
          <w:rFonts w:asciiTheme="majorHAnsi" w:hAnsiTheme="majorHAnsi"/>
        </w:rPr>
        <w:footnoteRef/>
      </w:r>
      <w:hyperlink r:id="rId7" w:anchor="e2" w:history="1">
        <w:r>
          <w:rPr>
            <w:rStyle w:val="Hyperlink"/>
            <w:rFonts w:asciiTheme="majorHAnsi" w:hAnsiTheme="majorHAnsi"/>
          </w:rPr>
          <w:t>https://www.ecologique-solidaire.gouv.fr/scenarios-prospectifs-energie-climat-air#e2</w:t>
        </w:r>
      </w:hyperlink>
    </w:p>
  </w:footnote>
  <w:footnote w:id="18">
    <w:p w14:paraId="292EB22A" w14:textId="77777777" w:rsidR="00AF217C" w:rsidRPr="00D80FE2" w:rsidRDefault="00AF217C" w:rsidP="00DA7D12">
      <w:pPr>
        <w:pStyle w:val="FootnoteText"/>
        <w:rPr>
          <w:lang w:val="fr-FR"/>
        </w:rPr>
      </w:pPr>
      <w:r>
        <w:rPr>
          <w:rStyle w:val="FootnoteReference"/>
        </w:rPr>
        <w:footnoteRef/>
      </w:r>
      <w:r>
        <w:t xml:space="preserve"> Detailed information about the models can be found on </w:t>
      </w:r>
      <w:hyperlink r:id="rId8" w:history="1">
        <w:r w:rsidRPr="00903AFD">
          <w:rPr>
            <w:rStyle w:val="Hyperlink"/>
          </w:rPr>
          <w:t>https://reportnet.europa.eu/public/country/FR</w:t>
        </w:r>
      </w:hyperlink>
      <w:r>
        <w:t>, GovReg: National projections of anthropogenic greenhouse gas emissions [2023], Table4.zip</w:t>
      </w:r>
    </w:p>
  </w:footnote>
  <w:footnote w:id="19">
    <w:p w14:paraId="6F220C8F" w14:textId="77777777" w:rsidR="00AF217C" w:rsidRPr="00913449" w:rsidRDefault="00AF217C" w:rsidP="00DA7D12">
      <w:pPr>
        <w:pStyle w:val="FootnoteText"/>
      </w:pPr>
      <w:r>
        <w:rPr>
          <w:rStyle w:val="FootnoteReference"/>
        </w:rPr>
        <w:footnoteRef/>
      </w:r>
      <w:r>
        <w:t xml:space="preserve"> </w:t>
      </w:r>
      <w:r w:rsidRPr="00913449">
        <w:t>https://www.ecologie.gouv.fr/sites/default/files/Synth%C3%A8se_du_sc%C3%A9nario_AME2021_postQAQC%5B1%5D.pdf</w:t>
      </w:r>
    </w:p>
  </w:footnote>
  <w:footnote w:id="20">
    <w:p w14:paraId="7EF4D5ED" w14:textId="77777777" w:rsidR="00AF217C" w:rsidRDefault="00AF217C" w:rsidP="00635A2E">
      <w:pPr>
        <w:pStyle w:val="FootnoteText"/>
      </w:pPr>
      <w:r>
        <w:rPr>
          <w:rStyle w:val="FootnoteReference"/>
        </w:rPr>
        <w:footnoteRef/>
      </w:r>
      <w:r>
        <w:t xml:space="preserve"> Source: AFD Group Climate Report 2021</w:t>
      </w:r>
    </w:p>
  </w:footnote>
  <w:footnote w:id="21">
    <w:p w14:paraId="1F24F6E8" w14:textId="77777777" w:rsidR="00AF217C" w:rsidRDefault="00AF217C" w:rsidP="00631ED2">
      <w:pPr>
        <w:pStyle w:val="FootnoteText"/>
      </w:pPr>
      <w:r>
        <w:rPr>
          <w:rStyle w:val="FootnoteReference"/>
        </w:rPr>
        <w:footnoteRef/>
      </w:r>
      <w:r>
        <w:t xml:space="preserve"> </w:t>
      </w:r>
      <w:r>
        <w:rPr>
          <w:sz w:val="18"/>
        </w:rPr>
        <w:t>https://www.afd.fr/fr/ressources/plan-dorientation-strategique-2018-2022-synthese</w:t>
      </w:r>
    </w:p>
  </w:footnote>
  <w:footnote w:id="22">
    <w:p w14:paraId="283C9E6E" w14:textId="77777777" w:rsidR="00AF217C" w:rsidRPr="00C3107B" w:rsidRDefault="00AF217C" w:rsidP="00631ED2">
      <w:pPr>
        <w:pStyle w:val="FootnoteText"/>
        <w:rPr>
          <w:rFonts w:ascii="Times New Roman" w:hAnsi="Times New Roman"/>
        </w:rPr>
      </w:pPr>
      <w:r>
        <w:rPr>
          <w:rStyle w:val="FootnoteReference"/>
          <w:rFonts w:ascii="Times New Roman" w:hAnsi="Times New Roman"/>
        </w:rPr>
        <w:footnoteRef/>
      </w:r>
      <w:r>
        <w:rPr>
          <w:rStyle w:val="FootnoteReference"/>
          <w:rFonts w:ascii="Times New Roman" w:hAnsi="Times New Roman"/>
        </w:rPr>
        <w:t xml:space="preserve"> </w:t>
      </w:r>
      <w:r>
        <w:t>In the case of non-concessional loans, this instrument is not included in French official development assistance flows but in Other Public Sector Assistance (AASP).</w:t>
      </w:r>
    </w:p>
  </w:footnote>
  <w:footnote w:id="23">
    <w:p w14:paraId="748E7C2D" w14:textId="77777777" w:rsidR="00AF217C" w:rsidRPr="00565136" w:rsidRDefault="00AF217C" w:rsidP="009C16BD">
      <w:pPr>
        <w:pStyle w:val="FootnoteText"/>
        <w:rPr>
          <w:sz w:val="16"/>
        </w:rPr>
      </w:pPr>
      <w:r>
        <w:rPr>
          <w:vertAlign w:val="superscript"/>
        </w:rPr>
        <w:footnoteRef/>
      </w:r>
      <w:r>
        <w:rPr>
          <w:vertAlign w:val="superscript"/>
        </w:rPr>
        <w:t xml:space="preserve"> </w:t>
      </w:r>
      <w:r>
        <w:rPr>
          <w:sz w:val="16"/>
        </w:rPr>
        <w:t>If the total contribution was taken into account and not the grant element alone, France would be ahead of Germany in these rankings.</w:t>
      </w:r>
    </w:p>
  </w:footnote>
  <w:footnote w:id="24">
    <w:p w14:paraId="193EBE31" w14:textId="77777777" w:rsidR="00AF217C" w:rsidRDefault="00AF217C" w:rsidP="009C16BD">
      <w:pPr>
        <w:pStyle w:val="FootnoteText"/>
      </w:pPr>
      <w:r>
        <w:rPr>
          <w:rStyle w:val="FootnoteReference"/>
        </w:rPr>
        <w:footnoteRef/>
      </w:r>
      <w:r>
        <w:t xml:space="preserve">  As of 20 July 2022. Source</w:t>
      </w:r>
      <w:r>
        <w:rPr>
          <w:rFonts w:ascii="Calibri" w:hAnsi="Calibri"/>
        </w:rPr>
        <w:t> </w:t>
      </w:r>
      <w:r>
        <w:t>: https://www.greenclimate.fund/projects/dashboard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513C9" w14:textId="77777777" w:rsidR="00AF217C" w:rsidRDefault="00AF217C" w:rsidP="00466AA3">
    <w:pPr>
      <w:pStyle w:val="Header"/>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1353" w:hanging="360"/>
      </w:pPr>
      <w:rPr>
        <w:rFonts w:ascii="Symbol" w:hAnsi="Symbol" w:cs="Symbol" w:hint="default"/>
        <w:color w:val="000000"/>
        <w:sz w:val="22"/>
        <w:szCs w:val="22"/>
        <w:lang w:val="en-US"/>
      </w:rPr>
    </w:lvl>
  </w:abstractNum>
  <w:abstractNum w:abstractNumId="1" w15:restartNumberingAfterBreak="0">
    <w:nsid w:val="00000004"/>
    <w:multiLevelType w:val="multilevel"/>
    <w:tmpl w:val="00000004"/>
    <w:name w:val="WW8Num4"/>
    <w:lvl w:ilvl="0">
      <w:start w:val="1"/>
      <w:numFmt w:val="bullet"/>
      <w:lvlText w:val=""/>
      <w:lvlJc w:val="left"/>
      <w:pPr>
        <w:tabs>
          <w:tab w:val="num" w:pos="0"/>
        </w:tabs>
        <w:ind w:left="1353" w:hanging="360"/>
      </w:pPr>
      <w:rPr>
        <w:rFonts w:ascii="Symbol" w:hAnsi="Symbol" w:cs="Symbol" w:hint="default"/>
        <w:color w:val="000000"/>
        <w:sz w:val="22"/>
        <w:szCs w:val="22"/>
      </w:rPr>
    </w:lvl>
    <w:lvl w:ilvl="1">
      <w:start w:val="1"/>
      <w:numFmt w:val="bullet"/>
      <w:lvlText w:val=""/>
      <w:lvlJc w:val="left"/>
      <w:pPr>
        <w:tabs>
          <w:tab w:val="num" w:pos="0"/>
        </w:tabs>
        <w:ind w:left="1440" w:hanging="360"/>
      </w:pPr>
      <w:rPr>
        <w:rFonts w:ascii="Symbol" w:hAnsi="Symbol" w:cs="Symbol" w:hint="default"/>
        <w:color w:val="000000"/>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000000"/>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000000"/>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283B34"/>
    <w:multiLevelType w:val="hybridMultilevel"/>
    <w:tmpl w:val="DA6CED58"/>
    <w:lvl w:ilvl="0" w:tplc="0018DB8A">
      <w:start w:val="1"/>
      <w:numFmt w:val="bullet"/>
      <w:pStyle w:val="Textepuce1"/>
      <w:lvlText w:val=""/>
      <w:lvlJc w:val="left"/>
      <w:pPr>
        <w:ind w:left="927"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B22477"/>
    <w:multiLevelType w:val="hybridMultilevel"/>
    <w:tmpl w:val="60505D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522C68"/>
    <w:multiLevelType w:val="hybridMultilevel"/>
    <w:tmpl w:val="B68C9C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73C2CFF"/>
    <w:multiLevelType w:val="hybridMultilevel"/>
    <w:tmpl w:val="4CD4C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5704CE"/>
    <w:multiLevelType w:val="multilevel"/>
    <w:tmpl w:val="51C2F876"/>
    <w:lvl w:ilvl="0">
      <w:start w:val="1"/>
      <w:numFmt w:val="upperLetter"/>
      <w:lvlText w:val="%1."/>
      <w:lvlJc w:val="left"/>
      <w:pPr>
        <w:ind w:left="0" w:firstLine="0"/>
      </w:pPr>
      <w:rPr>
        <w:rFonts w:hint="default"/>
        <w:i w:val="0"/>
        <w:sz w:val="32"/>
        <w:szCs w:val="32"/>
      </w:rPr>
    </w:lvl>
    <w:lvl w:ilvl="1">
      <w:start w:val="1"/>
      <w:numFmt w:val="decimal"/>
      <w:lvlText w:val="%1.%2."/>
      <w:lvlJc w:val="left"/>
      <w:pPr>
        <w:tabs>
          <w:tab w:val="num" w:pos="0"/>
        </w:tabs>
        <w:ind w:left="0" w:firstLine="0"/>
      </w:pPr>
      <w:rPr>
        <w:rFonts w:ascii="Marianne" w:hAnsi="Marianne" w:hint="default"/>
        <w:sz w:val="22"/>
      </w:rPr>
    </w:lvl>
    <w:lvl w:ilvl="2">
      <w:start w:val="1"/>
      <w:numFmt w:val="decimal"/>
      <w:lvlText w:val="%1.%2.%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09F52CFD"/>
    <w:multiLevelType w:val="hybridMultilevel"/>
    <w:tmpl w:val="304E9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A087C5F"/>
    <w:multiLevelType w:val="multilevel"/>
    <w:tmpl w:val="3ED00128"/>
    <w:styleLink w:val="List1"/>
    <w:lvl w:ilvl="0">
      <w:numFmt w:val="bullet"/>
      <w:lvlText w:val="•"/>
      <w:lvlJc w:val="left"/>
      <w:pPr>
        <w:ind w:left="227" w:hanging="227"/>
      </w:pPr>
      <w:rPr>
        <w:rFonts w:ascii="StarSymbol" w:hAnsi="StarSymbol"/>
      </w:rPr>
    </w:lvl>
    <w:lvl w:ilvl="1">
      <w:numFmt w:val="bullet"/>
      <w:lvlText w:val="•"/>
      <w:lvlJc w:val="left"/>
      <w:pPr>
        <w:ind w:left="454" w:hanging="227"/>
      </w:pPr>
      <w:rPr>
        <w:rFonts w:ascii="StarSymbol" w:hAnsi="StarSymbol"/>
      </w:rPr>
    </w:lvl>
    <w:lvl w:ilvl="2">
      <w:numFmt w:val="bullet"/>
      <w:lvlText w:val="•"/>
      <w:lvlJc w:val="left"/>
      <w:pPr>
        <w:ind w:left="680" w:hanging="227"/>
      </w:pPr>
      <w:rPr>
        <w:rFonts w:ascii="StarSymbol" w:hAnsi="StarSymbol"/>
      </w:rPr>
    </w:lvl>
    <w:lvl w:ilvl="3">
      <w:numFmt w:val="bullet"/>
      <w:lvlText w:val="•"/>
      <w:lvlJc w:val="left"/>
      <w:pPr>
        <w:ind w:left="907" w:hanging="227"/>
      </w:pPr>
      <w:rPr>
        <w:rFonts w:ascii="StarSymbol" w:hAnsi="StarSymbol"/>
      </w:rPr>
    </w:lvl>
    <w:lvl w:ilvl="4">
      <w:numFmt w:val="bullet"/>
      <w:lvlText w:val="•"/>
      <w:lvlJc w:val="left"/>
      <w:pPr>
        <w:ind w:left="1134" w:hanging="227"/>
      </w:pPr>
      <w:rPr>
        <w:rFonts w:ascii="StarSymbol" w:hAnsi="StarSymbol"/>
      </w:rPr>
    </w:lvl>
    <w:lvl w:ilvl="5">
      <w:numFmt w:val="bullet"/>
      <w:lvlText w:val="•"/>
      <w:lvlJc w:val="left"/>
      <w:pPr>
        <w:ind w:left="1361" w:hanging="227"/>
      </w:pPr>
      <w:rPr>
        <w:rFonts w:ascii="StarSymbol" w:hAnsi="StarSymbol"/>
      </w:rPr>
    </w:lvl>
    <w:lvl w:ilvl="6">
      <w:numFmt w:val="bullet"/>
      <w:lvlText w:val="•"/>
      <w:lvlJc w:val="left"/>
      <w:pPr>
        <w:ind w:left="1587" w:hanging="227"/>
      </w:pPr>
      <w:rPr>
        <w:rFonts w:ascii="StarSymbol" w:hAnsi="StarSymbol"/>
      </w:rPr>
    </w:lvl>
    <w:lvl w:ilvl="7">
      <w:numFmt w:val="bullet"/>
      <w:lvlText w:val="•"/>
      <w:lvlJc w:val="left"/>
      <w:pPr>
        <w:ind w:left="1814" w:hanging="227"/>
      </w:pPr>
      <w:rPr>
        <w:rFonts w:ascii="StarSymbol" w:hAnsi="StarSymbol"/>
      </w:rPr>
    </w:lvl>
    <w:lvl w:ilvl="8">
      <w:numFmt w:val="bullet"/>
      <w:lvlText w:val="•"/>
      <w:lvlJc w:val="left"/>
      <w:pPr>
        <w:ind w:left="2041" w:hanging="227"/>
      </w:pPr>
      <w:rPr>
        <w:rFonts w:ascii="StarSymbol" w:hAnsi="StarSymbol"/>
      </w:rPr>
    </w:lvl>
  </w:abstractNum>
  <w:abstractNum w:abstractNumId="9" w15:restartNumberingAfterBreak="0">
    <w:nsid w:val="0E3008DF"/>
    <w:multiLevelType w:val="multilevel"/>
    <w:tmpl w:val="E106418E"/>
    <w:name w:val="NC-BR-2022"/>
    <w:lvl w:ilvl="0">
      <w:start w:val="1"/>
      <w:numFmt w:val="upperLetter"/>
      <w:lvlText w:val="%1."/>
      <w:lvlJc w:val="left"/>
      <w:pPr>
        <w:ind w:left="0" w:firstLine="0"/>
      </w:pPr>
      <w:rPr>
        <w:rFonts w:hint="default"/>
        <w:sz w:val="32"/>
        <w:szCs w:val="32"/>
      </w:rPr>
    </w:lvl>
    <w:lvl w:ilvl="1">
      <w:start w:val="1"/>
      <w:numFmt w:val="decimal"/>
      <w:lvlText w:val="%1.%2."/>
      <w:lvlJc w:val="left"/>
      <w:pPr>
        <w:tabs>
          <w:tab w:val="num" w:pos="0"/>
        </w:tabs>
        <w:ind w:left="0" w:firstLine="0"/>
      </w:pPr>
      <w:rPr>
        <w:rFonts w:ascii="Marianne" w:hAnsi="Marianne" w:hint="default"/>
        <w:sz w:val="22"/>
      </w:rPr>
    </w:lvl>
    <w:lvl w:ilvl="2">
      <w:start w:val="1"/>
      <w:numFmt w:val="decimal"/>
      <w:lvlText w:val="%1.%2.%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0F671CE8"/>
    <w:multiLevelType w:val="hybridMultilevel"/>
    <w:tmpl w:val="167E2318"/>
    <w:lvl w:ilvl="0" w:tplc="61FED4D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2270E31"/>
    <w:multiLevelType w:val="hybridMultilevel"/>
    <w:tmpl w:val="3A02EB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22C499A"/>
    <w:multiLevelType w:val="hybridMultilevel"/>
    <w:tmpl w:val="4AE0C272"/>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7485C25"/>
    <w:multiLevelType w:val="hybridMultilevel"/>
    <w:tmpl w:val="5CDA802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7D87752"/>
    <w:multiLevelType w:val="hybridMultilevel"/>
    <w:tmpl w:val="AA54F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86100DE"/>
    <w:multiLevelType w:val="hybridMultilevel"/>
    <w:tmpl w:val="C15EB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8FB09A4"/>
    <w:multiLevelType w:val="hybridMultilevel"/>
    <w:tmpl w:val="ED78A8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C592BA2"/>
    <w:multiLevelType w:val="hybridMultilevel"/>
    <w:tmpl w:val="250CAE14"/>
    <w:lvl w:ilvl="0" w:tplc="61FED4D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B31F31"/>
    <w:multiLevelType w:val="hybridMultilevel"/>
    <w:tmpl w:val="B1D834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09362E4"/>
    <w:multiLevelType w:val="hybridMultilevel"/>
    <w:tmpl w:val="0FD82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0B56E6F"/>
    <w:multiLevelType w:val="hybridMultilevel"/>
    <w:tmpl w:val="DDA22384"/>
    <w:lvl w:ilvl="0" w:tplc="7AA69D8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21B43A3F"/>
    <w:multiLevelType w:val="hybridMultilevel"/>
    <w:tmpl w:val="6BBEC4CA"/>
    <w:lvl w:ilvl="0" w:tplc="F62A4D5A">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3E41348"/>
    <w:multiLevelType w:val="hybridMultilevel"/>
    <w:tmpl w:val="E4925472"/>
    <w:lvl w:ilvl="0" w:tplc="61FED4D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50E46F0"/>
    <w:multiLevelType w:val="hybridMultilevel"/>
    <w:tmpl w:val="413047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68F7913"/>
    <w:multiLevelType w:val="hybridMultilevel"/>
    <w:tmpl w:val="1D9AF3DE"/>
    <w:lvl w:ilvl="0" w:tplc="00000003">
      <w:start w:val="1"/>
      <w:numFmt w:val="bullet"/>
      <w:lvlText w:val=""/>
      <w:lvlJc w:val="left"/>
      <w:pPr>
        <w:tabs>
          <w:tab w:val="num" w:pos="0"/>
        </w:tabs>
        <w:ind w:left="1353" w:hanging="360"/>
      </w:pPr>
      <w:rPr>
        <w:rFonts w:ascii="Symbol" w:hAnsi="Symbol" w:cs="Symbol" w:hint="default"/>
        <w:color w:val="000000"/>
        <w:sz w:val="22"/>
        <w:szCs w:val="22"/>
        <w:lang w:val="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6C21F9E"/>
    <w:multiLevelType w:val="hybridMultilevel"/>
    <w:tmpl w:val="639CADB8"/>
    <w:lvl w:ilvl="0" w:tplc="426CAB78">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7330B93"/>
    <w:multiLevelType w:val="hybridMultilevel"/>
    <w:tmpl w:val="2D8E1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A18121F"/>
    <w:multiLevelType w:val="hybridMultilevel"/>
    <w:tmpl w:val="D8E44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A330E92"/>
    <w:multiLevelType w:val="hybridMultilevel"/>
    <w:tmpl w:val="386E3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A4C5D5D"/>
    <w:multiLevelType w:val="hybridMultilevel"/>
    <w:tmpl w:val="28662BDC"/>
    <w:lvl w:ilvl="0" w:tplc="00000003">
      <w:start w:val="1"/>
      <w:numFmt w:val="bullet"/>
      <w:lvlText w:val=""/>
      <w:lvlJc w:val="left"/>
      <w:pPr>
        <w:tabs>
          <w:tab w:val="num" w:pos="0"/>
        </w:tabs>
        <w:ind w:left="1353" w:hanging="360"/>
      </w:pPr>
      <w:rPr>
        <w:rFonts w:ascii="Symbol" w:hAnsi="Symbol" w:cs="Symbol" w:hint="default"/>
        <w:color w:val="000000"/>
        <w:sz w:val="22"/>
        <w:szCs w:val="22"/>
        <w:lang w:val="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B837740"/>
    <w:multiLevelType w:val="hybridMultilevel"/>
    <w:tmpl w:val="8BC0DD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BF467F2"/>
    <w:multiLevelType w:val="hybridMultilevel"/>
    <w:tmpl w:val="1318C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C5E5F9B"/>
    <w:multiLevelType w:val="hybridMultilevel"/>
    <w:tmpl w:val="F8686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DBE0FEB"/>
    <w:multiLevelType w:val="multilevel"/>
    <w:tmpl w:val="C9EE374C"/>
    <w:lvl w:ilvl="0">
      <w:start w:val="1"/>
      <w:numFmt w:val="bullet"/>
      <w:lvlText w:val=""/>
      <w:lvlJc w:val="left"/>
      <w:pPr>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2EC87241"/>
    <w:multiLevelType w:val="hybridMultilevel"/>
    <w:tmpl w:val="D3FC14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F8127C3"/>
    <w:multiLevelType w:val="hybridMultilevel"/>
    <w:tmpl w:val="595806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1210AC5"/>
    <w:multiLevelType w:val="multilevel"/>
    <w:tmpl w:val="F2A42138"/>
    <w:styleLink w:val="Style1"/>
    <w:lvl w:ilvl="0">
      <w:start w:val="1"/>
      <w:numFmt w:val="upperLetter"/>
      <w:lvlText w:val="%1."/>
      <w:lvlJc w:val="left"/>
      <w:pPr>
        <w:ind w:left="180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7" w15:restartNumberingAfterBreak="0">
    <w:nsid w:val="32DF4077"/>
    <w:multiLevelType w:val="hybridMultilevel"/>
    <w:tmpl w:val="98D47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30C15ED"/>
    <w:multiLevelType w:val="multilevel"/>
    <w:tmpl w:val="C630A204"/>
    <w:styleLink w:val="Numbering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39" w15:restartNumberingAfterBreak="0">
    <w:nsid w:val="337559DB"/>
    <w:multiLevelType w:val="hybridMultilevel"/>
    <w:tmpl w:val="FB44F2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4FB51A1"/>
    <w:multiLevelType w:val="multilevel"/>
    <w:tmpl w:val="A796AB2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35635F40"/>
    <w:multiLevelType w:val="hybridMultilevel"/>
    <w:tmpl w:val="AE7402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6286A75"/>
    <w:multiLevelType w:val="hybridMultilevel"/>
    <w:tmpl w:val="85A8F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D423E42"/>
    <w:multiLevelType w:val="hybridMultilevel"/>
    <w:tmpl w:val="F6085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DAB7ADB"/>
    <w:multiLevelType w:val="hybridMultilevel"/>
    <w:tmpl w:val="05EC7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E6F7A68"/>
    <w:multiLevelType w:val="hybridMultilevel"/>
    <w:tmpl w:val="6AF0F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F3C101A"/>
    <w:multiLevelType w:val="hybridMultilevel"/>
    <w:tmpl w:val="F50ED1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F502AAE"/>
    <w:multiLevelType w:val="hybridMultilevel"/>
    <w:tmpl w:val="D65AC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FD62E1D"/>
    <w:multiLevelType w:val="multilevel"/>
    <w:tmpl w:val="94482BA2"/>
    <w:lvl w:ilvl="0">
      <w:numFmt w:val="bullet"/>
      <w:lvlText w:val="-"/>
      <w:lvlJc w:val="left"/>
      <w:pPr>
        <w:ind w:left="360" w:hanging="360"/>
      </w:pPr>
      <w:rPr>
        <w:rFonts w:ascii="Calibri" w:eastAsiaTheme="minorHAnsi" w:hAnsi="Calibri" w:cs="Calibri"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9" w15:restartNumberingAfterBreak="0">
    <w:nsid w:val="404A298B"/>
    <w:multiLevelType w:val="hybridMultilevel"/>
    <w:tmpl w:val="6542EA9A"/>
    <w:lvl w:ilvl="0" w:tplc="040C0001">
      <w:start w:val="1"/>
      <w:numFmt w:val="bullet"/>
      <w:lvlText w:val=""/>
      <w:lvlJc w:val="left"/>
      <w:pPr>
        <w:ind w:left="720" w:hanging="360"/>
      </w:pPr>
      <w:rPr>
        <w:rFonts w:ascii="Symbol" w:hAnsi="Symbol" w:hint="default"/>
      </w:rPr>
    </w:lvl>
    <w:lvl w:ilvl="1" w:tplc="66540D5E">
      <w:numFmt w:val="bullet"/>
      <w:lvlText w:val="•"/>
      <w:lvlJc w:val="left"/>
      <w:pPr>
        <w:ind w:left="1785" w:hanging="705"/>
      </w:pPr>
      <w:rPr>
        <w:rFonts w:ascii="Marianne" w:eastAsia="Times New Roman" w:hAnsi="Marianne"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0A077CF"/>
    <w:multiLevelType w:val="hybridMultilevel"/>
    <w:tmpl w:val="CCD6B2C4"/>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1812A1E"/>
    <w:multiLevelType w:val="hybridMultilevel"/>
    <w:tmpl w:val="1AAC89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299315A"/>
    <w:multiLevelType w:val="hybridMultilevel"/>
    <w:tmpl w:val="8CAE5E88"/>
    <w:lvl w:ilvl="0" w:tplc="F3245D8E">
      <w:numFmt w:val="bullet"/>
      <w:lvlText w:val="-"/>
      <w:lvlJc w:val="left"/>
      <w:pPr>
        <w:ind w:left="358" w:hanging="360"/>
      </w:pPr>
      <w:rPr>
        <w:rFonts w:ascii="Marianne" w:eastAsia="Times New Roman" w:hAnsi="Marianne" w:cs="Times New Roman"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53" w15:restartNumberingAfterBreak="0">
    <w:nsid w:val="42B72B80"/>
    <w:multiLevelType w:val="hybridMultilevel"/>
    <w:tmpl w:val="FF4CA4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3140B05"/>
    <w:multiLevelType w:val="hybridMultilevel"/>
    <w:tmpl w:val="00CCF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3671518"/>
    <w:multiLevelType w:val="hybridMultilevel"/>
    <w:tmpl w:val="648E1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59C2A97"/>
    <w:multiLevelType w:val="hybridMultilevel"/>
    <w:tmpl w:val="4C8CE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69C0730"/>
    <w:multiLevelType w:val="multilevel"/>
    <w:tmpl w:val="EC9A8B88"/>
    <w:styleLink w:val="Style4"/>
    <w:lvl w:ilvl="0">
      <w:start w:val="1"/>
      <w:numFmt w:val="upperLetter"/>
      <w:lvlText w:val="%1."/>
      <w:lvlJc w:val="left"/>
      <w:pPr>
        <w:ind w:left="0" w:firstLine="0"/>
      </w:pPr>
      <w:rPr>
        <w:rFonts w:hint="default"/>
        <w:sz w:val="32"/>
        <w:szCs w:val="32"/>
      </w:rPr>
    </w:lvl>
    <w:lvl w:ilvl="1">
      <w:start w:val="1"/>
      <w:numFmt w:val="decimal"/>
      <w:lvlText w:val="%1.%2."/>
      <w:lvlJc w:val="left"/>
      <w:pPr>
        <w:tabs>
          <w:tab w:val="num" w:pos="0"/>
        </w:tabs>
        <w:ind w:left="0" w:firstLine="0"/>
      </w:pPr>
      <w:rPr>
        <w:rFonts w:ascii="Marianne" w:hAnsi="Marianne" w:hint="default"/>
        <w:sz w:val="22"/>
      </w:rPr>
    </w:lvl>
    <w:lvl w:ilvl="2">
      <w:start w:val="1"/>
      <w:numFmt w:val="decimal"/>
      <w:lvlText w:val="%1.%2.%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decimal"/>
      <w:lvlText w:val="(%5)"/>
      <w:lvlJc w:val="left"/>
      <w:pPr>
        <w:ind w:left="567" w:hanging="283"/>
      </w:pPr>
      <w:rPr>
        <w:rFonts w:hint="default"/>
      </w:rPr>
    </w:lvl>
    <w:lvl w:ilvl="5">
      <w:start w:val="1"/>
      <w:numFmt w:val="lowerLetter"/>
      <w:lvlText w:val="(%6)"/>
      <w:lvlJc w:val="left"/>
      <w:pPr>
        <w:ind w:left="567" w:hanging="283"/>
      </w:pPr>
      <w:rPr>
        <w:rFonts w:hint="default"/>
      </w:rPr>
    </w:lvl>
    <w:lvl w:ilvl="6">
      <w:start w:val="1"/>
      <w:numFmt w:val="lowerRoman"/>
      <w:lvlText w:val="(%7)"/>
      <w:lvlJc w:val="left"/>
      <w:pPr>
        <w:ind w:left="567" w:hanging="283"/>
      </w:pPr>
      <w:rPr>
        <w:rFonts w:hint="default"/>
      </w:rPr>
    </w:lvl>
    <w:lvl w:ilvl="7">
      <w:start w:val="1"/>
      <w:numFmt w:val="lowerLetter"/>
      <w:lvlText w:val="(%8)"/>
      <w:lvlJc w:val="left"/>
      <w:pPr>
        <w:ind w:left="567" w:hanging="283"/>
      </w:pPr>
      <w:rPr>
        <w:rFonts w:hint="default"/>
      </w:rPr>
    </w:lvl>
    <w:lvl w:ilvl="8">
      <w:start w:val="1"/>
      <w:numFmt w:val="lowerRoman"/>
      <w:lvlText w:val="(%9)"/>
      <w:lvlJc w:val="left"/>
      <w:pPr>
        <w:ind w:left="567" w:hanging="283"/>
      </w:pPr>
      <w:rPr>
        <w:rFonts w:hint="default"/>
      </w:rPr>
    </w:lvl>
  </w:abstractNum>
  <w:abstractNum w:abstractNumId="58" w15:restartNumberingAfterBreak="0">
    <w:nsid w:val="499520C9"/>
    <w:multiLevelType w:val="hybridMultilevel"/>
    <w:tmpl w:val="CD32B6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A887C93"/>
    <w:multiLevelType w:val="hybridMultilevel"/>
    <w:tmpl w:val="DF4287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B4C74C4"/>
    <w:multiLevelType w:val="hybridMultilevel"/>
    <w:tmpl w:val="D1402B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C1A43CA"/>
    <w:multiLevelType w:val="multilevel"/>
    <w:tmpl w:val="51C2F876"/>
    <w:lvl w:ilvl="0">
      <w:start w:val="1"/>
      <w:numFmt w:val="upperLetter"/>
      <w:lvlText w:val="%1."/>
      <w:lvlJc w:val="left"/>
      <w:pPr>
        <w:ind w:left="0" w:firstLine="0"/>
      </w:pPr>
      <w:rPr>
        <w:rFonts w:hint="default"/>
        <w:i w:val="0"/>
        <w:sz w:val="32"/>
        <w:szCs w:val="32"/>
      </w:rPr>
    </w:lvl>
    <w:lvl w:ilvl="1">
      <w:start w:val="1"/>
      <w:numFmt w:val="decimal"/>
      <w:lvlText w:val="%1.%2."/>
      <w:lvlJc w:val="left"/>
      <w:pPr>
        <w:tabs>
          <w:tab w:val="num" w:pos="0"/>
        </w:tabs>
        <w:ind w:left="0" w:firstLine="0"/>
      </w:pPr>
      <w:rPr>
        <w:rFonts w:ascii="Marianne" w:hAnsi="Marianne" w:hint="default"/>
        <w:sz w:val="22"/>
      </w:rPr>
    </w:lvl>
    <w:lvl w:ilvl="2">
      <w:start w:val="1"/>
      <w:numFmt w:val="decimal"/>
      <w:lvlText w:val="%1.%2.%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2" w15:restartNumberingAfterBreak="0">
    <w:nsid w:val="4CB575CE"/>
    <w:multiLevelType w:val="hybridMultilevel"/>
    <w:tmpl w:val="B68C9C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1A570F6"/>
    <w:multiLevelType w:val="multilevel"/>
    <w:tmpl w:val="7F0C7140"/>
    <w:lvl w:ilvl="0">
      <w:start w:val="1"/>
      <w:numFmt w:val="upperLetter"/>
      <w:lvlText w:val="%1."/>
      <w:lvlJc w:val="left"/>
      <w:pPr>
        <w:ind w:left="0" w:firstLine="0"/>
      </w:pPr>
      <w:rPr>
        <w:rFonts w:hint="default"/>
        <w:i w:val="0"/>
        <w:sz w:val="32"/>
        <w:szCs w:val="32"/>
      </w:rPr>
    </w:lvl>
    <w:lvl w:ilvl="1">
      <w:start w:val="1"/>
      <w:numFmt w:val="decimal"/>
      <w:lvlText w:val="%1.%2."/>
      <w:lvlJc w:val="left"/>
      <w:pPr>
        <w:tabs>
          <w:tab w:val="num" w:pos="0"/>
        </w:tabs>
        <w:ind w:left="0" w:firstLine="0"/>
      </w:pPr>
      <w:rPr>
        <w:rFonts w:ascii="Marianne" w:hAnsi="Marianne" w:hint="default"/>
        <w:sz w:val="22"/>
      </w:rPr>
    </w:lvl>
    <w:lvl w:ilvl="2">
      <w:start w:val="1"/>
      <w:numFmt w:val="decimal"/>
      <w:lvlText w:val="%1.%2.%3."/>
      <w:lvlJc w:val="left"/>
      <w:pPr>
        <w:ind w:left="0" w:firstLine="0"/>
      </w:pPr>
      <w:rPr>
        <w:rFonts w:hint="default"/>
        <w:sz w:val="18"/>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4" w15:restartNumberingAfterBreak="0">
    <w:nsid w:val="55556FF1"/>
    <w:multiLevelType w:val="multilevel"/>
    <w:tmpl w:val="ABFA1EE6"/>
    <w:lvl w:ilvl="0">
      <w:start w:val="1"/>
      <w:numFmt w:val="none"/>
      <w:suff w:val="nothing"/>
      <w:lvlText w:val="%1"/>
      <w:lvlJc w:val="left"/>
      <w:pPr>
        <w:ind w:left="0" w:firstLine="0"/>
      </w:pPr>
      <w:rPr>
        <w:rFonts w:hint="default"/>
      </w:rPr>
    </w:lvl>
    <w:lvl w:ilvl="1">
      <w:start w:val="1"/>
      <w:numFmt w:val="none"/>
      <w:suff w:val="nothing"/>
      <w:lvlText w:val="%1"/>
      <w:lvlJc w:val="left"/>
      <w:pPr>
        <w:ind w:left="0" w:firstLine="0"/>
      </w:pPr>
      <w:rPr>
        <w:rFonts w:hint="default"/>
      </w:rPr>
    </w:lvl>
    <w:lvl w:ilvl="2">
      <w:start w:val="1"/>
      <w:numFmt w:val="decimal"/>
      <w:suff w:val="space"/>
      <w:lvlText w:val="%1%3."/>
      <w:lvlJc w:val="left"/>
      <w:pPr>
        <w:ind w:left="0" w:firstLine="0"/>
      </w:pPr>
      <w:rPr>
        <w:rFonts w:hint="default"/>
      </w:rPr>
    </w:lvl>
    <w:lvl w:ilvl="3">
      <w:start w:val="1"/>
      <w:numFmt w:val="decimal"/>
      <w:suff w:val="space"/>
      <w:lvlText w:val="%1%3.%4."/>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15:restartNumberingAfterBreak="0">
    <w:nsid w:val="56EF5792"/>
    <w:multiLevelType w:val="hybridMultilevel"/>
    <w:tmpl w:val="697AED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56F95FCE"/>
    <w:multiLevelType w:val="hybridMultilevel"/>
    <w:tmpl w:val="3B28F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57604BD8"/>
    <w:multiLevelType w:val="multilevel"/>
    <w:tmpl w:val="012AF2D4"/>
    <w:lvl w:ilvl="0">
      <w:start w:val="1"/>
      <w:numFmt w:val="upperLetter"/>
      <w:lvlText w:val="%1."/>
      <w:lvlJc w:val="left"/>
      <w:pPr>
        <w:ind w:left="0" w:firstLine="0"/>
      </w:pPr>
      <w:rPr>
        <w:rFonts w:hint="default"/>
        <w:i w:val="0"/>
        <w:sz w:val="32"/>
        <w:szCs w:val="32"/>
      </w:rPr>
    </w:lvl>
    <w:lvl w:ilvl="1">
      <w:start w:val="1"/>
      <w:numFmt w:val="decimal"/>
      <w:lvlText w:val="%1.%2."/>
      <w:lvlJc w:val="left"/>
      <w:pPr>
        <w:tabs>
          <w:tab w:val="num" w:pos="0"/>
        </w:tabs>
        <w:ind w:left="0" w:firstLine="0"/>
      </w:pPr>
      <w:rPr>
        <w:rFonts w:ascii="Marianne" w:hAnsi="Marianne" w:hint="default"/>
        <w:i w:val="0"/>
        <w:sz w:val="22"/>
      </w:rPr>
    </w:lvl>
    <w:lvl w:ilvl="2">
      <w:start w:val="1"/>
      <w:numFmt w:val="decimal"/>
      <w:lvlText w:val="%1.%2.%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8" w15:restartNumberingAfterBreak="0">
    <w:nsid w:val="57B80036"/>
    <w:multiLevelType w:val="multilevel"/>
    <w:tmpl w:val="D832A83A"/>
    <w:lvl w:ilvl="0">
      <w:start w:val="1"/>
      <w:numFmt w:val="upperLetter"/>
      <w:lvlText w:val="%1."/>
      <w:lvlJc w:val="left"/>
      <w:pPr>
        <w:ind w:left="0" w:firstLine="0"/>
      </w:pPr>
      <w:rPr>
        <w:rFonts w:hint="default"/>
        <w:i w:val="0"/>
        <w:sz w:val="32"/>
        <w:szCs w:val="32"/>
      </w:rPr>
    </w:lvl>
    <w:lvl w:ilvl="1">
      <w:start w:val="1"/>
      <w:numFmt w:val="decimal"/>
      <w:lvlText w:val="%1.%2."/>
      <w:lvlJc w:val="left"/>
      <w:pPr>
        <w:tabs>
          <w:tab w:val="num" w:pos="0"/>
        </w:tabs>
        <w:ind w:left="0" w:firstLine="0"/>
      </w:pPr>
      <w:rPr>
        <w:rFonts w:ascii="Marianne" w:hAnsi="Marianne" w:hint="default"/>
        <w:sz w:val="20"/>
      </w:rPr>
    </w:lvl>
    <w:lvl w:ilvl="2">
      <w:start w:val="1"/>
      <w:numFmt w:val="decimal"/>
      <w:lvlText w:val="%1.%2.%3."/>
      <w:lvlJc w:val="left"/>
      <w:pPr>
        <w:ind w:left="0" w:firstLine="0"/>
      </w:pPr>
      <w:rPr>
        <w:rFonts w:hint="default"/>
        <w:sz w:val="18"/>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9" w15:restartNumberingAfterBreak="0">
    <w:nsid w:val="58766539"/>
    <w:multiLevelType w:val="multilevel"/>
    <w:tmpl w:val="F2A42138"/>
    <w:numStyleLink w:val="Style1"/>
  </w:abstractNum>
  <w:abstractNum w:abstractNumId="70" w15:restartNumberingAfterBreak="0">
    <w:nsid w:val="59E31680"/>
    <w:multiLevelType w:val="hybridMultilevel"/>
    <w:tmpl w:val="0D5A94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5A01329A"/>
    <w:multiLevelType w:val="hybridMultilevel"/>
    <w:tmpl w:val="0E9606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5A2D2F8D"/>
    <w:multiLevelType w:val="hybridMultilevel"/>
    <w:tmpl w:val="FFA6338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B033E7B"/>
    <w:multiLevelType w:val="hybridMultilevel"/>
    <w:tmpl w:val="70C6C4F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B52219A"/>
    <w:multiLevelType w:val="hybridMultilevel"/>
    <w:tmpl w:val="9CBC83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5BBA41E7"/>
    <w:multiLevelType w:val="multilevel"/>
    <w:tmpl w:val="1E5E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77559B"/>
    <w:multiLevelType w:val="hybridMultilevel"/>
    <w:tmpl w:val="EB1053F2"/>
    <w:lvl w:ilvl="0" w:tplc="61FED4D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5E81476E"/>
    <w:multiLevelType w:val="multilevel"/>
    <w:tmpl w:val="F6A6D21E"/>
    <w:lvl w:ilvl="0">
      <w:start w:val="1"/>
      <w:numFmt w:val="upperLetter"/>
      <w:lvlText w:val="%1."/>
      <w:lvlJc w:val="left"/>
      <w:pPr>
        <w:ind w:left="0" w:firstLine="0"/>
      </w:pPr>
      <w:rPr>
        <w:rFonts w:hint="default"/>
        <w:i w:val="0"/>
        <w:sz w:val="32"/>
        <w:szCs w:val="32"/>
      </w:rPr>
    </w:lvl>
    <w:lvl w:ilvl="1">
      <w:start w:val="1"/>
      <w:numFmt w:val="decimal"/>
      <w:lvlText w:val="%1.%2."/>
      <w:lvlJc w:val="left"/>
      <w:pPr>
        <w:tabs>
          <w:tab w:val="num" w:pos="0"/>
        </w:tabs>
        <w:ind w:left="0" w:firstLine="0"/>
      </w:pPr>
      <w:rPr>
        <w:rFonts w:ascii="Marianne" w:hAnsi="Marianne" w:hint="default"/>
        <w:sz w:val="22"/>
      </w:rPr>
    </w:lvl>
    <w:lvl w:ilvl="2">
      <w:start w:val="1"/>
      <w:numFmt w:val="decimal"/>
      <w:lvlText w:val="%1.%2.%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8" w15:restartNumberingAfterBreak="0">
    <w:nsid w:val="60247E77"/>
    <w:multiLevelType w:val="multilevel"/>
    <w:tmpl w:val="E18A032E"/>
    <w:lvl w:ilvl="0">
      <w:start w:val="2"/>
      <w:numFmt w:val="bullet"/>
      <w:lvlText w:val="-"/>
      <w:lvlJc w:val="left"/>
      <w:pPr>
        <w:ind w:left="360" w:hanging="360"/>
      </w:pPr>
      <w:rPr>
        <w:rFonts w:ascii="Arial" w:hAnsi="Arial" w:cs="Aria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9" w15:restartNumberingAfterBreak="0">
    <w:nsid w:val="60DD5BC9"/>
    <w:multiLevelType w:val="hybridMultilevel"/>
    <w:tmpl w:val="757C80B4"/>
    <w:lvl w:ilvl="0" w:tplc="42424A64">
      <w:start w:val="1"/>
      <w:numFmt w:val="bullet"/>
      <w:lvlText w:val="-"/>
      <w:lvlJc w:val="left"/>
      <w:pPr>
        <w:ind w:left="720" w:hanging="360"/>
      </w:pPr>
      <w:rPr>
        <w:rFonts w:ascii="Marianne" w:eastAsia="Times New Roman" w:hAnsi="Marianne"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637B3083"/>
    <w:multiLevelType w:val="hybridMultilevel"/>
    <w:tmpl w:val="4546E0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39A5DC9"/>
    <w:multiLevelType w:val="multilevel"/>
    <w:tmpl w:val="66786554"/>
    <w:lvl w:ilvl="0">
      <w:start w:val="1"/>
      <w:numFmt w:val="upperLetter"/>
      <w:pStyle w:val="Titre2Niveau2"/>
      <w:lvlText w:val="%1."/>
      <w:lvlJc w:val="left"/>
      <w:pPr>
        <w:ind w:left="0" w:firstLine="0"/>
      </w:pPr>
      <w:rPr>
        <w:rFonts w:hint="default"/>
        <w:i w:val="0"/>
        <w:sz w:val="32"/>
        <w:szCs w:val="32"/>
      </w:rPr>
    </w:lvl>
    <w:lvl w:ilvl="1">
      <w:start w:val="1"/>
      <w:numFmt w:val="decimal"/>
      <w:pStyle w:val="Titre3Niveau3"/>
      <w:lvlText w:val="%1.%2."/>
      <w:lvlJc w:val="left"/>
      <w:pPr>
        <w:tabs>
          <w:tab w:val="num" w:pos="0"/>
        </w:tabs>
        <w:ind w:left="0" w:firstLine="0"/>
      </w:pPr>
      <w:rPr>
        <w:rFonts w:ascii="Marianne" w:hAnsi="Marianne" w:hint="default"/>
        <w:i w:val="0"/>
        <w:sz w:val="22"/>
      </w:rPr>
    </w:lvl>
    <w:lvl w:ilvl="2">
      <w:start w:val="1"/>
      <w:numFmt w:val="decimal"/>
      <w:pStyle w:val="Titre4niveau4"/>
      <w:lvlText w:val="%1.%2.%3."/>
      <w:lvlJc w:val="left"/>
      <w:pPr>
        <w:ind w:left="0" w:firstLine="0"/>
      </w:pPr>
      <w:rPr>
        <w:rFonts w:hint="default"/>
      </w:rPr>
    </w:lvl>
    <w:lvl w:ilvl="3">
      <w:start w:val="1"/>
      <w:numFmt w:val="none"/>
      <w:lvlRestart w:val="0"/>
      <w:pStyle w:val="titreencadre"/>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2" w15:restartNumberingAfterBreak="0">
    <w:nsid w:val="63D1239F"/>
    <w:multiLevelType w:val="hybridMultilevel"/>
    <w:tmpl w:val="8592B802"/>
    <w:lvl w:ilvl="0" w:tplc="33FEE1F8">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68B06DFD"/>
    <w:multiLevelType w:val="hybridMultilevel"/>
    <w:tmpl w:val="C0BEF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69E65AA2"/>
    <w:multiLevelType w:val="hybridMultilevel"/>
    <w:tmpl w:val="66CC1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AE8169B"/>
    <w:multiLevelType w:val="hybridMultilevel"/>
    <w:tmpl w:val="FF0E6F02"/>
    <w:lvl w:ilvl="0" w:tplc="00000003">
      <w:start w:val="1"/>
      <w:numFmt w:val="bullet"/>
      <w:lvlText w:val=""/>
      <w:lvlJc w:val="left"/>
      <w:pPr>
        <w:tabs>
          <w:tab w:val="num" w:pos="0"/>
        </w:tabs>
        <w:ind w:left="1353" w:hanging="360"/>
      </w:pPr>
      <w:rPr>
        <w:rFonts w:ascii="Symbol" w:hAnsi="Symbol" w:cs="Symbol" w:hint="default"/>
        <w:color w:val="000000"/>
        <w:sz w:val="22"/>
        <w:szCs w:val="22"/>
        <w:lang w:val="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B1B4300"/>
    <w:multiLevelType w:val="hybridMultilevel"/>
    <w:tmpl w:val="4FAAA9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6DA10A02"/>
    <w:multiLevelType w:val="hybridMultilevel"/>
    <w:tmpl w:val="44D88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70303957"/>
    <w:multiLevelType w:val="hybridMultilevel"/>
    <w:tmpl w:val="F3F8F23E"/>
    <w:lvl w:ilvl="0" w:tplc="D34A78DA">
      <w:start w:val="1"/>
      <w:numFmt w:val="decimal"/>
      <w:pStyle w:val="textepuce2"/>
      <w:lvlText w:val="%1."/>
      <w:lvlJc w:val="left"/>
      <w:pPr>
        <w:ind w:left="1021" w:hanging="45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712E40B0"/>
    <w:multiLevelType w:val="hybridMultilevel"/>
    <w:tmpl w:val="B0D45E42"/>
    <w:lvl w:ilvl="0" w:tplc="426CAB78">
      <w:numFmt w:val="bullet"/>
      <w:lvlText w:val="-"/>
      <w:lvlJc w:val="left"/>
      <w:pPr>
        <w:ind w:left="1065" w:hanging="705"/>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207352B"/>
    <w:multiLevelType w:val="hybridMultilevel"/>
    <w:tmpl w:val="15BE7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73706FB2"/>
    <w:multiLevelType w:val="hybridMultilevel"/>
    <w:tmpl w:val="9F52AB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74203F53"/>
    <w:multiLevelType w:val="hybridMultilevel"/>
    <w:tmpl w:val="18361C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744B2907"/>
    <w:multiLevelType w:val="hybridMultilevel"/>
    <w:tmpl w:val="39B40B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5772BCA"/>
    <w:multiLevelType w:val="hybridMultilevel"/>
    <w:tmpl w:val="2B2A3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7691733C"/>
    <w:multiLevelType w:val="hybridMultilevel"/>
    <w:tmpl w:val="512C6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77664FFD"/>
    <w:multiLevelType w:val="hybridMultilevel"/>
    <w:tmpl w:val="F4841CFA"/>
    <w:lvl w:ilvl="0" w:tplc="F0FC7D3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7" w15:restartNumberingAfterBreak="0">
    <w:nsid w:val="7864629B"/>
    <w:multiLevelType w:val="hybridMultilevel"/>
    <w:tmpl w:val="3BFC84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7A6A15D5"/>
    <w:multiLevelType w:val="hybridMultilevel"/>
    <w:tmpl w:val="821026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7A8646E8"/>
    <w:multiLevelType w:val="hybridMultilevel"/>
    <w:tmpl w:val="E81644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7B0124B1"/>
    <w:multiLevelType w:val="hybridMultilevel"/>
    <w:tmpl w:val="B7D05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7B1074A2"/>
    <w:multiLevelType w:val="hybridMultilevel"/>
    <w:tmpl w:val="FF04E9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7B525794"/>
    <w:multiLevelType w:val="hybridMultilevel"/>
    <w:tmpl w:val="32E2751A"/>
    <w:lvl w:ilvl="0" w:tplc="040C000F">
      <w:start w:val="1"/>
      <w:numFmt w:val="decimal"/>
      <w:lvlText w:val="%1."/>
      <w:lvlJc w:val="left"/>
      <w:pPr>
        <w:ind w:left="1065" w:hanging="705"/>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7BFC4A48"/>
    <w:multiLevelType w:val="multilevel"/>
    <w:tmpl w:val="51C2F876"/>
    <w:lvl w:ilvl="0">
      <w:start w:val="1"/>
      <w:numFmt w:val="upperLetter"/>
      <w:lvlText w:val="%1."/>
      <w:lvlJc w:val="left"/>
      <w:pPr>
        <w:ind w:left="0" w:firstLine="0"/>
      </w:pPr>
      <w:rPr>
        <w:rFonts w:hint="default"/>
        <w:i w:val="0"/>
        <w:sz w:val="32"/>
        <w:szCs w:val="32"/>
      </w:rPr>
    </w:lvl>
    <w:lvl w:ilvl="1">
      <w:start w:val="1"/>
      <w:numFmt w:val="decimal"/>
      <w:lvlText w:val="%1.%2."/>
      <w:lvlJc w:val="left"/>
      <w:pPr>
        <w:tabs>
          <w:tab w:val="num" w:pos="0"/>
        </w:tabs>
        <w:ind w:left="0" w:firstLine="0"/>
      </w:pPr>
      <w:rPr>
        <w:rFonts w:ascii="Marianne" w:hAnsi="Marianne" w:hint="default"/>
        <w:sz w:val="22"/>
      </w:rPr>
    </w:lvl>
    <w:lvl w:ilvl="2">
      <w:start w:val="1"/>
      <w:numFmt w:val="decimal"/>
      <w:lvlText w:val="%1.%2.%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4" w15:restartNumberingAfterBreak="0">
    <w:nsid w:val="7F8C6CC2"/>
    <w:multiLevelType w:val="hybridMultilevel"/>
    <w:tmpl w:val="25CA0892"/>
    <w:lvl w:ilvl="0" w:tplc="00000003">
      <w:start w:val="1"/>
      <w:numFmt w:val="bullet"/>
      <w:lvlText w:val=""/>
      <w:lvlJc w:val="left"/>
      <w:pPr>
        <w:tabs>
          <w:tab w:val="num" w:pos="0"/>
        </w:tabs>
        <w:ind w:left="1353" w:hanging="360"/>
      </w:pPr>
      <w:rPr>
        <w:rFonts w:ascii="Symbol" w:hAnsi="Symbol" w:cs="Symbol" w:hint="default"/>
        <w:color w:val="000000"/>
        <w:sz w:val="22"/>
        <w:szCs w:val="22"/>
        <w:lang w:val="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1064199">
    <w:abstractNumId w:val="2"/>
  </w:num>
  <w:num w:numId="2" w16cid:durableId="1058550331">
    <w:abstractNumId w:val="88"/>
  </w:num>
  <w:num w:numId="3" w16cid:durableId="812329178">
    <w:abstractNumId w:val="38"/>
  </w:num>
  <w:num w:numId="4" w16cid:durableId="1111707292">
    <w:abstractNumId w:val="8"/>
  </w:num>
  <w:num w:numId="5" w16cid:durableId="1377199636">
    <w:abstractNumId w:val="63"/>
  </w:num>
  <w:num w:numId="6" w16cid:durableId="1002510267">
    <w:abstractNumId w:val="95"/>
  </w:num>
  <w:num w:numId="7" w16cid:durableId="1236477981">
    <w:abstractNumId w:val="36"/>
  </w:num>
  <w:num w:numId="8" w16cid:durableId="4404454">
    <w:abstractNumId w:val="28"/>
  </w:num>
  <w:num w:numId="9" w16cid:durableId="2101294524">
    <w:abstractNumId w:val="46"/>
  </w:num>
  <w:num w:numId="10" w16cid:durableId="1479296440">
    <w:abstractNumId w:val="39"/>
  </w:num>
  <w:num w:numId="11" w16cid:durableId="144055071">
    <w:abstractNumId w:val="79"/>
  </w:num>
  <w:num w:numId="12" w16cid:durableId="19046398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5809537">
    <w:abstractNumId w:val="86"/>
  </w:num>
  <w:num w:numId="14" w16cid:durableId="1143276652">
    <w:abstractNumId w:val="81"/>
  </w:num>
  <w:num w:numId="15" w16cid:durableId="1716277403">
    <w:abstractNumId w:val="5"/>
  </w:num>
  <w:num w:numId="16" w16cid:durableId="1672484178">
    <w:abstractNumId w:val="40"/>
  </w:num>
  <w:num w:numId="17" w16cid:durableId="184165255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677819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6770313">
    <w:abstractNumId w:val="100"/>
  </w:num>
  <w:num w:numId="20" w16cid:durableId="531577646">
    <w:abstractNumId w:val="65"/>
  </w:num>
  <w:num w:numId="21" w16cid:durableId="442263567">
    <w:abstractNumId w:val="60"/>
  </w:num>
  <w:num w:numId="22" w16cid:durableId="1559245907">
    <w:abstractNumId w:val="26"/>
  </w:num>
  <w:num w:numId="23" w16cid:durableId="1319723216">
    <w:abstractNumId w:val="7"/>
  </w:num>
  <w:num w:numId="24" w16cid:durableId="1891570668">
    <w:abstractNumId w:val="75"/>
  </w:num>
  <w:num w:numId="25" w16cid:durableId="149476289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0269358">
    <w:abstractNumId w:val="85"/>
  </w:num>
  <w:num w:numId="27" w16cid:durableId="1054156971">
    <w:abstractNumId w:val="104"/>
  </w:num>
  <w:num w:numId="28" w16cid:durableId="1684503737">
    <w:abstractNumId w:val="44"/>
  </w:num>
  <w:num w:numId="29" w16cid:durableId="817109042">
    <w:abstractNumId w:val="73"/>
  </w:num>
  <w:num w:numId="30" w16cid:durableId="1269897074">
    <w:abstractNumId w:val="13"/>
  </w:num>
  <w:num w:numId="31" w16cid:durableId="334842367">
    <w:abstractNumId w:val="82"/>
  </w:num>
  <w:num w:numId="32" w16cid:durableId="2075275195">
    <w:abstractNumId w:val="42"/>
  </w:num>
  <w:num w:numId="33" w16cid:durableId="1483354425">
    <w:abstractNumId w:val="11"/>
  </w:num>
  <w:num w:numId="34" w16cid:durableId="182911427">
    <w:abstractNumId w:val="12"/>
  </w:num>
  <w:num w:numId="35" w16cid:durableId="949124980">
    <w:abstractNumId w:val="32"/>
  </w:num>
  <w:num w:numId="36" w16cid:durableId="2059283252">
    <w:abstractNumId w:val="33"/>
  </w:num>
  <w:num w:numId="37" w16cid:durableId="614142306">
    <w:abstractNumId w:val="20"/>
  </w:num>
  <w:num w:numId="38" w16cid:durableId="65106207">
    <w:abstractNumId w:val="81"/>
  </w:num>
  <w:num w:numId="39" w16cid:durableId="2040931593">
    <w:abstractNumId w:val="47"/>
  </w:num>
  <w:num w:numId="40" w16cid:durableId="473714842">
    <w:abstractNumId w:val="56"/>
  </w:num>
  <w:num w:numId="41" w16cid:durableId="1621180760">
    <w:abstractNumId w:val="14"/>
  </w:num>
  <w:num w:numId="42" w16cid:durableId="1120419111">
    <w:abstractNumId w:val="80"/>
  </w:num>
  <w:num w:numId="43" w16cid:durableId="1383866684">
    <w:abstractNumId w:val="70"/>
  </w:num>
  <w:num w:numId="44" w16cid:durableId="562911067">
    <w:abstractNumId w:val="78"/>
  </w:num>
  <w:num w:numId="45" w16cid:durableId="1369332741">
    <w:abstractNumId w:val="83"/>
  </w:num>
  <w:num w:numId="46" w16cid:durableId="1321617842">
    <w:abstractNumId w:val="77"/>
  </w:num>
  <w:num w:numId="47" w16cid:durableId="324630592">
    <w:abstractNumId w:val="6"/>
  </w:num>
  <w:num w:numId="48" w16cid:durableId="1979341885">
    <w:abstractNumId w:val="67"/>
  </w:num>
  <w:num w:numId="49" w16cid:durableId="1962608972">
    <w:abstractNumId w:val="57"/>
  </w:num>
  <w:num w:numId="50" w16cid:durableId="15393201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65553813">
    <w:abstractNumId w:val="10"/>
  </w:num>
  <w:num w:numId="52" w16cid:durableId="1567104008">
    <w:abstractNumId w:val="76"/>
  </w:num>
  <w:num w:numId="53" w16cid:durableId="608514334">
    <w:abstractNumId w:val="45"/>
  </w:num>
  <w:num w:numId="54" w16cid:durableId="1467890562">
    <w:abstractNumId w:val="30"/>
  </w:num>
  <w:num w:numId="55" w16cid:durableId="36313622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7967093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167600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43082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9497442">
    <w:abstractNumId w:val="4"/>
  </w:num>
  <w:num w:numId="60" w16cid:durableId="903875310">
    <w:abstractNumId w:val="62"/>
  </w:num>
  <w:num w:numId="61" w16cid:durableId="2116098793">
    <w:abstractNumId w:val="34"/>
  </w:num>
  <w:num w:numId="62" w16cid:durableId="1619794042">
    <w:abstractNumId w:val="92"/>
  </w:num>
  <w:num w:numId="63" w16cid:durableId="364524194">
    <w:abstractNumId w:val="71"/>
  </w:num>
  <w:num w:numId="64" w16cid:durableId="79298615">
    <w:abstractNumId w:val="66"/>
  </w:num>
  <w:num w:numId="65" w16cid:durableId="18554607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66753569">
    <w:abstractNumId w:val="64"/>
  </w:num>
  <w:num w:numId="67" w16cid:durableId="1272661220">
    <w:abstractNumId w:val="55"/>
  </w:num>
  <w:num w:numId="68" w16cid:durableId="1991908551">
    <w:abstractNumId w:val="18"/>
  </w:num>
  <w:num w:numId="69" w16cid:durableId="130446621">
    <w:abstractNumId w:val="49"/>
  </w:num>
  <w:num w:numId="70" w16cid:durableId="1121724594">
    <w:abstractNumId w:val="93"/>
  </w:num>
  <w:num w:numId="71" w16cid:durableId="1635717699">
    <w:abstractNumId w:val="53"/>
  </w:num>
  <w:num w:numId="72" w16cid:durableId="622418000">
    <w:abstractNumId w:val="99"/>
  </w:num>
  <w:num w:numId="73" w16cid:durableId="788357857">
    <w:abstractNumId w:val="84"/>
  </w:num>
  <w:num w:numId="74" w16cid:durableId="655719684">
    <w:abstractNumId w:val="23"/>
  </w:num>
  <w:num w:numId="75" w16cid:durableId="712080528">
    <w:abstractNumId w:val="101"/>
  </w:num>
  <w:num w:numId="76" w16cid:durableId="752436878">
    <w:abstractNumId w:val="3"/>
  </w:num>
  <w:num w:numId="77" w16cid:durableId="1401825389">
    <w:abstractNumId w:val="41"/>
  </w:num>
  <w:num w:numId="78" w16cid:durableId="570772752">
    <w:abstractNumId w:val="19"/>
  </w:num>
  <w:num w:numId="79" w16cid:durableId="1883976706">
    <w:abstractNumId w:val="97"/>
  </w:num>
  <w:num w:numId="80" w16cid:durableId="136537072">
    <w:abstractNumId w:val="21"/>
  </w:num>
  <w:num w:numId="81" w16cid:durableId="1244536047">
    <w:abstractNumId w:val="98"/>
  </w:num>
  <w:num w:numId="82" w16cid:durableId="1570261075">
    <w:abstractNumId w:val="74"/>
  </w:num>
  <w:num w:numId="83" w16cid:durableId="1336953192">
    <w:abstractNumId w:val="51"/>
  </w:num>
  <w:num w:numId="84" w16cid:durableId="2087454908">
    <w:abstractNumId w:val="91"/>
  </w:num>
  <w:num w:numId="85" w16cid:durableId="623385096">
    <w:abstractNumId w:val="89"/>
  </w:num>
  <w:num w:numId="86" w16cid:durableId="169102922">
    <w:abstractNumId w:val="102"/>
  </w:num>
  <w:num w:numId="87" w16cid:durableId="714044241">
    <w:abstractNumId w:val="58"/>
  </w:num>
  <w:num w:numId="88" w16cid:durableId="667710379">
    <w:abstractNumId w:val="69"/>
  </w:num>
  <w:num w:numId="89" w16cid:durableId="1954676916">
    <w:abstractNumId w:val="9"/>
  </w:num>
  <w:num w:numId="90" w16cid:durableId="494498318">
    <w:abstractNumId w:val="25"/>
  </w:num>
  <w:num w:numId="91" w16cid:durableId="1843273507">
    <w:abstractNumId w:val="48"/>
  </w:num>
  <w:num w:numId="92" w16cid:durableId="859666703">
    <w:abstractNumId w:val="61"/>
  </w:num>
  <w:num w:numId="93" w16cid:durableId="1765760099">
    <w:abstractNumId w:val="35"/>
  </w:num>
  <w:num w:numId="94" w16cid:durableId="262957804">
    <w:abstractNumId w:val="72"/>
  </w:num>
  <w:num w:numId="95" w16cid:durableId="1846630586">
    <w:abstractNumId w:val="103"/>
  </w:num>
  <w:num w:numId="96" w16cid:durableId="1078406642">
    <w:abstractNumId w:val="50"/>
  </w:num>
  <w:num w:numId="97" w16cid:durableId="1187132250">
    <w:abstractNumId w:val="0"/>
  </w:num>
  <w:num w:numId="98" w16cid:durableId="1969772224">
    <w:abstractNumId w:val="1"/>
  </w:num>
  <w:num w:numId="99" w16cid:durableId="606086677">
    <w:abstractNumId w:val="90"/>
  </w:num>
  <w:num w:numId="100" w16cid:durableId="715010688">
    <w:abstractNumId w:val="94"/>
  </w:num>
  <w:num w:numId="101" w16cid:durableId="1831019346">
    <w:abstractNumId w:val="43"/>
  </w:num>
  <w:num w:numId="102" w16cid:durableId="1770657018">
    <w:abstractNumId w:val="27"/>
  </w:num>
  <w:num w:numId="103" w16cid:durableId="2002199245">
    <w:abstractNumId w:val="37"/>
  </w:num>
  <w:num w:numId="104" w16cid:durableId="1021980132">
    <w:abstractNumId w:val="59"/>
  </w:num>
  <w:num w:numId="105" w16cid:durableId="1195383297">
    <w:abstractNumId w:val="16"/>
  </w:num>
  <w:num w:numId="106" w16cid:durableId="1022633020">
    <w:abstractNumId w:val="29"/>
  </w:num>
  <w:num w:numId="107" w16cid:durableId="1701272363">
    <w:abstractNumId w:val="24"/>
  </w:num>
  <w:num w:numId="108" w16cid:durableId="177281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604805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623608712">
    <w:abstractNumId w:val="54"/>
  </w:num>
  <w:num w:numId="111" w16cid:durableId="1496411259">
    <w:abstractNumId w:val="52"/>
  </w:num>
  <w:num w:numId="112" w16cid:durableId="2034334904">
    <w:abstractNumId w:val="96"/>
  </w:num>
  <w:num w:numId="113" w16cid:durableId="791902939">
    <w:abstractNumId w:val="22"/>
  </w:num>
  <w:num w:numId="114" w16cid:durableId="137965783">
    <w:abstractNumId w:val="17"/>
  </w:num>
  <w:num w:numId="115" w16cid:durableId="12217913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611206231">
    <w:abstractNumId w:val="15"/>
  </w:num>
  <w:num w:numId="117" w16cid:durableId="166598288">
    <w:abstractNumId w:val="31"/>
  </w:num>
  <w:num w:numId="118" w16cid:durableId="132674710">
    <w:abstractNumId w:val="87"/>
  </w:num>
  <w:num w:numId="119" w16cid:durableId="30231863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826161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44466423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9698250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9247274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7747137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9518597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63066800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935"/>
    <w:rsid w:val="00002707"/>
    <w:rsid w:val="00004183"/>
    <w:rsid w:val="00007B3B"/>
    <w:rsid w:val="00011EED"/>
    <w:rsid w:val="000122AD"/>
    <w:rsid w:val="000129F0"/>
    <w:rsid w:val="0001502C"/>
    <w:rsid w:val="00015478"/>
    <w:rsid w:val="000157E5"/>
    <w:rsid w:val="00022163"/>
    <w:rsid w:val="000222C0"/>
    <w:rsid w:val="00027D90"/>
    <w:rsid w:val="00027F24"/>
    <w:rsid w:val="000323FF"/>
    <w:rsid w:val="000337A0"/>
    <w:rsid w:val="00037B0C"/>
    <w:rsid w:val="00042E0B"/>
    <w:rsid w:val="00051E06"/>
    <w:rsid w:val="00053DB3"/>
    <w:rsid w:val="0005645A"/>
    <w:rsid w:val="00063B85"/>
    <w:rsid w:val="00066F18"/>
    <w:rsid w:val="000713CC"/>
    <w:rsid w:val="00073E72"/>
    <w:rsid w:val="000749DC"/>
    <w:rsid w:val="00076E7A"/>
    <w:rsid w:val="00081C08"/>
    <w:rsid w:val="00082E4C"/>
    <w:rsid w:val="00084C07"/>
    <w:rsid w:val="000863E6"/>
    <w:rsid w:val="00091982"/>
    <w:rsid w:val="00092146"/>
    <w:rsid w:val="00093795"/>
    <w:rsid w:val="000B3D51"/>
    <w:rsid w:val="000B528C"/>
    <w:rsid w:val="000B725D"/>
    <w:rsid w:val="000C08B6"/>
    <w:rsid w:val="000C30EE"/>
    <w:rsid w:val="000C711B"/>
    <w:rsid w:val="000D2F08"/>
    <w:rsid w:val="000D6CEA"/>
    <w:rsid w:val="000F2436"/>
    <w:rsid w:val="000F55D0"/>
    <w:rsid w:val="000F6E9C"/>
    <w:rsid w:val="000F7B26"/>
    <w:rsid w:val="0010331A"/>
    <w:rsid w:val="0010506B"/>
    <w:rsid w:val="00111D10"/>
    <w:rsid w:val="001125D5"/>
    <w:rsid w:val="00114423"/>
    <w:rsid w:val="00114C84"/>
    <w:rsid w:val="00117C72"/>
    <w:rsid w:val="00117FAB"/>
    <w:rsid w:val="001322CC"/>
    <w:rsid w:val="001329FA"/>
    <w:rsid w:val="00132B40"/>
    <w:rsid w:val="001348B2"/>
    <w:rsid w:val="00134E06"/>
    <w:rsid w:val="001358AE"/>
    <w:rsid w:val="00141043"/>
    <w:rsid w:val="00151882"/>
    <w:rsid w:val="00152136"/>
    <w:rsid w:val="0015443B"/>
    <w:rsid w:val="001808DF"/>
    <w:rsid w:val="0018240E"/>
    <w:rsid w:val="0019181E"/>
    <w:rsid w:val="001939DF"/>
    <w:rsid w:val="00193B16"/>
    <w:rsid w:val="00196F33"/>
    <w:rsid w:val="001A3B9E"/>
    <w:rsid w:val="001A3EB8"/>
    <w:rsid w:val="001A5DDF"/>
    <w:rsid w:val="001A6C20"/>
    <w:rsid w:val="001B585A"/>
    <w:rsid w:val="001B7CC7"/>
    <w:rsid w:val="001C27AE"/>
    <w:rsid w:val="001C4357"/>
    <w:rsid w:val="001C71A6"/>
    <w:rsid w:val="001C7C9E"/>
    <w:rsid w:val="001D0EE1"/>
    <w:rsid w:val="001D55EC"/>
    <w:rsid w:val="001E2F27"/>
    <w:rsid w:val="001E4C6C"/>
    <w:rsid w:val="001E5CAA"/>
    <w:rsid w:val="001E6141"/>
    <w:rsid w:val="001E6EDE"/>
    <w:rsid w:val="001F2587"/>
    <w:rsid w:val="001F63F5"/>
    <w:rsid w:val="002019AB"/>
    <w:rsid w:val="00202146"/>
    <w:rsid w:val="002035E5"/>
    <w:rsid w:val="002056CB"/>
    <w:rsid w:val="00206F0B"/>
    <w:rsid w:val="00210A16"/>
    <w:rsid w:val="002147DD"/>
    <w:rsid w:val="002157AA"/>
    <w:rsid w:val="00215836"/>
    <w:rsid w:val="00217EF0"/>
    <w:rsid w:val="00221780"/>
    <w:rsid w:val="0022180D"/>
    <w:rsid w:val="00223772"/>
    <w:rsid w:val="00223DAD"/>
    <w:rsid w:val="00224DF6"/>
    <w:rsid w:val="00226645"/>
    <w:rsid w:val="00227E0D"/>
    <w:rsid w:val="00235933"/>
    <w:rsid w:val="002372C9"/>
    <w:rsid w:val="00237F90"/>
    <w:rsid w:val="00246278"/>
    <w:rsid w:val="002507EC"/>
    <w:rsid w:val="00250CFD"/>
    <w:rsid w:val="00250DCB"/>
    <w:rsid w:val="00251B48"/>
    <w:rsid w:val="002531AC"/>
    <w:rsid w:val="0026081F"/>
    <w:rsid w:val="00274EB7"/>
    <w:rsid w:val="0027779E"/>
    <w:rsid w:val="002819E8"/>
    <w:rsid w:val="00286BBA"/>
    <w:rsid w:val="00290470"/>
    <w:rsid w:val="002A03F0"/>
    <w:rsid w:val="002A2AE3"/>
    <w:rsid w:val="002A44BC"/>
    <w:rsid w:val="002A52F3"/>
    <w:rsid w:val="002A5699"/>
    <w:rsid w:val="002B552B"/>
    <w:rsid w:val="002C012B"/>
    <w:rsid w:val="002C6E98"/>
    <w:rsid w:val="002D08FD"/>
    <w:rsid w:val="002D615D"/>
    <w:rsid w:val="002D67C0"/>
    <w:rsid w:val="002E3B64"/>
    <w:rsid w:val="002E5FBC"/>
    <w:rsid w:val="002E693F"/>
    <w:rsid w:val="002E7E70"/>
    <w:rsid w:val="002F0338"/>
    <w:rsid w:val="002F0AC8"/>
    <w:rsid w:val="002F2FFD"/>
    <w:rsid w:val="002F4FA6"/>
    <w:rsid w:val="002F6C90"/>
    <w:rsid w:val="00305138"/>
    <w:rsid w:val="00305DA8"/>
    <w:rsid w:val="0030637F"/>
    <w:rsid w:val="00306B73"/>
    <w:rsid w:val="003122AF"/>
    <w:rsid w:val="00313BC5"/>
    <w:rsid w:val="00314BB0"/>
    <w:rsid w:val="00324188"/>
    <w:rsid w:val="00325A04"/>
    <w:rsid w:val="003263CE"/>
    <w:rsid w:val="00332CF0"/>
    <w:rsid w:val="00337A46"/>
    <w:rsid w:val="003402E2"/>
    <w:rsid w:val="00342CBD"/>
    <w:rsid w:val="00342F3E"/>
    <w:rsid w:val="0034496D"/>
    <w:rsid w:val="00344B87"/>
    <w:rsid w:val="00347D7C"/>
    <w:rsid w:val="003511CD"/>
    <w:rsid w:val="003555E2"/>
    <w:rsid w:val="0035679A"/>
    <w:rsid w:val="00364061"/>
    <w:rsid w:val="00364CC3"/>
    <w:rsid w:val="00370CC5"/>
    <w:rsid w:val="00372FB7"/>
    <w:rsid w:val="00380A1C"/>
    <w:rsid w:val="003810C2"/>
    <w:rsid w:val="00395F22"/>
    <w:rsid w:val="003A1EE9"/>
    <w:rsid w:val="003A2935"/>
    <w:rsid w:val="003A3D67"/>
    <w:rsid w:val="003A40B1"/>
    <w:rsid w:val="003A6082"/>
    <w:rsid w:val="003B1AB1"/>
    <w:rsid w:val="003B5361"/>
    <w:rsid w:val="003B6ECE"/>
    <w:rsid w:val="003C31E8"/>
    <w:rsid w:val="003C71EF"/>
    <w:rsid w:val="003C7C34"/>
    <w:rsid w:val="003D55E6"/>
    <w:rsid w:val="003E05B4"/>
    <w:rsid w:val="003E4D7F"/>
    <w:rsid w:val="003E53AB"/>
    <w:rsid w:val="003E63E4"/>
    <w:rsid w:val="003F14FD"/>
    <w:rsid w:val="003F6B66"/>
    <w:rsid w:val="003F6D23"/>
    <w:rsid w:val="00401567"/>
    <w:rsid w:val="00410D74"/>
    <w:rsid w:val="00413EC7"/>
    <w:rsid w:val="004229A7"/>
    <w:rsid w:val="00426F59"/>
    <w:rsid w:val="00431E8F"/>
    <w:rsid w:val="00442AF9"/>
    <w:rsid w:val="00445AB9"/>
    <w:rsid w:val="00446A05"/>
    <w:rsid w:val="004520A7"/>
    <w:rsid w:val="00453A47"/>
    <w:rsid w:val="00456B83"/>
    <w:rsid w:val="004627F2"/>
    <w:rsid w:val="00462D62"/>
    <w:rsid w:val="00463DE5"/>
    <w:rsid w:val="0046409B"/>
    <w:rsid w:val="00466AA3"/>
    <w:rsid w:val="0047459C"/>
    <w:rsid w:val="00480581"/>
    <w:rsid w:val="004811D4"/>
    <w:rsid w:val="00484343"/>
    <w:rsid w:val="004929E5"/>
    <w:rsid w:val="004A3952"/>
    <w:rsid w:val="004A6491"/>
    <w:rsid w:val="004A79D1"/>
    <w:rsid w:val="004B446A"/>
    <w:rsid w:val="004B4DAA"/>
    <w:rsid w:val="004B4E41"/>
    <w:rsid w:val="004B70B4"/>
    <w:rsid w:val="004C0570"/>
    <w:rsid w:val="004C30B7"/>
    <w:rsid w:val="004C3C25"/>
    <w:rsid w:val="004C6F95"/>
    <w:rsid w:val="004D03AC"/>
    <w:rsid w:val="004D2261"/>
    <w:rsid w:val="004D6319"/>
    <w:rsid w:val="004D72D0"/>
    <w:rsid w:val="004E7FEF"/>
    <w:rsid w:val="004F5072"/>
    <w:rsid w:val="004F7142"/>
    <w:rsid w:val="00500AD1"/>
    <w:rsid w:val="00503085"/>
    <w:rsid w:val="005066D8"/>
    <w:rsid w:val="00506D54"/>
    <w:rsid w:val="00506E61"/>
    <w:rsid w:val="00507F7D"/>
    <w:rsid w:val="00510F18"/>
    <w:rsid w:val="00511E54"/>
    <w:rsid w:val="005136CB"/>
    <w:rsid w:val="0051771F"/>
    <w:rsid w:val="00523158"/>
    <w:rsid w:val="005232F9"/>
    <w:rsid w:val="00532A13"/>
    <w:rsid w:val="005366DA"/>
    <w:rsid w:val="00545457"/>
    <w:rsid w:val="00550AF2"/>
    <w:rsid w:val="005630AF"/>
    <w:rsid w:val="00565DB7"/>
    <w:rsid w:val="005676EF"/>
    <w:rsid w:val="00571AEC"/>
    <w:rsid w:val="005725A4"/>
    <w:rsid w:val="00575DA2"/>
    <w:rsid w:val="00586A0B"/>
    <w:rsid w:val="0059176B"/>
    <w:rsid w:val="00592A85"/>
    <w:rsid w:val="00592BB3"/>
    <w:rsid w:val="005963A4"/>
    <w:rsid w:val="00596AFC"/>
    <w:rsid w:val="005A1C7A"/>
    <w:rsid w:val="005A309C"/>
    <w:rsid w:val="005B1232"/>
    <w:rsid w:val="005B1C45"/>
    <w:rsid w:val="005B2260"/>
    <w:rsid w:val="005B54EE"/>
    <w:rsid w:val="005B6CB5"/>
    <w:rsid w:val="005B75B4"/>
    <w:rsid w:val="005B7EE1"/>
    <w:rsid w:val="005D07B9"/>
    <w:rsid w:val="005D35AC"/>
    <w:rsid w:val="005D3F5E"/>
    <w:rsid w:val="005D59BC"/>
    <w:rsid w:val="005D5AA6"/>
    <w:rsid w:val="005D5DC1"/>
    <w:rsid w:val="005D77E5"/>
    <w:rsid w:val="005E12DA"/>
    <w:rsid w:val="005E7D27"/>
    <w:rsid w:val="005F3EA0"/>
    <w:rsid w:val="005F5D6B"/>
    <w:rsid w:val="006007BA"/>
    <w:rsid w:val="00602E69"/>
    <w:rsid w:val="00606733"/>
    <w:rsid w:val="00606EDB"/>
    <w:rsid w:val="0062059A"/>
    <w:rsid w:val="00630A34"/>
    <w:rsid w:val="00631ED2"/>
    <w:rsid w:val="00634E9D"/>
    <w:rsid w:val="0063577E"/>
    <w:rsid w:val="00635A2E"/>
    <w:rsid w:val="00637120"/>
    <w:rsid w:val="0064533F"/>
    <w:rsid w:val="00645AED"/>
    <w:rsid w:val="00647CDF"/>
    <w:rsid w:val="00650745"/>
    <w:rsid w:val="0065267C"/>
    <w:rsid w:val="00652943"/>
    <w:rsid w:val="006606DD"/>
    <w:rsid w:val="006611EF"/>
    <w:rsid w:val="00675ABC"/>
    <w:rsid w:val="00676517"/>
    <w:rsid w:val="00685E7A"/>
    <w:rsid w:val="00686906"/>
    <w:rsid w:val="0069050C"/>
    <w:rsid w:val="00692556"/>
    <w:rsid w:val="006941C5"/>
    <w:rsid w:val="00694770"/>
    <w:rsid w:val="006967DF"/>
    <w:rsid w:val="006B108E"/>
    <w:rsid w:val="006B46F0"/>
    <w:rsid w:val="006B4DCF"/>
    <w:rsid w:val="006B506C"/>
    <w:rsid w:val="006B7EC5"/>
    <w:rsid w:val="006C000D"/>
    <w:rsid w:val="006C296F"/>
    <w:rsid w:val="006C4C1D"/>
    <w:rsid w:val="006C7946"/>
    <w:rsid w:val="006D2D4D"/>
    <w:rsid w:val="006D6988"/>
    <w:rsid w:val="006D768D"/>
    <w:rsid w:val="006E0C3B"/>
    <w:rsid w:val="006E14C3"/>
    <w:rsid w:val="006E306D"/>
    <w:rsid w:val="006F03CA"/>
    <w:rsid w:val="006F072F"/>
    <w:rsid w:val="006F2DEC"/>
    <w:rsid w:val="006F538E"/>
    <w:rsid w:val="007034CC"/>
    <w:rsid w:val="007166B0"/>
    <w:rsid w:val="00716DC8"/>
    <w:rsid w:val="00716F9B"/>
    <w:rsid w:val="00717ABA"/>
    <w:rsid w:val="00721698"/>
    <w:rsid w:val="007256F1"/>
    <w:rsid w:val="00734366"/>
    <w:rsid w:val="00734C21"/>
    <w:rsid w:val="0074073C"/>
    <w:rsid w:val="007412BE"/>
    <w:rsid w:val="00745926"/>
    <w:rsid w:val="0074602A"/>
    <w:rsid w:val="007507A5"/>
    <w:rsid w:val="007554E4"/>
    <w:rsid w:val="00760F1E"/>
    <w:rsid w:val="00776776"/>
    <w:rsid w:val="00776C9F"/>
    <w:rsid w:val="00776ED7"/>
    <w:rsid w:val="00777BD5"/>
    <w:rsid w:val="0078035B"/>
    <w:rsid w:val="0078543B"/>
    <w:rsid w:val="00791BA3"/>
    <w:rsid w:val="007A566E"/>
    <w:rsid w:val="007B182D"/>
    <w:rsid w:val="007B3671"/>
    <w:rsid w:val="007B725A"/>
    <w:rsid w:val="007C1765"/>
    <w:rsid w:val="007C589E"/>
    <w:rsid w:val="007C761D"/>
    <w:rsid w:val="007C76ED"/>
    <w:rsid w:val="007D49B7"/>
    <w:rsid w:val="007D7F97"/>
    <w:rsid w:val="007E022E"/>
    <w:rsid w:val="007E06CE"/>
    <w:rsid w:val="007E2FC4"/>
    <w:rsid w:val="007F1A04"/>
    <w:rsid w:val="00803F82"/>
    <w:rsid w:val="00810BA9"/>
    <w:rsid w:val="00811B0F"/>
    <w:rsid w:val="008124AB"/>
    <w:rsid w:val="008136D9"/>
    <w:rsid w:val="00815B96"/>
    <w:rsid w:val="0081613C"/>
    <w:rsid w:val="00820FB2"/>
    <w:rsid w:val="0082105D"/>
    <w:rsid w:val="00824B69"/>
    <w:rsid w:val="008252EF"/>
    <w:rsid w:val="00825361"/>
    <w:rsid w:val="0083034E"/>
    <w:rsid w:val="00831950"/>
    <w:rsid w:val="00836655"/>
    <w:rsid w:val="00837EFF"/>
    <w:rsid w:val="00841EC7"/>
    <w:rsid w:val="008433E7"/>
    <w:rsid w:val="00845892"/>
    <w:rsid w:val="00845C7B"/>
    <w:rsid w:val="008523D9"/>
    <w:rsid w:val="008533A8"/>
    <w:rsid w:val="00853536"/>
    <w:rsid w:val="008618C6"/>
    <w:rsid w:val="00871491"/>
    <w:rsid w:val="0087446A"/>
    <w:rsid w:val="00881A60"/>
    <w:rsid w:val="00882248"/>
    <w:rsid w:val="0088435A"/>
    <w:rsid w:val="00887BC2"/>
    <w:rsid w:val="00891B49"/>
    <w:rsid w:val="008922ED"/>
    <w:rsid w:val="00896B84"/>
    <w:rsid w:val="00896B85"/>
    <w:rsid w:val="00896F0A"/>
    <w:rsid w:val="00897290"/>
    <w:rsid w:val="008A38D1"/>
    <w:rsid w:val="008B5634"/>
    <w:rsid w:val="008C1068"/>
    <w:rsid w:val="008C2F20"/>
    <w:rsid w:val="008C409B"/>
    <w:rsid w:val="008C4B32"/>
    <w:rsid w:val="008C6DA5"/>
    <w:rsid w:val="008C79A1"/>
    <w:rsid w:val="008E5A7D"/>
    <w:rsid w:val="008F217B"/>
    <w:rsid w:val="00900103"/>
    <w:rsid w:val="00902858"/>
    <w:rsid w:val="00905B2A"/>
    <w:rsid w:val="00907CA7"/>
    <w:rsid w:val="00907DD3"/>
    <w:rsid w:val="00911F38"/>
    <w:rsid w:val="009126A4"/>
    <w:rsid w:val="009149B1"/>
    <w:rsid w:val="0091771C"/>
    <w:rsid w:val="00917B0D"/>
    <w:rsid w:val="00917E5F"/>
    <w:rsid w:val="0092089A"/>
    <w:rsid w:val="00920B68"/>
    <w:rsid w:val="0092435E"/>
    <w:rsid w:val="00924E16"/>
    <w:rsid w:val="00926E75"/>
    <w:rsid w:val="00927E59"/>
    <w:rsid w:val="00936697"/>
    <w:rsid w:val="009440A8"/>
    <w:rsid w:val="009451E3"/>
    <w:rsid w:val="009618C8"/>
    <w:rsid w:val="00962526"/>
    <w:rsid w:val="00967FE1"/>
    <w:rsid w:val="00971591"/>
    <w:rsid w:val="009764FA"/>
    <w:rsid w:val="009765CE"/>
    <w:rsid w:val="0098312F"/>
    <w:rsid w:val="0098629B"/>
    <w:rsid w:val="00990158"/>
    <w:rsid w:val="009A005D"/>
    <w:rsid w:val="009A4D51"/>
    <w:rsid w:val="009B15B6"/>
    <w:rsid w:val="009B1B86"/>
    <w:rsid w:val="009B3BE2"/>
    <w:rsid w:val="009B4556"/>
    <w:rsid w:val="009C09C9"/>
    <w:rsid w:val="009C16BD"/>
    <w:rsid w:val="009C6A8D"/>
    <w:rsid w:val="009D3953"/>
    <w:rsid w:val="009E3957"/>
    <w:rsid w:val="009E3F33"/>
    <w:rsid w:val="009E6424"/>
    <w:rsid w:val="009F196B"/>
    <w:rsid w:val="009F266B"/>
    <w:rsid w:val="009F364F"/>
    <w:rsid w:val="009F6122"/>
    <w:rsid w:val="00A047D2"/>
    <w:rsid w:val="00A1028B"/>
    <w:rsid w:val="00A144C7"/>
    <w:rsid w:val="00A21CFA"/>
    <w:rsid w:val="00A229A3"/>
    <w:rsid w:val="00A30EA4"/>
    <w:rsid w:val="00A310C6"/>
    <w:rsid w:val="00A3263A"/>
    <w:rsid w:val="00A37FBC"/>
    <w:rsid w:val="00A42ADB"/>
    <w:rsid w:val="00A43902"/>
    <w:rsid w:val="00A46044"/>
    <w:rsid w:val="00A5105D"/>
    <w:rsid w:val="00A53502"/>
    <w:rsid w:val="00A56CA8"/>
    <w:rsid w:val="00A703F4"/>
    <w:rsid w:val="00A74C49"/>
    <w:rsid w:val="00A80024"/>
    <w:rsid w:val="00A835FA"/>
    <w:rsid w:val="00A84719"/>
    <w:rsid w:val="00A97BA9"/>
    <w:rsid w:val="00AA5DD8"/>
    <w:rsid w:val="00AA5F15"/>
    <w:rsid w:val="00AB4489"/>
    <w:rsid w:val="00AB7D85"/>
    <w:rsid w:val="00AC0C65"/>
    <w:rsid w:val="00AC119B"/>
    <w:rsid w:val="00AC3724"/>
    <w:rsid w:val="00AC47D0"/>
    <w:rsid w:val="00AC5B75"/>
    <w:rsid w:val="00AE18E6"/>
    <w:rsid w:val="00AE1B40"/>
    <w:rsid w:val="00AF07F1"/>
    <w:rsid w:val="00AF217C"/>
    <w:rsid w:val="00AF450A"/>
    <w:rsid w:val="00B00D18"/>
    <w:rsid w:val="00B01AEF"/>
    <w:rsid w:val="00B02709"/>
    <w:rsid w:val="00B04A7C"/>
    <w:rsid w:val="00B104C3"/>
    <w:rsid w:val="00B15DFF"/>
    <w:rsid w:val="00B17161"/>
    <w:rsid w:val="00B3263B"/>
    <w:rsid w:val="00B32E7E"/>
    <w:rsid w:val="00B42B9E"/>
    <w:rsid w:val="00B46540"/>
    <w:rsid w:val="00B47236"/>
    <w:rsid w:val="00B47702"/>
    <w:rsid w:val="00B52CA8"/>
    <w:rsid w:val="00B53473"/>
    <w:rsid w:val="00B57222"/>
    <w:rsid w:val="00B57911"/>
    <w:rsid w:val="00B6361C"/>
    <w:rsid w:val="00B73BFB"/>
    <w:rsid w:val="00B751E0"/>
    <w:rsid w:val="00B851CD"/>
    <w:rsid w:val="00B92487"/>
    <w:rsid w:val="00B96FBB"/>
    <w:rsid w:val="00B97704"/>
    <w:rsid w:val="00B9781A"/>
    <w:rsid w:val="00BA4D1D"/>
    <w:rsid w:val="00BA5782"/>
    <w:rsid w:val="00BB17AC"/>
    <w:rsid w:val="00BB5CA4"/>
    <w:rsid w:val="00BC4A4E"/>
    <w:rsid w:val="00BC6219"/>
    <w:rsid w:val="00BD161D"/>
    <w:rsid w:val="00BE1484"/>
    <w:rsid w:val="00BE3EF8"/>
    <w:rsid w:val="00BE54E6"/>
    <w:rsid w:val="00BE55F6"/>
    <w:rsid w:val="00BE6408"/>
    <w:rsid w:val="00BF2B78"/>
    <w:rsid w:val="00C02B8B"/>
    <w:rsid w:val="00C04DF9"/>
    <w:rsid w:val="00C060AE"/>
    <w:rsid w:val="00C07FFB"/>
    <w:rsid w:val="00C10522"/>
    <w:rsid w:val="00C11513"/>
    <w:rsid w:val="00C14A14"/>
    <w:rsid w:val="00C154F7"/>
    <w:rsid w:val="00C20719"/>
    <w:rsid w:val="00C231B4"/>
    <w:rsid w:val="00C246BC"/>
    <w:rsid w:val="00C25103"/>
    <w:rsid w:val="00C26427"/>
    <w:rsid w:val="00C26468"/>
    <w:rsid w:val="00C27281"/>
    <w:rsid w:val="00C30949"/>
    <w:rsid w:val="00C336C4"/>
    <w:rsid w:val="00C36E79"/>
    <w:rsid w:val="00C42BD0"/>
    <w:rsid w:val="00C430E9"/>
    <w:rsid w:val="00C43ED2"/>
    <w:rsid w:val="00C50CEB"/>
    <w:rsid w:val="00C5348E"/>
    <w:rsid w:val="00C53FAB"/>
    <w:rsid w:val="00C554DF"/>
    <w:rsid w:val="00C616D1"/>
    <w:rsid w:val="00C70B82"/>
    <w:rsid w:val="00C7106B"/>
    <w:rsid w:val="00C72952"/>
    <w:rsid w:val="00C72F7A"/>
    <w:rsid w:val="00C73940"/>
    <w:rsid w:val="00C73AC8"/>
    <w:rsid w:val="00C73F2E"/>
    <w:rsid w:val="00C86F82"/>
    <w:rsid w:val="00C91D7E"/>
    <w:rsid w:val="00C93073"/>
    <w:rsid w:val="00C94E89"/>
    <w:rsid w:val="00CA43A0"/>
    <w:rsid w:val="00CA4BC3"/>
    <w:rsid w:val="00CA6083"/>
    <w:rsid w:val="00CB4956"/>
    <w:rsid w:val="00CC0DF2"/>
    <w:rsid w:val="00CC6750"/>
    <w:rsid w:val="00CC7947"/>
    <w:rsid w:val="00CD2E54"/>
    <w:rsid w:val="00CD7769"/>
    <w:rsid w:val="00CE372B"/>
    <w:rsid w:val="00CF4DB7"/>
    <w:rsid w:val="00CF4F89"/>
    <w:rsid w:val="00CF57C7"/>
    <w:rsid w:val="00D0046F"/>
    <w:rsid w:val="00D032EF"/>
    <w:rsid w:val="00D038BC"/>
    <w:rsid w:val="00D0401D"/>
    <w:rsid w:val="00D05B43"/>
    <w:rsid w:val="00D10162"/>
    <w:rsid w:val="00D13348"/>
    <w:rsid w:val="00D171D8"/>
    <w:rsid w:val="00D20917"/>
    <w:rsid w:val="00D234C2"/>
    <w:rsid w:val="00D24EFE"/>
    <w:rsid w:val="00D2621B"/>
    <w:rsid w:val="00D35E82"/>
    <w:rsid w:val="00D411BB"/>
    <w:rsid w:val="00D529B8"/>
    <w:rsid w:val="00D52DE9"/>
    <w:rsid w:val="00D54378"/>
    <w:rsid w:val="00D57FF0"/>
    <w:rsid w:val="00D60A59"/>
    <w:rsid w:val="00D641D8"/>
    <w:rsid w:val="00D65D8C"/>
    <w:rsid w:val="00D7033A"/>
    <w:rsid w:val="00D72068"/>
    <w:rsid w:val="00D7364E"/>
    <w:rsid w:val="00D75657"/>
    <w:rsid w:val="00D8302C"/>
    <w:rsid w:val="00D9288D"/>
    <w:rsid w:val="00D93313"/>
    <w:rsid w:val="00D94AB7"/>
    <w:rsid w:val="00D979AE"/>
    <w:rsid w:val="00DA0C45"/>
    <w:rsid w:val="00DA3B70"/>
    <w:rsid w:val="00DA6258"/>
    <w:rsid w:val="00DA7D12"/>
    <w:rsid w:val="00DB2103"/>
    <w:rsid w:val="00DB7381"/>
    <w:rsid w:val="00DC1A26"/>
    <w:rsid w:val="00DC3E9A"/>
    <w:rsid w:val="00DD062C"/>
    <w:rsid w:val="00DD3C1C"/>
    <w:rsid w:val="00DD5063"/>
    <w:rsid w:val="00DD5B9E"/>
    <w:rsid w:val="00DE2529"/>
    <w:rsid w:val="00DE3092"/>
    <w:rsid w:val="00DE5A40"/>
    <w:rsid w:val="00DE66E9"/>
    <w:rsid w:val="00DE6CC7"/>
    <w:rsid w:val="00DF02B9"/>
    <w:rsid w:val="00DF3D1A"/>
    <w:rsid w:val="00DF66AA"/>
    <w:rsid w:val="00E076E7"/>
    <w:rsid w:val="00E13412"/>
    <w:rsid w:val="00E173F5"/>
    <w:rsid w:val="00E26ABF"/>
    <w:rsid w:val="00E330BB"/>
    <w:rsid w:val="00E34259"/>
    <w:rsid w:val="00E34CFC"/>
    <w:rsid w:val="00E41114"/>
    <w:rsid w:val="00E42145"/>
    <w:rsid w:val="00E46F3B"/>
    <w:rsid w:val="00E50303"/>
    <w:rsid w:val="00E51095"/>
    <w:rsid w:val="00E5301A"/>
    <w:rsid w:val="00E56129"/>
    <w:rsid w:val="00E5664F"/>
    <w:rsid w:val="00E62C82"/>
    <w:rsid w:val="00E62FF5"/>
    <w:rsid w:val="00E70BDF"/>
    <w:rsid w:val="00E71B30"/>
    <w:rsid w:val="00E73866"/>
    <w:rsid w:val="00E74A31"/>
    <w:rsid w:val="00E769E3"/>
    <w:rsid w:val="00E76B2E"/>
    <w:rsid w:val="00E80ECE"/>
    <w:rsid w:val="00E819D8"/>
    <w:rsid w:val="00E8576E"/>
    <w:rsid w:val="00E85D48"/>
    <w:rsid w:val="00E862E7"/>
    <w:rsid w:val="00E87CC6"/>
    <w:rsid w:val="00E95637"/>
    <w:rsid w:val="00E971F6"/>
    <w:rsid w:val="00EA1BFA"/>
    <w:rsid w:val="00EB3D3E"/>
    <w:rsid w:val="00EC09B7"/>
    <w:rsid w:val="00ED42B1"/>
    <w:rsid w:val="00EE16C3"/>
    <w:rsid w:val="00EE4386"/>
    <w:rsid w:val="00EE523A"/>
    <w:rsid w:val="00F00C3A"/>
    <w:rsid w:val="00F07174"/>
    <w:rsid w:val="00F173D9"/>
    <w:rsid w:val="00F21000"/>
    <w:rsid w:val="00F2405C"/>
    <w:rsid w:val="00F24A36"/>
    <w:rsid w:val="00F25018"/>
    <w:rsid w:val="00F308A4"/>
    <w:rsid w:val="00F33015"/>
    <w:rsid w:val="00F377C1"/>
    <w:rsid w:val="00F459A3"/>
    <w:rsid w:val="00F4710E"/>
    <w:rsid w:val="00F51D4C"/>
    <w:rsid w:val="00F5247D"/>
    <w:rsid w:val="00F62319"/>
    <w:rsid w:val="00F63035"/>
    <w:rsid w:val="00F72D08"/>
    <w:rsid w:val="00F733A2"/>
    <w:rsid w:val="00F74355"/>
    <w:rsid w:val="00F83B9E"/>
    <w:rsid w:val="00F87158"/>
    <w:rsid w:val="00F96671"/>
    <w:rsid w:val="00F97EC1"/>
    <w:rsid w:val="00FA1E79"/>
    <w:rsid w:val="00FA72C1"/>
    <w:rsid w:val="00FA79BD"/>
    <w:rsid w:val="00FB65A8"/>
    <w:rsid w:val="00FB65EF"/>
    <w:rsid w:val="00FC5E5E"/>
    <w:rsid w:val="00FD0810"/>
    <w:rsid w:val="00FD0FF2"/>
    <w:rsid w:val="00FE0F31"/>
    <w:rsid w:val="00FE2B3D"/>
    <w:rsid w:val="00FE5B70"/>
    <w:rsid w:val="00FF6DE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3EAD5C"/>
  <w14:defaultImageDpi w14:val="32767"/>
  <w15:docId w15:val="{9D74CAC8-0CB3-4517-9F22-1489FCE6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1EF"/>
    <w:pPr>
      <w:spacing w:line="240" w:lineRule="auto"/>
      <w:jc w:val="both"/>
    </w:pPr>
    <w:rPr>
      <w:rFonts w:ascii="Marianne" w:eastAsia="Times New Roman" w:hAnsi="Marianne" w:cs="Times New Roman"/>
      <w:sz w:val="22"/>
      <w:szCs w:val="24"/>
      <w:lang w:eastAsia="fr-FR"/>
    </w:rPr>
  </w:style>
  <w:style w:type="paragraph" w:styleId="Heading1">
    <w:name w:val="heading 1"/>
    <w:aliases w:val="titre 3 niveau 3"/>
    <w:basedOn w:val="Normal"/>
    <w:next w:val="Textedesaisie"/>
    <w:link w:val="Heading1Char"/>
    <w:uiPriority w:val="9"/>
    <w:rsid w:val="00431E8F"/>
    <w:pPr>
      <w:keepNext/>
      <w:keepLines/>
      <w:spacing w:before="480" w:after="240" w:line="280" w:lineRule="atLeast"/>
      <w:ind w:left="567"/>
      <w:outlineLvl w:val="0"/>
    </w:pPr>
    <w:rPr>
      <w:rFonts w:asciiTheme="majorHAnsi" w:eastAsiaTheme="majorEastAsia" w:hAnsiTheme="majorHAnsi" w:cstheme="majorBidi"/>
      <w:b/>
      <w:bCs/>
      <w:sz w:val="23"/>
      <w:szCs w:val="28"/>
      <w:u w:val="single"/>
    </w:rPr>
  </w:style>
  <w:style w:type="paragraph" w:styleId="Heading2">
    <w:name w:val="heading 2"/>
    <w:basedOn w:val="Normal"/>
    <w:next w:val="Normal"/>
    <w:link w:val="Heading2Char"/>
    <w:uiPriority w:val="9"/>
    <w:semiHidden/>
    <w:rsid w:val="00FA1E79"/>
    <w:pPr>
      <w:keepNext/>
      <w:keepLines/>
      <w:spacing w:before="300" w:line="220" w:lineRule="atLeast"/>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semiHidden/>
    <w:qFormat/>
    <w:rsid w:val="00FA1E79"/>
    <w:pPr>
      <w:keepNext/>
      <w:keepLines/>
      <w:spacing w:before="160" w:after="60" w:line="220" w:lineRule="atLeast"/>
      <w:outlineLvl w:val="2"/>
    </w:pPr>
    <w:rPr>
      <w:rFonts w:asciiTheme="majorHAnsi" w:eastAsiaTheme="majorEastAsia" w:hAnsiTheme="majorHAnsi" w:cstheme="majorBidi"/>
      <w:b/>
      <w:bCs/>
      <w:sz w:val="18"/>
      <w:szCs w:val="18"/>
    </w:rPr>
  </w:style>
  <w:style w:type="paragraph" w:styleId="Heading4">
    <w:name w:val="heading 4"/>
    <w:basedOn w:val="Normal"/>
    <w:next w:val="Normal"/>
    <w:link w:val="Heading4Char"/>
    <w:uiPriority w:val="9"/>
    <w:semiHidden/>
    <w:qFormat/>
    <w:rsid w:val="00FA1E79"/>
    <w:pPr>
      <w:keepNext/>
      <w:keepLines/>
      <w:spacing w:before="160" w:after="60" w:line="260" w:lineRule="atLeast"/>
      <w:outlineLvl w:val="3"/>
    </w:pPr>
    <w:rPr>
      <w:rFonts w:asciiTheme="majorHAnsi" w:eastAsiaTheme="majorEastAsia" w:hAnsiTheme="majorHAnsi" w:cstheme="majorBidi"/>
      <w:b/>
      <w:bCs/>
      <w:iCs/>
      <w:sz w:val="18"/>
      <w:szCs w:val="18"/>
    </w:rPr>
  </w:style>
  <w:style w:type="paragraph" w:styleId="Heading5">
    <w:name w:val="heading 5"/>
    <w:basedOn w:val="Normal"/>
    <w:next w:val="Normal"/>
    <w:link w:val="Heading5Char"/>
    <w:uiPriority w:val="9"/>
    <w:semiHidden/>
    <w:qFormat/>
    <w:rsid w:val="00FA1E79"/>
    <w:pPr>
      <w:keepNext/>
      <w:keepLines/>
      <w:spacing w:before="200" w:line="260" w:lineRule="atLeast"/>
      <w:outlineLvl w:val="4"/>
    </w:pPr>
    <w:rPr>
      <w:rFonts w:asciiTheme="majorHAnsi" w:eastAsiaTheme="majorEastAsia" w:hAnsiTheme="majorHAnsi" w:cstheme="majorBidi"/>
      <w:color w:val="243F60" w:themeColor="accent1" w:themeShade="7F"/>
      <w:sz w:val="18"/>
      <w:szCs w:val="18"/>
    </w:rPr>
  </w:style>
  <w:style w:type="paragraph" w:styleId="Heading6">
    <w:name w:val="heading 6"/>
    <w:basedOn w:val="Normal"/>
    <w:next w:val="Normal"/>
    <w:link w:val="Heading6Char"/>
    <w:uiPriority w:val="9"/>
    <w:semiHidden/>
    <w:qFormat/>
    <w:rsid w:val="00FA1E79"/>
    <w:pPr>
      <w:keepNext/>
      <w:keepLines/>
      <w:spacing w:before="200" w:line="260" w:lineRule="atLeast"/>
      <w:outlineLvl w:val="5"/>
    </w:pPr>
    <w:rPr>
      <w:rFonts w:asciiTheme="majorHAnsi" w:eastAsiaTheme="majorEastAsia" w:hAnsiTheme="majorHAnsi" w:cstheme="majorBidi"/>
      <w:i/>
      <w:iCs/>
      <w:color w:val="243F60" w:themeColor="accent1" w:themeShade="7F"/>
      <w:sz w:val="18"/>
      <w:szCs w:val="18"/>
    </w:rPr>
  </w:style>
  <w:style w:type="paragraph" w:styleId="Heading7">
    <w:name w:val="heading 7"/>
    <w:basedOn w:val="Normal"/>
    <w:next w:val="Normal"/>
    <w:link w:val="Heading7Char"/>
    <w:uiPriority w:val="9"/>
    <w:semiHidden/>
    <w:qFormat/>
    <w:rsid w:val="00FA1E79"/>
    <w:pPr>
      <w:keepNext/>
      <w:keepLines/>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Heading8">
    <w:name w:val="heading 8"/>
    <w:basedOn w:val="Normal"/>
    <w:next w:val="Normal"/>
    <w:link w:val="Heading8Char"/>
    <w:uiPriority w:val="9"/>
    <w:semiHidden/>
    <w:qFormat/>
    <w:rsid w:val="00FA1E79"/>
    <w:pPr>
      <w:keepNext/>
      <w:keepLines/>
      <w:spacing w:before="200" w:line="260" w:lineRule="atLeast"/>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FA1E79"/>
    <w:pPr>
      <w:keepNext/>
      <w:keepLines/>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2019AB"/>
    <w:pPr>
      <w:spacing w:line="240" w:lineRule="exact"/>
    </w:pPr>
  </w:style>
  <w:style w:type="character" w:customStyle="1" w:styleId="HeaderChar">
    <w:name w:val="Header Char"/>
    <w:basedOn w:val="DefaultParagraphFont"/>
    <w:link w:val="Header"/>
    <w:uiPriority w:val="99"/>
    <w:rsid w:val="002019AB"/>
    <w:rPr>
      <w:sz w:val="20"/>
    </w:rPr>
  </w:style>
  <w:style w:type="paragraph" w:styleId="Footer">
    <w:name w:val="footer"/>
    <w:link w:val="FooterChar"/>
    <w:uiPriority w:val="99"/>
    <w:unhideWhenUsed/>
    <w:rsid w:val="003C7C34"/>
    <w:pPr>
      <w:spacing w:line="240" w:lineRule="exact"/>
    </w:pPr>
  </w:style>
  <w:style w:type="character" w:customStyle="1" w:styleId="FooterChar">
    <w:name w:val="Footer Char"/>
    <w:basedOn w:val="DefaultParagraphFont"/>
    <w:link w:val="Footer"/>
    <w:uiPriority w:val="99"/>
    <w:rsid w:val="003C7C34"/>
    <w:rPr>
      <w:sz w:val="20"/>
    </w:rPr>
  </w:style>
  <w:style w:type="paragraph" w:styleId="BalloonText">
    <w:name w:val="Balloon Text"/>
    <w:basedOn w:val="Normal"/>
    <w:link w:val="BalloonTextChar"/>
    <w:uiPriority w:val="99"/>
    <w:semiHidden/>
    <w:unhideWhenUsed/>
    <w:rsid w:val="006B108E"/>
    <w:rPr>
      <w:rFonts w:ascii="Tahoma" w:hAnsi="Tahoma" w:cs="Tahoma"/>
      <w:sz w:val="16"/>
      <w:szCs w:val="16"/>
    </w:rPr>
  </w:style>
  <w:style w:type="character" w:customStyle="1" w:styleId="BalloonTextChar">
    <w:name w:val="Balloon Text Char"/>
    <w:basedOn w:val="DefaultParagraphFont"/>
    <w:link w:val="BalloonText"/>
    <w:uiPriority w:val="99"/>
    <w:semiHidden/>
    <w:rsid w:val="006B108E"/>
    <w:rPr>
      <w:rFonts w:ascii="Tahoma" w:hAnsi="Tahoma" w:cs="Tahoma"/>
      <w:sz w:val="16"/>
      <w:szCs w:val="16"/>
    </w:rPr>
  </w:style>
  <w:style w:type="table" w:styleId="TableGrid">
    <w:name w:val="Table Grid"/>
    <w:basedOn w:val="TableNormal"/>
    <w:uiPriority w:val="39"/>
    <w:rsid w:val="00962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aliases w:val="EC,Paragraphe de liste11,Paragraphe de liste1,Puce,Colorful List Accent 1,List Paragraph (numbered (a)),List_Paragraph,Multilevel para_II,List Paragraph1,Rec para,Dot pt,F5 List Paragraph,No Spacing1,List Paragraph Char Char Char,L,3"/>
    <w:basedOn w:val="Normal"/>
    <w:link w:val="ListParagraphChar"/>
    <w:uiPriority w:val="34"/>
    <w:qFormat/>
    <w:rsid w:val="00FA1E79"/>
    <w:pPr>
      <w:ind w:left="720"/>
      <w:contextualSpacing/>
    </w:pPr>
  </w:style>
  <w:style w:type="character" w:customStyle="1" w:styleId="Heading1Char">
    <w:name w:val="Heading 1 Char"/>
    <w:aliases w:val="titre 3 niveau 3 Char"/>
    <w:basedOn w:val="DefaultParagraphFont"/>
    <w:link w:val="Heading1"/>
    <w:uiPriority w:val="9"/>
    <w:rsid w:val="00431E8F"/>
    <w:rPr>
      <w:rFonts w:asciiTheme="majorHAnsi" w:eastAsiaTheme="majorEastAsia" w:hAnsiTheme="majorHAnsi" w:cstheme="majorBidi"/>
      <w:b/>
      <w:bCs/>
      <w:sz w:val="23"/>
      <w:szCs w:val="28"/>
      <w:u w:val="single"/>
      <w:lang w:eastAsia="fr-FR"/>
    </w:rPr>
  </w:style>
  <w:style w:type="character" w:customStyle="1" w:styleId="Heading2Char">
    <w:name w:val="Heading 2 Char"/>
    <w:basedOn w:val="DefaultParagraphFont"/>
    <w:link w:val="Heading2"/>
    <w:uiPriority w:val="9"/>
    <w:semiHidden/>
    <w:rsid w:val="00962526"/>
    <w:rPr>
      <w:rFonts w:asciiTheme="majorHAnsi" w:eastAsiaTheme="majorEastAsia" w:hAnsiTheme="majorHAnsi" w:cstheme="majorBidi"/>
      <w:b/>
      <w:bCs/>
      <w:sz w:val="22"/>
      <w:szCs w:val="24"/>
      <w:lang w:eastAsia="fr-FR"/>
    </w:rPr>
  </w:style>
  <w:style w:type="character" w:customStyle="1" w:styleId="Heading3Char">
    <w:name w:val="Heading 3 Char"/>
    <w:basedOn w:val="DefaultParagraphFont"/>
    <w:link w:val="Heading3"/>
    <w:uiPriority w:val="9"/>
    <w:semiHidden/>
    <w:rsid w:val="00962526"/>
    <w:rPr>
      <w:rFonts w:asciiTheme="majorHAnsi" w:eastAsiaTheme="majorEastAsia" w:hAnsiTheme="majorHAnsi" w:cstheme="majorBidi"/>
      <w:b/>
      <w:bCs/>
      <w:sz w:val="18"/>
      <w:szCs w:val="18"/>
      <w:lang w:eastAsia="fr-FR"/>
    </w:rPr>
  </w:style>
  <w:style w:type="character" w:customStyle="1" w:styleId="Heading4Char">
    <w:name w:val="Heading 4 Char"/>
    <w:basedOn w:val="DefaultParagraphFont"/>
    <w:link w:val="Heading4"/>
    <w:uiPriority w:val="9"/>
    <w:semiHidden/>
    <w:rsid w:val="00962526"/>
    <w:rPr>
      <w:rFonts w:asciiTheme="majorHAnsi" w:eastAsiaTheme="majorEastAsia" w:hAnsiTheme="majorHAnsi" w:cstheme="majorBidi"/>
      <w:b/>
      <w:bCs/>
      <w:iCs/>
      <w:sz w:val="18"/>
      <w:szCs w:val="18"/>
      <w:lang w:eastAsia="fr-FR"/>
    </w:rPr>
  </w:style>
  <w:style w:type="character" w:customStyle="1" w:styleId="Heading5Char">
    <w:name w:val="Heading 5 Char"/>
    <w:basedOn w:val="DefaultParagraphFont"/>
    <w:link w:val="Heading5"/>
    <w:uiPriority w:val="9"/>
    <w:semiHidden/>
    <w:rsid w:val="00FA1E79"/>
    <w:rPr>
      <w:rFonts w:asciiTheme="majorHAnsi" w:eastAsiaTheme="majorEastAsia" w:hAnsiTheme="majorHAnsi" w:cstheme="majorBidi"/>
      <w:color w:val="243F60" w:themeColor="accent1" w:themeShade="7F"/>
      <w:sz w:val="18"/>
      <w:szCs w:val="18"/>
      <w:lang w:eastAsia="fr-FR"/>
    </w:rPr>
  </w:style>
  <w:style w:type="character" w:customStyle="1" w:styleId="Heading6Char">
    <w:name w:val="Heading 6 Char"/>
    <w:basedOn w:val="DefaultParagraphFont"/>
    <w:link w:val="Heading6"/>
    <w:uiPriority w:val="9"/>
    <w:semiHidden/>
    <w:rsid w:val="00FA1E79"/>
    <w:rPr>
      <w:rFonts w:asciiTheme="majorHAnsi" w:eastAsiaTheme="majorEastAsia" w:hAnsiTheme="majorHAnsi" w:cstheme="majorBidi"/>
      <w:i/>
      <w:iCs/>
      <w:color w:val="243F60" w:themeColor="accent1" w:themeShade="7F"/>
      <w:sz w:val="18"/>
      <w:szCs w:val="18"/>
      <w:lang w:eastAsia="fr-FR"/>
    </w:rPr>
  </w:style>
  <w:style w:type="character" w:customStyle="1" w:styleId="Heading7Char">
    <w:name w:val="Heading 7 Char"/>
    <w:basedOn w:val="DefaultParagraphFont"/>
    <w:link w:val="Heading7"/>
    <w:uiPriority w:val="9"/>
    <w:semiHidden/>
    <w:rsid w:val="00FA1E79"/>
    <w:rPr>
      <w:rFonts w:asciiTheme="majorHAnsi" w:eastAsiaTheme="majorEastAsia" w:hAnsiTheme="majorHAnsi" w:cstheme="majorBidi"/>
      <w:i/>
      <w:iCs/>
      <w:color w:val="404040" w:themeColor="text1" w:themeTint="BF"/>
      <w:sz w:val="18"/>
      <w:szCs w:val="18"/>
      <w:lang w:eastAsia="fr-FR"/>
    </w:rPr>
  </w:style>
  <w:style w:type="character" w:customStyle="1" w:styleId="Heading8Char">
    <w:name w:val="Heading 8 Char"/>
    <w:basedOn w:val="DefaultParagraphFont"/>
    <w:link w:val="Heading8"/>
    <w:uiPriority w:val="9"/>
    <w:semiHidden/>
    <w:rsid w:val="00FA1E79"/>
    <w:rPr>
      <w:rFonts w:asciiTheme="majorHAnsi" w:eastAsiaTheme="majorEastAsia" w:hAnsiTheme="majorHAnsi" w:cstheme="majorBidi"/>
      <w:color w:val="404040" w:themeColor="text1" w:themeTint="BF"/>
      <w:sz w:val="21"/>
      <w:szCs w:val="24"/>
      <w:lang w:eastAsia="fr-FR"/>
    </w:rPr>
  </w:style>
  <w:style w:type="character" w:customStyle="1" w:styleId="Heading9Char">
    <w:name w:val="Heading 9 Char"/>
    <w:basedOn w:val="DefaultParagraphFont"/>
    <w:link w:val="Heading9"/>
    <w:uiPriority w:val="9"/>
    <w:semiHidden/>
    <w:rsid w:val="00FA1E79"/>
    <w:rPr>
      <w:rFonts w:asciiTheme="majorHAnsi" w:eastAsiaTheme="majorEastAsia" w:hAnsiTheme="majorHAnsi" w:cstheme="majorBidi"/>
      <w:i/>
      <w:iCs/>
      <w:color w:val="404040" w:themeColor="text1" w:themeTint="BF"/>
      <w:sz w:val="21"/>
      <w:szCs w:val="24"/>
      <w:lang w:eastAsia="fr-FR"/>
    </w:rPr>
  </w:style>
  <w:style w:type="paragraph" w:customStyle="1" w:styleId="Textepuce1">
    <w:name w:val="Texte puce 1"/>
    <w:basedOn w:val="ListParagraph"/>
    <w:rsid w:val="00224DF6"/>
    <w:pPr>
      <w:numPr>
        <w:numId w:val="1"/>
      </w:numPr>
      <w:adjustRightInd w:val="0"/>
      <w:snapToGrid w:val="0"/>
      <w:spacing w:before="120" w:after="120" w:line="240" w:lineRule="atLeast"/>
      <w:ind w:left="924" w:hanging="357"/>
      <w:contextualSpacing w:val="0"/>
    </w:pPr>
    <w:rPr>
      <w:sz w:val="19"/>
      <w:szCs w:val="18"/>
    </w:rPr>
  </w:style>
  <w:style w:type="paragraph" w:customStyle="1" w:styleId="Textedesaisie">
    <w:name w:val="Texte de saisie"/>
    <w:basedOn w:val="Normal"/>
    <w:qFormat/>
    <w:rsid w:val="00224DF6"/>
    <w:pPr>
      <w:snapToGrid w:val="0"/>
      <w:spacing w:after="120" w:line="240" w:lineRule="atLeast"/>
      <w:ind w:left="567" w:right="567"/>
    </w:pPr>
    <w:rPr>
      <w:rFonts w:asciiTheme="minorHAnsi" w:hAnsiTheme="minorHAnsi"/>
      <w:sz w:val="19"/>
    </w:rPr>
  </w:style>
  <w:style w:type="paragraph" w:styleId="Title">
    <w:name w:val="Title"/>
    <w:basedOn w:val="Normal"/>
    <w:next w:val="Normal"/>
    <w:link w:val="TitleChar"/>
    <w:uiPriority w:val="10"/>
    <w:rsid w:val="00051E06"/>
    <w:pPr>
      <w:contextualSpacing/>
    </w:pPr>
    <w:rPr>
      <w:rFonts w:asciiTheme="majorHAnsi" w:eastAsiaTheme="majorEastAsia" w:hAnsiTheme="majorHAnsi" w:cstheme="majorBidi"/>
      <w:spacing w:val="-10"/>
      <w:kern w:val="28"/>
      <w:sz w:val="56"/>
      <w:szCs w:val="56"/>
    </w:rPr>
  </w:style>
  <w:style w:type="paragraph" w:customStyle="1" w:styleId="Titre4niveau4">
    <w:name w:val="Titre 4 niveau 4"/>
    <w:basedOn w:val="Heading4"/>
    <w:autoRedefine/>
    <w:qFormat/>
    <w:rsid w:val="00B04A7C"/>
    <w:pPr>
      <w:numPr>
        <w:ilvl w:val="2"/>
        <w:numId w:val="38"/>
      </w:numPr>
    </w:pPr>
    <w:rPr>
      <w:sz w:val="21"/>
    </w:rPr>
  </w:style>
  <w:style w:type="paragraph" w:customStyle="1" w:styleId="Titre3Niveau3">
    <w:name w:val="Titre 3 Niveau 3"/>
    <w:basedOn w:val="Heading3"/>
    <w:next w:val="Normal"/>
    <w:autoRedefine/>
    <w:qFormat/>
    <w:rsid w:val="00B04A7C"/>
    <w:pPr>
      <w:numPr>
        <w:ilvl w:val="1"/>
        <w:numId w:val="14"/>
      </w:numPr>
    </w:pPr>
    <w:rPr>
      <w:sz w:val="24"/>
    </w:rPr>
  </w:style>
  <w:style w:type="paragraph" w:customStyle="1" w:styleId="Texte-Adresseligne1">
    <w:name w:val="Texte - Adresse ligne 1"/>
    <w:basedOn w:val="Date"/>
    <w:rsid w:val="003F14FD"/>
    <w:pPr>
      <w:framePr w:w="9979" w:h="936" w:wrap="notBeside" w:vAnchor="page" w:hAnchor="page" w:xAlign="center" w:yAlign="bottom" w:anchorLock="1"/>
    </w:pPr>
  </w:style>
  <w:style w:type="character" w:customStyle="1" w:styleId="TitleChar">
    <w:name w:val="Title Char"/>
    <w:basedOn w:val="DefaultParagraphFont"/>
    <w:link w:val="Title"/>
    <w:uiPriority w:val="10"/>
    <w:rsid w:val="00051E06"/>
    <w:rPr>
      <w:rFonts w:asciiTheme="majorHAnsi" w:eastAsiaTheme="majorEastAsia" w:hAnsiTheme="majorHAnsi" w:cstheme="majorBidi"/>
      <w:spacing w:val="-10"/>
      <w:kern w:val="28"/>
      <w:sz w:val="56"/>
      <w:szCs w:val="56"/>
      <w:lang w:eastAsia="fr-FR"/>
    </w:rPr>
  </w:style>
  <w:style w:type="paragraph" w:customStyle="1" w:styleId="Titre2Niveau2">
    <w:name w:val="Titre 2 Niveau 2"/>
    <w:basedOn w:val="Heading2"/>
    <w:next w:val="Normal"/>
    <w:qFormat/>
    <w:rsid w:val="00C246BC"/>
    <w:pPr>
      <w:numPr>
        <w:numId w:val="38"/>
      </w:numPr>
      <w:snapToGrid w:val="0"/>
      <w:spacing w:before="720" w:after="360"/>
      <w:ind w:right="28"/>
    </w:pPr>
    <w:rPr>
      <w:rFonts w:ascii="Marianne Light" w:eastAsiaTheme="minorEastAsia" w:hAnsi="Marianne Light" w:cs="Times New Roman"/>
      <w:b w:val="0"/>
      <w:spacing w:val="15"/>
      <w:sz w:val="32"/>
      <w:szCs w:val="22"/>
    </w:rPr>
  </w:style>
  <w:style w:type="paragraph" w:styleId="Subtitle">
    <w:name w:val="Subtitle"/>
    <w:basedOn w:val="Normal"/>
    <w:next w:val="Normal"/>
    <w:link w:val="SubtitleChar"/>
    <w:uiPriority w:val="11"/>
    <w:rsid w:val="00051E06"/>
    <w:pPr>
      <w:numPr>
        <w:ilvl w:val="1"/>
      </w:numPr>
      <w:spacing w:after="160"/>
    </w:pPr>
    <w:rPr>
      <w:rFonts w:asciiTheme="minorHAnsi" w:eastAsiaTheme="minorEastAsia" w:hAnsiTheme="minorHAnsi" w:cstheme="minorBidi"/>
      <w:color w:val="5A5A5A" w:themeColor="text1" w:themeTint="A5"/>
      <w:spacing w:val="15"/>
      <w:szCs w:val="22"/>
    </w:rPr>
  </w:style>
  <w:style w:type="paragraph" w:customStyle="1" w:styleId="Texte-Pieddepage">
    <w:name w:val="Texte - Pied de page"/>
    <w:basedOn w:val="Normal"/>
    <w:qFormat/>
    <w:rsid w:val="003F14FD"/>
    <w:pPr>
      <w:framePr w:w="9979" w:h="964" w:wrap="notBeside" w:vAnchor="page" w:hAnchor="page" w:xAlign="center" w:yAlign="bottom" w:anchorLock="1"/>
      <w:spacing w:line="192" w:lineRule="atLeast"/>
    </w:pPr>
    <w:rPr>
      <w:sz w:val="16"/>
    </w:rPr>
  </w:style>
  <w:style w:type="paragraph" w:customStyle="1" w:styleId="Pagination">
    <w:name w:val="Pagination"/>
    <w:basedOn w:val="Normal"/>
    <w:qFormat/>
    <w:rsid w:val="001A5DDF"/>
    <w:pPr>
      <w:framePr w:w="9979" w:h="964" w:wrap="notBeside" w:vAnchor="page" w:hAnchor="page" w:xAlign="center" w:yAlign="bottom" w:anchorLock="1"/>
      <w:spacing w:line="192" w:lineRule="atLeast"/>
      <w:jc w:val="center"/>
    </w:pPr>
    <w:rPr>
      <w:sz w:val="16"/>
    </w:rPr>
  </w:style>
  <w:style w:type="paragraph" w:styleId="Date">
    <w:name w:val="Date"/>
    <w:basedOn w:val="Normal"/>
    <w:next w:val="Normal"/>
    <w:link w:val="DateChar"/>
    <w:uiPriority w:val="99"/>
    <w:rsid w:val="00836655"/>
    <w:pPr>
      <w:spacing w:line="192" w:lineRule="atLeast"/>
      <w:jc w:val="right"/>
    </w:pPr>
    <w:rPr>
      <w:sz w:val="16"/>
    </w:rPr>
  </w:style>
  <w:style w:type="character" w:customStyle="1" w:styleId="DateChar">
    <w:name w:val="Date Char"/>
    <w:basedOn w:val="DefaultParagraphFont"/>
    <w:link w:val="Date"/>
    <w:uiPriority w:val="99"/>
    <w:rsid w:val="00836655"/>
    <w:rPr>
      <w:sz w:val="16"/>
    </w:rPr>
  </w:style>
  <w:style w:type="paragraph" w:customStyle="1" w:styleId="Texte-Pieddepageintitul">
    <w:name w:val="Texte - Pied de page intitulé"/>
    <w:basedOn w:val="Texte-Pieddepage"/>
    <w:qFormat/>
    <w:rsid w:val="00217EF0"/>
    <w:pPr>
      <w:framePr w:w="0" w:hRule="auto" w:wrap="around" w:anchorLock="0"/>
      <w:spacing w:after="85"/>
    </w:pPr>
    <w:rPr>
      <w:b/>
    </w:rPr>
  </w:style>
  <w:style w:type="paragraph" w:customStyle="1" w:styleId="Titre1Niveau1">
    <w:name w:val="Titre 1 Niveau 1"/>
    <w:basedOn w:val="Heading1"/>
    <w:next w:val="Normal"/>
    <w:link w:val="Titre1Niveau1Car"/>
    <w:autoRedefine/>
    <w:qFormat/>
    <w:rsid w:val="007C589E"/>
    <w:pPr>
      <w:spacing w:after="360" w:line="260" w:lineRule="atLeast"/>
      <w:ind w:left="289" w:right="28"/>
      <w:jc w:val="center"/>
    </w:pPr>
    <w:rPr>
      <w:rFonts w:ascii="Marianne" w:hAnsi="Marianne"/>
      <w:b w:val="0"/>
      <w:spacing w:val="-10"/>
      <w:kern w:val="28"/>
      <w:sz w:val="48"/>
      <w:szCs w:val="56"/>
      <w:u w:val="none"/>
    </w:rPr>
  </w:style>
  <w:style w:type="paragraph" w:styleId="HTMLPreformatted">
    <w:name w:val="HTML Preformatted"/>
    <w:basedOn w:val="Normal"/>
    <w:link w:val="HTMLPreformattedChar"/>
    <w:uiPriority w:val="99"/>
    <w:semiHidden/>
    <w:unhideWhenUsed/>
    <w:rsid w:val="00DE2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E2529"/>
    <w:rPr>
      <w:rFonts w:ascii="Courier New" w:eastAsia="Times New Roman" w:hAnsi="Courier New" w:cs="Courier New"/>
      <w:lang w:eastAsia="fr-FR"/>
    </w:rPr>
  </w:style>
  <w:style w:type="paragraph" w:customStyle="1" w:styleId="Titrerapport">
    <w:name w:val="Titre rapport"/>
    <w:basedOn w:val="Normal"/>
    <w:rsid w:val="004B4E41"/>
    <w:pPr>
      <w:spacing w:line="264" w:lineRule="auto"/>
    </w:pPr>
    <w:rPr>
      <w:rFonts w:cs="Arial"/>
      <w:b/>
      <w:sz w:val="80"/>
      <w:szCs w:val="60"/>
    </w:rPr>
  </w:style>
  <w:style w:type="paragraph" w:customStyle="1" w:styleId="Sommaire">
    <w:name w:val="Sommaire"/>
    <w:basedOn w:val="Normal"/>
    <w:rsid w:val="00B104C3"/>
    <w:pPr>
      <w:spacing w:before="1800" w:after="240" w:line="288" w:lineRule="auto"/>
      <w:ind w:left="1418" w:right="1418"/>
    </w:pPr>
    <w:rPr>
      <w:b/>
      <w:caps/>
      <w:sz w:val="36"/>
      <w:szCs w:val="22"/>
    </w:rPr>
  </w:style>
  <w:style w:type="character" w:customStyle="1" w:styleId="SubtitleChar">
    <w:name w:val="Subtitle Char"/>
    <w:basedOn w:val="DefaultParagraphFont"/>
    <w:link w:val="Subtitle"/>
    <w:uiPriority w:val="11"/>
    <w:rsid w:val="00051E06"/>
    <w:rPr>
      <w:rFonts w:eastAsiaTheme="minorEastAsia"/>
      <w:color w:val="5A5A5A" w:themeColor="text1" w:themeTint="A5"/>
      <w:spacing w:val="15"/>
      <w:sz w:val="22"/>
      <w:szCs w:val="22"/>
      <w:lang w:eastAsia="fr-FR"/>
    </w:rPr>
  </w:style>
  <w:style w:type="numbering" w:customStyle="1" w:styleId="Numbering1">
    <w:name w:val="Numbering 1"/>
    <w:basedOn w:val="NoList"/>
    <w:rsid w:val="006D2D4D"/>
    <w:pPr>
      <w:numPr>
        <w:numId w:val="3"/>
      </w:numPr>
    </w:pPr>
  </w:style>
  <w:style w:type="numbering" w:customStyle="1" w:styleId="List1">
    <w:name w:val="List 1"/>
    <w:basedOn w:val="NoList"/>
    <w:rsid w:val="006D2D4D"/>
    <w:pPr>
      <w:numPr>
        <w:numId w:val="4"/>
      </w:numPr>
    </w:pPr>
  </w:style>
  <w:style w:type="paragraph" w:customStyle="1" w:styleId="Documenttextecot">
    <w:name w:val="Document texte coté"/>
    <w:basedOn w:val="Normal"/>
    <w:rsid w:val="00344B87"/>
    <w:pPr>
      <w:spacing w:line="264" w:lineRule="auto"/>
    </w:pPr>
    <w:rPr>
      <w:rFonts w:cs="Arial"/>
      <w:b/>
      <w:color w:val="595959" w:themeColor="text1" w:themeTint="A6"/>
      <w:szCs w:val="22"/>
    </w:rPr>
  </w:style>
  <w:style w:type="paragraph" w:customStyle="1" w:styleId="Prambule">
    <w:name w:val="Préambule"/>
    <w:basedOn w:val="Normal"/>
    <w:rsid w:val="00B00D18"/>
    <w:pPr>
      <w:spacing w:after="120" w:line="264" w:lineRule="auto"/>
      <w:ind w:left="1418" w:right="1134"/>
    </w:pPr>
    <w:rPr>
      <w:rFonts w:asciiTheme="minorHAnsi" w:hAnsiTheme="minorHAnsi"/>
      <w:b/>
      <w:i/>
      <w:szCs w:val="22"/>
    </w:rPr>
  </w:style>
  <w:style w:type="character" w:styleId="SubtleEmphasis">
    <w:name w:val="Subtle Emphasis"/>
    <w:basedOn w:val="DefaultParagraphFont"/>
    <w:uiPriority w:val="19"/>
    <w:rsid w:val="00051E06"/>
    <w:rPr>
      <w:i/>
      <w:iCs/>
      <w:color w:val="404040" w:themeColor="text1" w:themeTint="BF"/>
    </w:rPr>
  </w:style>
  <w:style w:type="paragraph" w:styleId="NormalWeb">
    <w:name w:val="Normal (Web)"/>
    <w:basedOn w:val="Normal"/>
    <w:uiPriority w:val="99"/>
    <w:unhideWhenUsed/>
    <w:rsid w:val="005B6CB5"/>
    <w:pPr>
      <w:spacing w:before="100" w:beforeAutospacing="1" w:after="100" w:afterAutospacing="1"/>
    </w:pPr>
    <w:rPr>
      <w:rFonts w:ascii="Times New Roman" w:hAnsi="Times New Roman"/>
    </w:rPr>
  </w:style>
  <w:style w:type="paragraph" w:customStyle="1" w:styleId="Sommaire-texteniveau1">
    <w:name w:val="Sommaire -texte niveau 1"/>
    <w:basedOn w:val="Textedesaisie"/>
    <w:qFormat/>
    <w:rsid w:val="00D0401D"/>
    <w:pPr>
      <w:tabs>
        <w:tab w:val="right" w:pos="709"/>
      </w:tabs>
      <w:spacing w:after="240"/>
      <w:ind w:left="1701" w:right="1134"/>
    </w:pPr>
    <w:rPr>
      <w:caps/>
    </w:rPr>
  </w:style>
  <w:style w:type="paragraph" w:customStyle="1" w:styleId="sommainetexteniveau2">
    <w:name w:val="sommaine texte niveau 2"/>
    <w:basedOn w:val="Normal"/>
    <w:qFormat/>
    <w:rsid w:val="00D0401D"/>
    <w:pPr>
      <w:spacing w:after="120"/>
      <w:ind w:left="1814" w:right="1134"/>
    </w:pPr>
    <w:rPr>
      <w:b/>
    </w:rPr>
  </w:style>
  <w:style w:type="paragraph" w:customStyle="1" w:styleId="textepuce2">
    <w:name w:val="texte puce 2"/>
    <w:basedOn w:val="Textepuce1"/>
    <w:qFormat/>
    <w:rsid w:val="005D07B9"/>
    <w:pPr>
      <w:numPr>
        <w:numId w:val="2"/>
      </w:numPr>
      <w:tabs>
        <w:tab w:val="left" w:pos="567"/>
      </w:tabs>
    </w:pPr>
  </w:style>
  <w:style w:type="paragraph" w:customStyle="1" w:styleId="Sommairetexteniveau3">
    <w:name w:val="Sommaire texte niveau 3"/>
    <w:basedOn w:val="Normal"/>
    <w:qFormat/>
    <w:rsid w:val="00D0401D"/>
    <w:pPr>
      <w:spacing w:after="120"/>
      <w:ind w:left="1985" w:right="1134"/>
    </w:pPr>
  </w:style>
  <w:style w:type="paragraph" w:styleId="TOC1">
    <w:name w:val="toc 1"/>
    <w:basedOn w:val="Normal"/>
    <w:next w:val="Normal"/>
    <w:autoRedefine/>
    <w:uiPriority w:val="39"/>
    <w:unhideWhenUsed/>
    <w:rsid w:val="00811B0F"/>
    <w:pPr>
      <w:tabs>
        <w:tab w:val="right" w:leader="dot" w:pos="9854"/>
      </w:tabs>
      <w:spacing w:before="120" w:after="120"/>
    </w:pPr>
    <w:rPr>
      <w:rFonts w:asciiTheme="minorHAnsi" w:hAnsiTheme="minorHAnsi"/>
      <w:b/>
      <w:bCs/>
      <w:caps/>
      <w:szCs w:val="20"/>
    </w:rPr>
  </w:style>
  <w:style w:type="paragraph" w:styleId="TOC2">
    <w:name w:val="toc 2"/>
    <w:basedOn w:val="Normal"/>
    <w:next w:val="Normal"/>
    <w:autoRedefine/>
    <w:uiPriority w:val="39"/>
    <w:unhideWhenUsed/>
    <w:rsid w:val="00837EFF"/>
    <w:pPr>
      <w:ind w:left="200"/>
    </w:pPr>
    <w:rPr>
      <w:rFonts w:asciiTheme="minorHAnsi" w:hAnsiTheme="minorHAnsi"/>
      <w:smallCaps/>
      <w:szCs w:val="20"/>
    </w:rPr>
  </w:style>
  <w:style w:type="paragraph" w:styleId="TOC3">
    <w:name w:val="toc 3"/>
    <w:basedOn w:val="Normal"/>
    <w:next w:val="Normal"/>
    <w:autoRedefine/>
    <w:uiPriority w:val="39"/>
    <w:unhideWhenUsed/>
    <w:rsid w:val="00837EFF"/>
    <w:pPr>
      <w:ind w:left="400"/>
    </w:pPr>
    <w:rPr>
      <w:rFonts w:asciiTheme="minorHAnsi" w:hAnsiTheme="minorHAnsi"/>
      <w:i/>
      <w:iCs/>
      <w:szCs w:val="20"/>
    </w:rPr>
  </w:style>
  <w:style w:type="paragraph" w:customStyle="1" w:styleId="Soustitrerapport">
    <w:name w:val="Sous titre rapport"/>
    <w:basedOn w:val="NormalWeb"/>
    <w:qFormat/>
    <w:rsid w:val="00BE6408"/>
    <w:rPr>
      <w:rFonts w:ascii="Marianne" w:hAnsi="Marianne"/>
      <w:b/>
      <w:bCs/>
      <w:i/>
      <w:iCs/>
      <w:color w:val="000000" w:themeColor="text1"/>
      <w:sz w:val="44"/>
      <w:szCs w:val="44"/>
    </w:rPr>
  </w:style>
  <w:style w:type="paragraph" w:styleId="TOC4">
    <w:name w:val="toc 4"/>
    <w:basedOn w:val="Normal"/>
    <w:next w:val="Normal"/>
    <w:autoRedefine/>
    <w:uiPriority w:val="39"/>
    <w:unhideWhenUsed/>
    <w:rsid w:val="00837EFF"/>
    <w:pPr>
      <w:ind w:left="600"/>
    </w:pPr>
    <w:rPr>
      <w:rFonts w:asciiTheme="minorHAnsi" w:hAnsiTheme="minorHAnsi"/>
      <w:sz w:val="18"/>
      <w:szCs w:val="18"/>
    </w:rPr>
  </w:style>
  <w:style w:type="paragraph" w:styleId="TOC5">
    <w:name w:val="toc 5"/>
    <w:basedOn w:val="Normal"/>
    <w:next w:val="Normal"/>
    <w:autoRedefine/>
    <w:uiPriority w:val="39"/>
    <w:unhideWhenUsed/>
    <w:rsid w:val="00837EFF"/>
    <w:pPr>
      <w:ind w:left="800"/>
    </w:pPr>
    <w:rPr>
      <w:rFonts w:asciiTheme="minorHAnsi" w:hAnsiTheme="minorHAnsi"/>
      <w:sz w:val="18"/>
      <w:szCs w:val="18"/>
    </w:rPr>
  </w:style>
  <w:style w:type="paragraph" w:styleId="TOC6">
    <w:name w:val="toc 6"/>
    <w:basedOn w:val="Normal"/>
    <w:next w:val="Normal"/>
    <w:autoRedefine/>
    <w:uiPriority w:val="39"/>
    <w:unhideWhenUsed/>
    <w:rsid w:val="00837EFF"/>
    <w:pPr>
      <w:ind w:left="1000"/>
    </w:pPr>
    <w:rPr>
      <w:rFonts w:asciiTheme="minorHAnsi" w:hAnsiTheme="minorHAnsi"/>
      <w:sz w:val="18"/>
      <w:szCs w:val="18"/>
    </w:rPr>
  </w:style>
  <w:style w:type="paragraph" w:styleId="TOC7">
    <w:name w:val="toc 7"/>
    <w:basedOn w:val="Normal"/>
    <w:next w:val="Normal"/>
    <w:autoRedefine/>
    <w:uiPriority w:val="39"/>
    <w:unhideWhenUsed/>
    <w:rsid w:val="00837EFF"/>
    <w:pPr>
      <w:ind w:left="1200"/>
    </w:pPr>
    <w:rPr>
      <w:rFonts w:asciiTheme="minorHAnsi" w:hAnsiTheme="minorHAnsi"/>
      <w:sz w:val="18"/>
      <w:szCs w:val="18"/>
    </w:rPr>
  </w:style>
  <w:style w:type="paragraph" w:styleId="TOC8">
    <w:name w:val="toc 8"/>
    <w:basedOn w:val="Normal"/>
    <w:next w:val="Normal"/>
    <w:autoRedefine/>
    <w:uiPriority w:val="39"/>
    <w:unhideWhenUsed/>
    <w:rsid w:val="00837EFF"/>
    <w:pPr>
      <w:ind w:left="1400"/>
    </w:pPr>
    <w:rPr>
      <w:rFonts w:asciiTheme="minorHAnsi" w:hAnsiTheme="minorHAnsi"/>
      <w:sz w:val="18"/>
      <w:szCs w:val="18"/>
    </w:rPr>
  </w:style>
  <w:style w:type="paragraph" w:styleId="TOC9">
    <w:name w:val="toc 9"/>
    <w:basedOn w:val="Normal"/>
    <w:next w:val="Normal"/>
    <w:autoRedefine/>
    <w:uiPriority w:val="39"/>
    <w:unhideWhenUsed/>
    <w:rsid w:val="00837EFF"/>
    <w:pPr>
      <w:ind w:left="1600"/>
    </w:pPr>
    <w:rPr>
      <w:rFonts w:asciiTheme="minorHAnsi" w:hAnsiTheme="minorHAnsi"/>
      <w:sz w:val="18"/>
      <w:szCs w:val="18"/>
    </w:rPr>
  </w:style>
  <w:style w:type="paragraph" w:customStyle="1" w:styleId="titreencadre">
    <w:name w:val="titre encadre"/>
    <w:basedOn w:val="texteencadr"/>
    <w:next w:val="Normal"/>
    <w:qFormat/>
    <w:rsid w:val="00C246BC"/>
    <w:pPr>
      <w:numPr>
        <w:ilvl w:val="3"/>
        <w:numId w:val="38"/>
      </w:numPr>
      <w:jc w:val="both"/>
    </w:pPr>
    <w:rPr>
      <w:b/>
      <w:sz w:val="21"/>
    </w:rPr>
  </w:style>
  <w:style w:type="paragraph" w:customStyle="1" w:styleId="texteintro">
    <w:name w:val="texte intro"/>
    <w:basedOn w:val="Textedesaisie"/>
    <w:qFormat/>
    <w:rsid w:val="00224DF6"/>
    <w:pPr>
      <w:jc w:val="center"/>
    </w:pPr>
    <w:rPr>
      <w:rFonts w:ascii="Marianne Medium" w:hAnsi="Marianne Medium"/>
      <w:i/>
    </w:rPr>
  </w:style>
  <w:style w:type="paragraph" w:customStyle="1" w:styleId="texteencadr">
    <w:name w:val="texte encadré"/>
    <w:basedOn w:val="Textedesaisie"/>
    <w:qFormat/>
    <w:rsid w:val="00B02709"/>
    <w:pPr>
      <w:ind w:left="0" w:right="0"/>
      <w:jc w:val="left"/>
    </w:pPr>
    <w:rPr>
      <w:rFonts w:ascii="Marianne" w:hAnsi="Marianne"/>
      <w:i/>
    </w:rPr>
  </w:style>
  <w:style w:type="paragraph" w:styleId="TOCHeading">
    <w:name w:val="TOC Heading"/>
    <w:basedOn w:val="Heading1"/>
    <w:next w:val="Normal"/>
    <w:uiPriority w:val="39"/>
    <w:unhideWhenUsed/>
    <w:qFormat/>
    <w:rsid w:val="005D5AA6"/>
    <w:pPr>
      <w:spacing w:before="240" w:after="0" w:line="259" w:lineRule="auto"/>
      <w:ind w:left="0"/>
      <w:outlineLvl w:val="9"/>
    </w:pPr>
    <w:rPr>
      <w:b w:val="0"/>
      <w:bCs w:val="0"/>
      <w:color w:val="365F91" w:themeColor="accent1" w:themeShade="BF"/>
      <w:sz w:val="32"/>
      <w:szCs w:val="32"/>
      <w:u w:val="none"/>
    </w:rPr>
  </w:style>
  <w:style w:type="character" w:styleId="CommentReference">
    <w:name w:val="annotation reference"/>
    <w:basedOn w:val="DefaultParagraphFont"/>
    <w:unhideWhenUsed/>
    <w:qFormat/>
    <w:rsid w:val="00BB5CA4"/>
    <w:rPr>
      <w:sz w:val="16"/>
      <w:szCs w:val="16"/>
    </w:rPr>
  </w:style>
  <w:style w:type="paragraph" w:styleId="CommentText">
    <w:name w:val="annotation text"/>
    <w:basedOn w:val="Normal"/>
    <w:link w:val="CommentTextChar"/>
    <w:unhideWhenUsed/>
    <w:rsid w:val="00BB5CA4"/>
    <w:rPr>
      <w:sz w:val="20"/>
      <w:szCs w:val="20"/>
    </w:rPr>
  </w:style>
  <w:style w:type="character" w:customStyle="1" w:styleId="CommentTextChar">
    <w:name w:val="Comment Text Char"/>
    <w:basedOn w:val="DefaultParagraphFont"/>
    <w:link w:val="CommentText"/>
    <w:rsid w:val="00BB5CA4"/>
    <w:rPr>
      <w:rFonts w:ascii="Marianne" w:eastAsia="Times New Roman" w:hAnsi="Marianne" w:cs="Times New Roman"/>
      <w:lang w:eastAsia="fr-FR"/>
    </w:rPr>
  </w:style>
  <w:style w:type="paragraph" w:styleId="CommentSubject">
    <w:name w:val="annotation subject"/>
    <w:basedOn w:val="CommentText"/>
    <w:next w:val="CommentText"/>
    <w:link w:val="CommentSubjectChar"/>
    <w:uiPriority w:val="99"/>
    <w:semiHidden/>
    <w:unhideWhenUsed/>
    <w:rsid w:val="00BB5CA4"/>
    <w:rPr>
      <w:b/>
      <w:bCs/>
    </w:rPr>
  </w:style>
  <w:style w:type="character" w:customStyle="1" w:styleId="CommentSubjectChar">
    <w:name w:val="Comment Subject Char"/>
    <w:basedOn w:val="CommentTextChar"/>
    <w:link w:val="CommentSubject"/>
    <w:uiPriority w:val="99"/>
    <w:semiHidden/>
    <w:rsid w:val="00BB5CA4"/>
    <w:rPr>
      <w:rFonts w:ascii="Marianne" w:eastAsia="Times New Roman" w:hAnsi="Marianne" w:cs="Times New Roman"/>
      <w:b/>
      <w:bCs/>
      <w:lang w:eastAsia="fr-FR"/>
    </w:rPr>
  </w:style>
  <w:style w:type="paragraph" w:customStyle="1" w:styleId="Titre1">
    <w:name w:val="Titre1"/>
    <w:basedOn w:val="Heading1"/>
    <w:link w:val="Titre1Car"/>
    <w:qFormat/>
    <w:rsid w:val="00D20917"/>
    <w:pPr>
      <w:ind w:left="288"/>
    </w:pPr>
  </w:style>
  <w:style w:type="character" w:styleId="Hyperlink">
    <w:name w:val="Hyperlink"/>
    <w:basedOn w:val="DefaultParagraphFont"/>
    <w:uiPriority w:val="99"/>
    <w:unhideWhenUsed/>
    <w:rsid w:val="00C73F2E"/>
    <w:rPr>
      <w:color w:val="0000FF" w:themeColor="hyperlink"/>
      <w:u w:val="single"/>
    </w:rPr>
  </w:style>
  <w:style w:type="character" w:customStyle="1" w:styleId="Titre1Niveau1Car">
    <w:name w:val="Titre 1 Niveau 1 Car"/>
    <w:basedOn w:val="DefaultParagraphFont"/>
    <w:link w:val="Titre1Niveau1"/>
    <w:rsid w:val="007C589E"/>
    <w:rPr>
      <w:rFonts w:ascii="Marianne" w:eastAsiaTheme="majorEastAsia" w:hAnsi="Marianne" w:cstheme="majorBidi"/>
      <w:bCs/>
      <w:spacing w:val="-10"/>
      <w:kern w:val="28"/>
      <w:sz w:val="48"/>
      <w:szCs w:val="56"/>
      <w:lang w:eastAsia="fr-FR"/>
    </w:rPr>
  </w:style>
  <w:style w:type="character" w:customStyle="1" w:styleId="Titre1Car">
    <w:name w:val="Titre1 Car"/>
    <w:basedOn w:val="Titre1Niveau1Car"/>
    <w:link w:val="Titre1"/>
    <w:rsid w:val="00D20917"/>
    <w:rPr>
      <w:rFonts w:asciiTheme="majorHAnsi" w:eastAsiaTheme="majorEastAsia" w:hAnsiTheme="majorHAnsi" w:cstheme="majorBidi"/>
      <w:b/>
      <w:bCs w:val="0"/>
      <w:spacing w:val="-10"/>
      <w:kern w:val="28"/>
      <w:sz w:val="23"/>
      <w:szCs w:val="28"/>
      <w:u w:val="single"/>
      <w:lang w:eastAsia="fr-FR"/>
    </w:rPr>
  </w:style>
  <w:style w:type="paragraph" w:styleId="Caption">
    <w:name w:val="caption"/>
    <w:aliases w:val="Legende,Car16,Car Car Car Car,Car Car Car Car Car Car Car,Car Car Car Car Car,Car Car Car Car Car Car Car Car Car Car Car Car,Car3,FigureCaptionMEPS,Légende figure,Legende1,Car161,Car Car Car Car1,Car Car Car Car Car Car Car1"/>
    <w:basedOn w:val="Normal"/>
    <w:next w:val="Normal"/>
    <w:link w:val="CaptionChar"/>
    <w:uiPriority w:val="35"/>
    <w:unhideWhenUsed/>
    <w:qFormat/>
    <w:rsid w:val="00E80ECE"/>
    <w:rPr>
      <w:i/>
      <w:iCs/>
      <w:color w:val="1F497D" w:themeColor="text2"/>
      <w:sz w:val="18"/>
      <w:szCs w:val="18"/>
    </w:r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
    <w:basedOn w:val="Normal"/>
    <w:link w:val="FootnoteTextChar"/>
    <w:unhideWhenUsed/>
    <w:qFormat/>
    <w:rsid w:val="00AA5DD8"/>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uiPriority w:val="99"/>
    <w:qFormat/>
    <w:rsid w:val="00AA5DD8"/>
    <w:rPr>
      <w:rFonts w:ascii="Marianne" w:eastAsia="Times New Roman" w:hAnsi="Marianne" w:cs="Times New Roman"/>
      <w:lang w:eastAsia="fr-FR"/>
    </w:rPr>
  </w:style>
  <w:style w:type="character" w:styleId="FootnoteReference">
    <w:name w:val="footnote reference"/>
    <w:aliases w:val="SUPERS,Appel note de bas de page,Footnote symbol,Footnote s,Times 10 Point, Exposant 3 Point,Exposant 3 ,Exposant 3 Point,Expos,Exposant 3,Appel note de bas de p,Texte Appel note de bas de p.,Appel note,-E Fußnotenzeichen,number"/>
    <w:basedOn w:val="DefaultParagraphFont"/>
    <w:unhideWhenUsed/>
    <w:qFormat/>
    <w:rsid w:val="00AA5DD8"/>
    <w:rPr>
      <w:vertAlign w:val="superscript"/>
    </w:rPr>
  </w:style>
  <w:style w:type="paragraph" w:customStyle="1" w:styleId="Default">
    <w:name w:val="Default"/>
    <w:qFormat/>
    <w:rsid w:val="00002707"/>
    <w:pPr>
      <w:autoSpaceDE w:val="0"/>
      <w:autoSpaceDN w:val="0"/>
      <w:adjustRightInd w:val="0"/>
      <w:spacing w:line="240" w:lineRule="auto"/>
    </w:pPr>
    <w:rPr>
      <w:rFonts w:ascii="Arial" w:hAnsi="Arial" w:cs="Arial"/>
      <w:color w:val="000000"/>
      <w:sz w:val="24"/>
      <w:szCs w:val="24"/>
    </w:rPr>
  </w:style>
  <w:style w:type="paragraph" w:styleId="BodyText">
    <w:name w:val="Body Text"/>
    <w:basedOn w:val="Normal"/>
    <w:link w:val="BodyTextChar"/>
    <w:unhideWhenUsed/>
    <w:qFormat/>
    <w:rsid w:val="00592A85"/>
    <w:pPr>
      <w:spacing w:after="120" w:line="276" w:lineRule="auto"/>
    </w:pPr>
    <w:rPr>
      <w:rFonts w:ascii="Trebuchet MS" w:eastAsiaTheme="minorHAnsi" w:hAnsi="Trebuchet MS" w:cstheme="minorBidi"/>
      <w:sz w:val="20"/>
      <w:szCs w:val="22"/>
      <w:lang w:eastAsia="en-US"/>
    </w:rPr>
  </w:style>
  <w:style w:type="character" w:customStyle="1" w:styleId="BodyTextChar">
    <w:name w:val="Body Text Char"/>
    <w:basedOn w:val="DefaultParagraphFont"/>
    <w:link w:val="BodyText"/>
    <w:qFormat/>
    <w:rsid w:val="00592A85"/>
    <w:rPr>
      <w:rFonts w:ascii="Trebuchet MS" w:hAnsi="Trebuchet MS"/>
      <w:szCs w:val="22"/>
    </w:rPr>
  </w:style>
  <w:style w:type="paragraph" w:customStyle="1" w:styleId="Sous-titre1">
    <w:name w:val="Sous-titre 1"/>
    <w:basedOn w:val="Heading6"/>
    <w:link w:val="Sous-titre1Car"/>
    <w:qFormat/>
    <w:rsid w:val="00592A85"/>
    <w:pPr>
      <w:spacing w:before="400" w:after="120" w:line="240" w:lineRule="auto"/>
    </w:pPr>
    <w:rPr>
      <w:rFonts w:ascii="Trebuchet MS" w:hAnsi="Trebuchet MS"/>
      <w:b/>
      <w:i w:val="0"/>
      <w:color w:val="auto"/>
      <w:sz w:val="20"/>
      <w:szCs w:val="22"/>
      <w:lang w:eastAsia="en-US"/>
    </w:rPr>
  </w:style>
  <w:style w:type="character" w:customStyle="1" w:styleId="Sous-titre1Car">
    <w:name w:val="Sous-titre 1 Car"/>
    <w:basedOn w:val="DefaultParagraphFont"/>
    <w:link w:val="Sous-titre1"/>
    <w:rsid w:val="00592A85"/>
    <w:rPr>
      <w:rFonts w:ascii="Trebuchet MS" w:eastAsiaTheme="majorEastAsia" w:hAnsi="Trebuchet MS" w:cstheme="majorBidi"/>
      <w:b/>
      <w:iCs/>
      <w:szCs w:val="22"/>
    </w:rPr>
  </w:style>
  <w:style w:type="character" w:customStyle="1" w:styleId="CaptionChar">
    <w:name w:val="Caption Char"/>
    <w:aliases w:val="Legende Char,Car16 Char,Car Car Car Car Char,Car Car Car Car Car Car Car Char,Car Car Car Car Car Char,Car Car Car Car Car Car Car Car Car Car Car Car Char,Car3 Char,FigureCaptionMEPS Char,Légende figure Char,Legende1 Char,Car161 Char"/>
    <w:basedOn w:val="DefaultParagraphFont"/>
    <w:link w:val="Caption"/>
    <w:qFormat/>
    <w:locked/>
    <w:rsid w:val="00E80ECE"/>
    <w:rPr>
      <w:rFonts w:ascii="Marianne" w:eastAsia="Times New Roman" w:hAnsi="Marianne" w:cs="Times New Roman"/>
      <w:i/>
      <w:iCs/>
      <w:color w:val="1F497D" w:themeColor="text2"/>
      <w:sz w:val="18"/>
      <w:szCs w:val="18"/>
      <w:lang w:eastAsia="fr-FR"/>
    </w:rPr>
  </w:style>
  <w:style w:type="numbering" w:customStyle="1" w:styleId="Style1">
    <w:name w:val="Style1"/>
    <w:uiPriority w:val="99"/>
    <w:rsid w:val="00B53473"/>
    <w:pPr>
      <w:numPr>
        <w:numId w:val="7"/>
      </w:numPr>
    </w:pPr>
  </w:style>
  <w:style w:type="character" w:customStyle="1" w:styleId="hps">
    <w:name w:val="hps"/>
    <w:uiPriority w:val="99"/>
    <w:qFormat/>
    <w:rsid w:val="005D35AC"/>
  </w:style>
  <w:style w:type="paragraph" w:customStyle="1" w:styleId="Bullet0">
    <w:name w:val="Bullet 0"/>
    <w:basedOn w:val="Normal"/>
    <w:uiPriority w:val="99"/>
    <w:qFormat/>
    <w:rsid w:val="005D35AC"/>
    <w:pPr>
      <w:spacing w:before="120" w:after="120"/>
    </w:pPr>
    <w:rPr>
      <w:rFonts w:ascii="Times New Roman" w:hAnsi="Times New Roman"/>
      <w:color w:val="00000A"/>
      <w:sz w:val="24"/>
      <w:lang w:eastAsia="en-US"/>
    </w:rPr>
  </w:style>
  <w:style w:type="paragraph" w:customStyle="1" w:styleId="Standard">
    <w:name w:val="Standard"/>
    <w:qFormat/>
    <w:rsid w:val="00C26427"/>
    <w:pPr>
      <w:widowControl w:val="0"/>
      <w:suppressAutoHyphens/>
      <w:autoSpaceDN w:val="0"/>
      <w:spacing w:line="240" w:lineRule="auto"/>
      <w:textAlignment w:val="baseline"/>
    </w:pPr>
    <w:rPr>
      <w:rFonts w:ascii="Liberation Serif" w:eastAsia="SimSun" w:hAnsi="Liberation Serif" w:cs="Mangal"/>
      <w:kern w:val="3"/>
      <w:sz w:val="24"/>
      <w:szCs w:val="24"/>
      <w:lang w:eastAsia="zh-CN" w:bidi="hi-IN"/>
    </w:rPr>
  </w:style>
  <w:style w:type="paragraph" w:customStyle="1" w:styleId="Footnote">
    <w:name w:val="Footnote"/>
    <w:basedOn w:val="Standard"/>
    <w:rsid w:val="00C26427"/>
    <w:rPr>
      <w:sz w:val="20"/>
      <w:szCs w:val="20"/>
    </w:rPr>
  </w:style>
  <w:style w:type="character" w:customStyle="1" w:styleId="Ancredenotedebasdepage">
    <w:name w:val="Ancre de note de bas de page"/>
    <w:rsid w:val="00401567"/>
    <w:rPr>
      <w:vertAlign w:val="superscript"/>
    </w:rPr>
  </w:style>
  <w:style w:type="paragraph" w:customStyle="1" w:styleId="Textebrut1">
    <w:name w:val="Texte brut1"/>
    <w:qFormat/>
    <w:rsid w:val="00401567"/>
    <w:pPr>
      <w:suppressAutoHyphens/>
      <w:spacing w:line="240" w:lineRule="auto"/>
    </w:pPr>
    <w:rPr>
      <w:rFonts w:ascii="Calibri" w:eastAsia="Calibri" w:hAnsi="Calibri" w:cs="Calibri"/>
      <w:color w:val="000000"/>
      <w:u w:color="000000"/>
      <w:lang w:eastAsia="fr-FR"/>
    </w:rPr>
  </w:style>
  <w:style w:type="character" w:customStyle="1" w:styleId="ListParagraphChar">
    <w:name w:val="List Paragraph Char"/>
    <w:aliases w:val="EC Char,Paragraphe de liste11 Char,Paragraphe de liste1 Char,Puce Char,Colorful List Accent 1 Char,List Paragraph (numbered (a)) Char,List_Paragraph Char,Multilevel para_II Char,List Paragraph1 Char,Rec para Char,Dot pt Char,L Char"/>
    <w:link w:val="ListParagraph"/>
    <w:uiPriority w:val="34"/>
    <w:qFormat/>
    <w:locked/>
    <w:rsid w:val="000863E6"/>
    <w:rPr>
      <w:rFonts w:ascii="Marianne" w:eastAsia="Times New Roman" w:hAnsi="Marianne" w:cs="Times New Roman"/>
      <w:sz w:val="21"/>
      <w:szCs w:val="24"/>
      <w:lang w:eastAsia="fr-FR"/>
    </w:rPr>
  </w:style>
  <w:style w:type="table" w:styleId="GridTable5Dark-Accent4">
    <w:name w:val="Grid Table 5 Dark Accent 4"/>
    <w:basedOn w:val="TableNormal"/>
    <w:uiPriority w:val="50"/>
    <w:rsid w:val="000863E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Strong">
    <w:name w:val="Strong"/>
    <w:basedOn w:val="DefaultParagraphFont"/>
    <w:uiPriority w:val="22"/>
    <w:qFormat/>
    <w:rsid w:val="000863E6"/>
    <w:rPr>
      <w:b/>
      <w:bCs/>
    </w:rPr>
  </w:style>
  <w:style w:type="table" w:customStyle="1" w:styleId="TableGrid0">
    <w:name w:val="TableGrid"/>
    <w:rsid w:val="00F24A36"/>
    <w:pPr>
      <w:spacing w:line="240" w:lineRule="auto"/>
    </w:pPr>
    <w:rPr>
      <w:rFonts w:eastAsiaTheme="minorEastAsia"/>
      <w:sz w:val="22"/>
      <w:szCs w:val="22"/>
      <w:lang w:eastAsia="fr-FR"/>
    </w:rPr>
    <w:tblPr>
      <w:tblCellMar>
        <w:top w:w="0" w:type="dxa"/>
        <w:left w:w="0" w:type="dxa"/>
        <w:bottom w:w="0" w:type="dxa"/>
        <w:right w:w="0" w:type="dxa"/>
      </w:tblCellMar>
    </w:tblPr>
  </w:style>
  <w:style w:type="table" w:customStyle="1" w:styleId="TableGrid1">
    <w:name w:val="TableGrid1"/>
    <w:rsid w:val="00F24A36"/>
    <w:pPr>
      <w:spacing w:line="240" w:lineRule="auto"/>
    </w:pPr>
    <w:rPr>
      <w:rFonts w:eastAsiaTheme="minorEastAsia"/>
      <w:sz w:val="22"/>
      <w:szCs w:val="22"/>
      <w:lang w:eastAsia="fr-FR"/>
    </w:rPr>
    <w:tblPr>
      <w:tblCellMar>
        <w:top w:w="0" w:type="dxa"/>
        <w:left w:w="0" w:type="dxa"/>
        <w:bottom w:w="0" w:type="dxa"/>
        <w:right w:w="0" w:type="dxa"/>
      </w:tblCellMar>
    </w:tblPr>
  </w:style>
  <w:style w:type="table" w:styleId="ListTable4-Accent4">
    <w:name w:val="List Table 4 Accent 4"/>
    <w:basedOn w:val="TableNormal"/>
    <w:uiPriority w:val="49"/>
    <w:rsid w:val="006C000D"/>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6C000D"/>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6C000D"/>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6C000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l-2">
    <w:name w:val="ml-2"/>
    <w:basedOn w:val="DefaultParagraphFont"/>
    <w:rsid w:val="006C000D"/>
  </w:style>
  <w:style w:type="paragraph" w:customStyle="1" w:styleId="Style3">
    <w:name w:val="Style3"/>
    <w:basedOn w:val="Heading2"/>
    <w:link w:val="Style3Car"/>
    <w:autoRedefine/>
    <w:qFormat/>
    <w:rsid w:val="006C000D"/>
    <w:pPr>
      <w:spacing w:before="0" w:line="240" w:lineRule="auto"/>
      <w:contextualSpacing/>
      <w:jc w:val="left"/>
      <w:outlineLvl w:val="9"/>
    </w:pPr>
    <w:rPr>
      <w:rFonts w:eastAsia="Liberation Sans;Arial" w:cstheme="minorHAnsi"/>
      <w:color w:val="68B97E"/>
      <w:sz w:val="24"/>
      <w:szCs w:val="22"/>
    </w:rPr>
  </w:style>
  <w:style w:type="character" w:customStyle="1" w:styleId="Style3Car">
    <w:name w:val="Style3 Car"/>
    <w:basedOn w:val="Heading2Char"/>
    <w:link w:val="Style3"/>
    <w:rsid w:val="006C000D"/>
    <w:rPr>
      <w:rFonts w:asciiTheme="majorHAnsi" w:eastAsia="Liberation Sans;Arial" w:hAnsiTheme="majorHAnsi" w:cstheme="minorHAnsi"/>
      <w:b/>
      <w:bCs/>
      <w:color w:val="68B97E"/>
      <w:sz w:val="24"/>
      <w:szCs w:val="22"/>
      <w:lang w:eastAsia="fr-FR"/>
    </w:rPr>
  </w:style>
  <w:style w:type="paragraph" w:customStyle="1" w:styleId="Style2">
    <w:name w:val="Style2"/>
    <w:basedOn w:val="Normal"/>
    <w:link w:val="Style2Car"/>
    <w:qFormat/>
    <w:rsid w:val="006C000D"/>
    <w:pPr>
      <w:keepNext/>
      <w:keepLines/>
      <w:contextualSpacing/>
      <w:jc w:val="center"/>
    </w:pPr>
    <w:rPr>
      <w:rFonts w:asciiTheme="minorHAnsi" w:eastAsia="Liberation Sans;Arial" w:hAnsiTheme="minorHAnsi" w:cstheme="minorHAnsi"/>
      <w:b/>
      <w:bCs/>
      <w:color w:val="7030A0"/>
      <w:sz w:val="28"/>
      <w:szCs w:val="22"/>
    </w:rPr>
  </w:style>
  <w:style w:type="character" w:customStyle="1" w:styleId="Style2Car">
    <w:name w:val="Style2 Car"/>
    <w:basedOn w:val="DefaultParagraphFont"/>
    <w:link w:val="Style2"/>
    <w:rsid w:val="006C000D"/>
    <w:rPr>
      <w:rFonts w:eastAsia="Liberation Sans;Arial" w:cstheme="minorHAnsi"/>
      <w:b/>
      <w:bCs/>
      <w:color w:val="7030A0"/>
      <w:sz w:val="28"/>
      <w:szCs w:val="22"/>
      <w:lang w:eastAsia="fr-FR"/>
    </w:rPr>
  </w:style>
  <w:style w:type="paragraph" w:styleId="Revision">
    <w:name w:val="Revision"/>
    <w:hidden/>
    <w:uiPriority w:val="99"/>
    <w:semiHidden/>
    <w:rsid w:val="006C000D"/>
    <w:pPr>
      <w:spacing w:line="240" w:lineRule="auto"/>
    </w:pPr>
    <w:rPr>
      <w:rFonts w:ascii="Marianne" w:eastAsia="Times New Roman" w:hAnsi="Marianne" w:cs="Times New Roman"/>
      <w:sz w:val="21"/>
      <w:szCs w:val="24"/>
      <w:lang w:eastAsia="fr-FR"/>
    </w:rPr>
  </w:style>
  <w:style w:type="paragraph" w:customStyle="1" w:styleId="western">
    <w:name w:val="western"/>
    <w:basedOn w:val="Normal"/>
    <w:rsid w:val="006C000D"/>
    <w:pPr>
      <w:spacing w:before="100" w:beforeAutospacing="1" w:after="142" w:line="288" w:lineRule="auto"/>
      <w:jc w:val="left"/>
    </w:pPr>
    <w:rPr>
      <w:rFonts w:ascii="Times New Roman" w:hAnsi="Times New Roman"/>
      <w:color w:val="00000A"/>
      <w:sz w:val="24"/>
    </w:rPr>
  </w:style>
  <w:style w:type="character" w:styleId="FollowedHyperlink">
    <w:name w:val="FollowedHyperlink"/>
    <w:basedOn w:val="DefaultParagraphFont"/>
    <w:uiPriority w:val="99"/>
    <w:semiHidden/>
    <w:unhideWhenUsed/>
    <w:rsid w:val="006C000D"/>
    <w:rPr>
      <w:color w:val="800080" w:themeColor="followedHyperlink"/>
      <w:u w:val="single"/>
    </w:rPr>
  </w:style>
  <w:style w:type="paragraph" w:customStyle="1" w:styleId="Standarduser">
    <w:name w:val="Standard (user)"/>
    <w:rsid w:val="006C000D"/>
    <w:pPr>
      <w:suppressAutoHyphens/>
      <w:autoSpaceDN w:val="0"/>
      <w:spacing w:line="240" w:lineRule="auto"/>
      <w:textAlignment w:val="baseline"/>
    </w:pPr>
    <w:rPr>
      <w:rFonts w:ascii="Times New Roman" w:eastAsia="Times New Roman" w:hAnsi="Times New Roman" w:cs="Times New Roman"/>
      <w:kern w:val="3"/>
      <w:sz w:val="24"/>
      <w:szCs w:val="24"/>
      <w:lang w:eastAsia="zh-CN"/>
    </w:rPr>
  </w:style>
  <w:style w:type="character" w:customStyle="1" w:styleId="rynqvb">
    <w:name w:val="rynqvb"/>
    <w:basedOn w:val="DefaultParagraphFont"/>
    <w:rsid w:val="006C000D"/>
  </w:style>
  <w:style w:type="character" w:styleId="Emphasis">
    <w:name w:val="Emphasis"/>
    <w:basedOn w:val="DefaultParagraphFont"/>
    <w:uiPriority w:val="20"/>
    <w:qFormat/>
    <w:rsid w:val="006C000D"/>
    <w:rPr>
      <w:i/>
      <w:iCs/>
    </w:rPr>
  </w:style>
  <w:style w:type="paragraph" w:styleId="TableofFigures">
    <w:name w:val="table of figures"/>
    <w:basedOn w:val="Normal"/>
    <w:next w:val="Normal"/>
    <w:uiPriority w:val="99"/>
    <w:unhideWhenUsed/>
    <w:rsid w:val="006C000D"/>
    <w:pPr>
      <w:jc w:val="left"/>
    </w:pPr>
    <w:rPr>
      <w:rFonts w:asciiTheme="minorHAnsi" w:hAnsiTheme="minorHAnsi"/>
      <w:i/>
      <w:iCs/>
      <w:sz w:val="20"/>
      <w:szCs w:val="20"/>
    </w:rPr>
  </w:style>
  <w:style w:type="numbering" w:customStyle="1" w:styleId="Style4">
    <w:name w:val="Style4"/>
    <w:uiPriority w:val="99"/>
    <w:rsid w:val="006C000D"/>
    <w:pPr>
      <w:numPr>
        <w:numId w:val="49"/>
      </w:numPr>
    </w:pPr>
  </w:style>
  <w:style w:type="table" w:styleId="ListTable4-Accent2">
    <w:name w:val="List Table 4 Accent 2"/>
    <w:basedOn w:val="TableNormal"/>
    <w:uiPriority w:val="49"/>
    <w:rsid w:val="006C000D"/>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5">
    <w:name w:val="Grid Table 4 Accent 5"/>
    <w:basedOn w:val="TableNormal"/>
    <w:uiPriority w:val="49"/>
    <w:rsid w:val="006C000D"/>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sonormal0">
    <w:name w:val="msonormal"/>
    <w:basedOn w:val="Normal"/>
    <w:rsid w:val="006C000D"/>
    <w:pPr>
      <w:spacing w:before="100" w:beforeAutospacing="1" w:after="100" w:afterAutospacing="1"/>
      <w:jc w:val="left"/>
    </w:pPr>
    <w:rPr>
      <w:rFonts w:ascii="Times New Roman" w:hAnsi="Times New Roman"/>
      <w:sz w:val="24"/>
    </w:rPr>
  </w:style>
  <w:style w:type="paragraph" w:customStyle="1" w:styleId="font0">
    <w:name w:val="font0"/>
    <w:basedOn w:val="Normal"/>
    <w:rsid w:val="006C000D"/>
    <w:pPr>
      <w:spacing w:before="100" w:beforeAutospacing="1" w:after="100" w:afterAutospacing="1"/>
      <w:jc w:val="left"/>
    </w:pPr>
    <w:rPr>
      <w:rFonts w:ascii="Calibri" w:hAnsi="Calibri" w:cs="Calibri"/>
      <w:color w:val="000000"/>
      <w:szCs w:val="22"/>
    </w:rPr>
  </w:style>
  <w:style w:type="paragraph" w:customStyle="1" w:styleId="font5">
    <w:name w:val="font5"/>
    <w:basedOn w:val="Normal"/>
    <w:rsid w:val="006C000D"/>
    <w:pPr>
      <w:spacing w:before="100" w:beforeAutospacing="1" w:after="100" w:afterAutospacing="1"/>
      <w:jc w:val="left"/>
    </w:pPr>
    <w:rPr>
      <w:rFonts w:ascii="Times New Roman" w:hAnsi="Times New Roman"/>
      <w:b/>
      <w:bCs/>
      <w:sz w:val="18"/>
      <w:szCs w:val="18"/>
    </w:rPr>
  </w:style>
  <w:style w:type="paragraph" w:customStyle="1" w:styleId="font6">
    <w:name w:val="font6"/>
    <w:basedOn w:val="Normal"/>
    <w:rsid w:val="006C000D"/>
    <w:pPr>
      <w:spacing w:before="100" w:beforeAutospacing="1" w:after="100" w:afterAutospacing="1"/>
      <w:jc w:val="left"/>
    </w:pPr>
    <w:rPr>
      <w:rFonts w:ascii="Times New Roman" w:hAnsi="Times New Roman"/>
      <w:b/>
      <w:bCs/>
      <w:sz w:val="18"/>
      <w:szCs w:val="18"/>
    </w:rPr>
  </w:style>
  <w:style w:type="paragraph" w:customStyle="1" w:styleId="font7">
    <w:name w:val="font7"/>
    <w:basedOn w:val="Normal"/>
    <w:rsid w:val="006C000D"/>
    <w:pPr>
      <w:spacing w:before="100" w:beforeAutospacing="1" w:after="100" w:afterAutospacing="1"/>
      <w:jc w:val="left"/>
    </w:pPr>
    <w:rPr>
      <w:rFonts w:ascii="Times New Roman" w:hAnsi="Times New Roman"/>
      <w:sz w:val="18"/>
      <w:szCs w:val="18"/>
    </w:rPr>
  </w:style>
  <w:style w:type="paragraph" w:customStyle="1" w:styleId="font8">
    <w:name w:val="font8"/>
    <w:basedOn w:val="Normal"/>
    <w:rsid w:val="006C000D"/>
    <w:pPr>
      <w:spacing w:before="100" w:beforeAutospacing="1" w:after="100" w:afterAutospacing="1"/>
      <w:jc w:val="left"/>
    </w:pPr>
    <w:rPr>
      <w:rFonts w:ascii="Times New Roman" w:hAnsi="Times New Roman"/>
      <w:i/>
      <w:iCs/>
      <w:sz w:val="18"/>
      <w:szCs w:val="18"/>
    </w:rPr>
  </w:style>
  <w:style w:type="paragraph" w:customStyle="1" w:styleId="font9">
    <w:name w:val="font9"/>
    <w:basedOn w:val="Normal"/>
    <w:rsid w:val="006C000D"/>
    <w:pPr>
      <w:spacing w:before="100" w:beforeAutospacing="1" w:after="100" w:afterAutospacing="1"/>
      <w:jc w:val="left"/>
    </w:pPr>
    <w:rPr>
      <w:rFonts w:ascii="Times New Roman" w:hAnsi="Times New Roman"/>
      <w:sz w:val="18"/>
      <w:szCs w:val="18"/>
    </w:rPr>
  </w:style>
  <w:style w:type="paragraph" w:customStyle="1" w:styleId="font10">
    <w:name w:val="font10"/>
    <w:basedOn w:val="Normal"/>
    <w:rsid w:val="006C000D"/>
    <w:pPr>
      <w:spacing w:before="100" w:beforeAutospacing="1" w:after="100" w:afterAutospacing="1"/>
      <w:jc w:val="left"/>
    </w:pPr>
    <w:rPr>
      <w:rFonts w:ascii="Times New Roman" w:hAnsi="Times New Roman"/>
      <w:b/>
      <w:bCs/>
      <w:sz w:val="18"/>
      <w:szCs w:val="18"/>
    </w:rPr>
  </w:style>
  <w:style w:type="paragraph" w:customStyle="1" w:styleId="font11">
    <w:name w:val="font11"/>
    <w:basedOn w:val="Normal"/>
    <w:rsid w:val="006C000D"/>
    <w:pPr>
      <w:spacing w:before="100" w:beforeAutospacing="1" w:after="100" w:afterAutospacing="1"/>
      <w:jc w:val="left"/>
    </w:pPr>
    <w:rPr>
      <w:rFonts w:ascii="Times New Roman" w:hAnsi="Times New Roman"/>
      <w:b/>
      <w:bCs/>
      <w:i/>
      <w:iCs/>
      <w:sz w:val="18"/>
      <w:szCs w:val="18"/>
    </w:rPr>
  </w:style>
  <w:style w:type="paragraph" w:customStyle="1" w:styleId="font12">
    <w:name w:val="font12"/>
    <w:basedOn w:val="Normal"/>
    <w:rsid w:val="006C000D"/>
    <w:pPr>
      <w:spacing w:before="100" w:beforeAutospacing="1" w:after="100" w:afterAutospacing="1"/>
      <w:jc w:val="left"/>
    </w:pPr>
    <w:rPr>
      <w:rFonts w:ascii="Times New Roman" w:hAnsi="Times New Roman"/>
      <w:color w:val="000000"/>
      <w:sz w:val="18"/>
      <w:szCs w:val="18"/>
    </w:rPr>
  </w:style>
  <w:style w:type="paragraph" w:customStyle="1" w:styleId="xl967">
    <w:name w:val="xl967"/>
    <w:basedOn w:val="Normal"/>
    <w:rsid w:val="006C000D"/>
    <w:pPr>
      <w:spacing w:before="100" w:beforeAutospacing="1" w:after="100" w:afterAutospacing="1"/>
      <w:jc w:val="left"/>
    </w:pPr>
    <w:rPr>
      <w:rFonts w:ascii="Times New Roman" w:hAnsi="Times New Roman"/>
      <w:sz w:val="18"/>
      <w:szCs w:val="18"/>
    </w:rPr>
  </w:style>
  <w:style w:type="paragraph" w:customStyle="1" w:styleId="xl968">
    <w:name w:val="xl968"/>
    <w:basedOn w:val="Normal"/>
    <w:rsid w:val="006C000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ind w:firstLineChars="200" w:firstLine="200"/>
      <w:jc w:val="left"/>
      <w:textAlignment w:val="center"/>
    </w:pPr>
    <w:rPr>
      <w:rFonts w:ascii="Times New Roman" w:hAnsi="Times New Roman"/>
      <w:sz w:val="18"/>
      <w:szCs w:val="18"/>
    </w:rPr>
  </w:style>
  <w:style w:type="paragraph" w:customStyle="1" w:styleId="xl969">
    <w:name w:val="xl969"/>
    <w:basedOn w:val="Normal"/>
    <w:rsid w:val="006C00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Times New Roman" w:hAnsi="Times New Roman"/>
      <w:b/>
      <w:bCs/>
      <w:sz w:val="18"/>
      <w:szCs w:val="18"/>
    </w:rPr>
  </w:style>
  <w:style w:type="paragraph" w:customStyle="1" w:styleId="xl970">
    <w:name w:val="xl970"/>
    <w:basedOn w:val="Normal"/>
    <w:rsid w:val="006C000D"/>
    <w:pPr>
      <w:pBdr>
        <w:top w:val="single" w:sz="4" w:space="0" w:color="auto"/>
        <w:left w:val="single" w:sz="4" w:space="31" w:color="auto"/>
        <w:bottom w:val="single" w:sz="4" w:space="0" w:color="auto"/>
        <w:right w:val="single" w:sz="4" w:space="0" w:color="auto"/>
      </w:pBdr>
      <w:shd w:val="clear" w:color="000000" w:fill="CCFFFF"/>
      <w:spacing w:before="100" w:beforeAutospacing="1" w:after="100" w:afterAutospacing="1"/>
      <w:ind w:firstLineChars="500" w:firstLine="500"/>
      <w:jc w:val="left"/>
      <w:textAlignment w:val="center"/>
    </w:pPr>
    <w:rPr>
      <w:rFonts w:ascii="Times New Roman" w:hAnsi="Times New Roman"/>
      <w:sz w:val="18"/>
      <w:szCs w:val="18"/>
    </w:rPr>
  </w:style>
  <w:style w:type="paragraph" w:customStyle="1" w:styleId="xl971">
    <w:name w:val="xl971"/>
    <w:basedOn w:val="Normal"/>
    <w:rsid w:val="006C000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ind w:firstLineChars="200" w:firstLine="200"/>
      <w:jc w:val="left"/>
      <w:textAlignment w:val="center"/>
    </w:pPr>
    <w:rPr>
      <w:rFonts w:ascii="Times New Roman" w:hAnsi="Times New Roman"/>
      <w:sz w:val="18"/>
      <w:szCs w:val="18"/>
    </w:rPr>
  </w:style>
  <w:style w:type="paragraph" w:customStyle="1" w:styleId="xl972">
    <w:name w:val="xl972"/>
    <w:basedOn w:val="Normal"/>
    <w:rsid w:val="006C000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ind w:firstLineChars="200" w:firstLine="200"/>
      <w:jc w:val="left"/>
      <w:textAlignment w:val="center"/>
    </w:pPr>
    <w:rPr>
      <w:rFonts w:ascii="Times New Roman" w:hAnsi="Times New Roman"/>
      <w:sz w:val="18"/>
      <w:szCs w:val="18"/>
    </w:rPr>
  </w:style>
  <w:style w:type="paragraph" w:customStyle="1" w:styleId="xl973">
    <w:name w:val="xl973"/>
    <w:basedOn w:val="Normal"/>
    <w:rsid w:val="006C00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Times New Roman" w:hAnsi="Times New Roman"/>
      <w:b/>
      <w:bCs/>
      <w:sz w:val="18"/>
      <w:szCs w:val="18"/>
    </w:rPr>
  </w:style>
  <w:style w:type="paragraph" w:customStyle="1" w:styleId="xl974">
    <w:name w:val="xl974"/>
    <w:basedOn w:val="Normal"/>
    <w:rsid w:val="006C00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Times New Roman" w:hAnsi="Times New Roman"/>
      <w:b/>
      <w:bCs/>
      <w:sz w:val="18"/>
      <w:szCs w:val="18"/>
    </w:rPr>
  </w:style>
  <w:style w:type="paragraph" w:customStyle="1" w:styleId="xl975">
    <w:name w:val="xl975"/>
    <w:basedOn w:val="Normal"/>
    <w:rsid w:val="006C000D"/>
    <w:pPr>
      <w:pBdr>
        <w:top w:val="single" w:sz="4" w:space="0" w:color="auto"/>
        <w:left w:val="single" w:sz="4" w:space="0" w:color="auto"/>
        <w:right w:val="single" w:sz="4" w:space="0" w:color="auto"/>
      </w:pBdr>
      <w:shd w:val="clear" w:color="000000" w:fill="CCFFFF"/>
      <w:spacing w:before="100" w:beforeAutospacing="1" w:after="100" w:afterAutospacing="1"/>
      <w:jc w:val="left"/>
      <w:textAlignment w:val="center"/>
    </w:pPr>
    <w:rPr>
      <w:rFonts w:ascii="Times New Roman" w:hAnsi="Times New Roman"/>
      <w:b/>
      <w:bCs/>
      <w:sz w:val="18"/>
      <w:szCs w:val="18"/>
    </w:rPr>
  </w:style>
  <w:style w:type="paragraph" w:customStyle="1" w:styleId="xl976">
    <w:name w:val="xl976"/>
    <w:basedOn w:val="Normal"/>
    <w:rsid w:val="006C000D"/>
    <w:pPr>
      <w:pBdr>
        <w:left w:val="single" w:sz="4" w:space="0" w:color="auto"/>
        <w:bottom w:val="double" w:sz="6" w:space="0" w:color="auto"/>
        <w:right w:val="single" w:sz="4" w:space="0" w:color="auto"/>
      </w:pBdr>
      <w:shd w:val="clear" w:color="000000" w:fill="CCFFFF"/>
      <w:spacing w:before="100" w:beforeAutospacing="1" w:after="100" w:afterAutospacing="1"/>
      <w:jc w:val="left"/>
      <w:textAlignment w:val="center"/>
    </w:pPr>
    <w:rPr>
      <w:rFonts w:ascii="Times New Roman" w:hAnsi="Times New Roman"/>
      <w:b/>
      <w:bCs/>
      <w:sz w:val="18"/>
      <w:szCs w:val="18"/>
    </w:rPr>
  </w:style>
  <w:style w:type="paragraph" w:customStyle="1" w:styleId="xl977">
    <w:name w:val="xl977"/>
    <w:basedOn w:val="Normal"/>
    <w:rsid w:val="006C00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Times New Roman" w:hAnsi="Times New Roman"/>
      <w:sz w:val="18"/>
      <w:szCs w:val="18"/>
    </w:rPr>
  </w:style>
  <w:style w:type="paragraph" w:customStyle="1" w:styleId="xl978">
    <w:name w:val="xl978"/>
    <w:basedOn w:val="Normal"/>
    <w:rsid w:val="006C00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hAnsi="Times New Roman"/>
      <w:b/>
      <w:bCs/>
      <w:sz w:val="18"/>
      <w:szCs w:val="18"/>
    </w:rPr>
  </w:style>
  <w:style w:type="paragraph" w:customStyle="1" w:styleId="xl979">
    <w:name w:val="xl979"/>
    <w:basedOn w:val="Normal"/>
    <w:rsid w:val="006C000D"/>
    <w:pPr>
      <w:pBdr>
        <w:left w:val="single" w:sz="4" w:space="0" w:color="auto"/>
        <w:right w:val="single" w:sz="4" w:space="0" w:color="auto"/>
      </w:pBdr>
      <w:shd w:val="clear" w:color="000000" w:fill="CCFFFF"/>
      <w:spacing w:before="100" w:beforeAutospacing="1" w:after="100" w:afterAutospacing="1"/>
      <w:jc w:val="left"/>
      <w:textAlignment w:val="center"/>
    </w:pPr>
    <w:rPr>
      <w:rFonts w:ascii="Times New Roman" w:hAnsi="Times New Roman"/>
      <w:b/>
      <w:bCs/>
      <w:sz w:val="18"/>
      <w:szCs w:val="18"/>
    </w:rPr>
  </w:style>
  <w:style w:type="paragraph" w:customStyle="1" w:styleId="xl980">
    <w:name w:val="xl980"/>
    <w:basedOn w:val="Normal"/>
    <w:rsid w:val="006C00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981">
    <w:name w:val="xl981"/>
    <w:basedOn w:val="Normal"/>
    <w:rsid w:val="006C00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982">
    <w:name w:val="xl982"/>
    <w:basedOn w:val="Normal"/>
    <w:rsid w:val="006C000D"/>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right"/>
    </w:pPr>
    <w:rPr>
      <w:rFonts w:ascii="Times New Roman" w:hAnsi="Times New Roman"/>
      <w:sz w:val="18"/>
      <w:szCs w:val="18"/>
    </w:rPr>
  </w:style>
  <w:style w:type="paragraph" w:customStyle="1" w:styleId="xl983">
    <w:name w:val="xl983"/>
    <w:basedOn w:val="Normal"/>
    <w:rsid w:val="006C00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hAnsi="Times New Roman"/>
      <w:sz w:val="18"/>
      <w:szCs w:val="18"/>
    </w:rPr>
  </w:style>
  <w:style w:type="paragraph" w:customStyle="1" w:styleId="xl984">
    <w:name w:val="xl984"/>
    <w:basedOn w:val="Normal"/>
    <w:rsid w:val="006C000D"/>
    <w:pPr>
      <w:pBdr>
        <w:top w:val="single" w:sz="4" w:space="0" w:color="auto"/>
        <w:left w:val="single" w:sz="4" w:space="0" w:color="auto"/>
        <w:bottom w:val="double" w:sz="6" w:space="0" w:color="auto"/>
      </w:pBdr>
      <w:shd w:val="clear" w:color="000000" w:fill="CCFFFF"/>
      <w:spacing w:before="100" w:beforeAutospacing="1" w:after="100" w:afterAutospacing="1"/>
      <w:jc w:val="center"/>
      <w:textAlignment w:val="center"/>
    </w:pPr>
    <w:rPr>
      <w:rFonts w:ascii="Times New Roman" w:hAnsi="Times New Roman"/>
      <w:b/>
      <w:bCs/>
      <w:sz w:val="18"/>
      <w:szCs w:val="18"/>
    </w:rPr>
  </w:style>
  <w:style w:type="paragraph" w:customStyle="1" w:styleId="xl985">
    <w:name w:val="xl985"/>
    <w:basedOn w:val="Normal"/>
    <w:rsid w:val="006C000D"/>
    <w:pPr>
      <w:pBdr>
        <w:top w:val="single" w:sz="4" w:space="0" w:color="auto"/>
        <w:bottom w:val="double" w:sz="6" w:space="0" w:color="auto"/>
      </w:pBdr>
      <w:shd w:val="clear" w:color="000000" w:fill="CCFFFF"/>
      <w:spacing w:before="100" w:beforeAutospacing="1" w:after="100" w:afterAutospacing="1"/>
      <w:jc w:val="center"/>
      <w:textAlignment w:val="center"/>
    </w:pPr>
    <w:rPr>
      <w:rFonts w:ascii="Times New Roman" w:hAnsi="Times New Roman"/>
      <w:b/>
      <w:bCs/>
      <w:sz w:val="18"/>
      <w:szCs w:val="18"/>
    </w:rPr>
  </w:style>
  <w:style w:type="paragraph" w:customStyle="1" w:styleId="xl986">
    <w:name w:val="xl986"/>
    <w:basedOn w:val="Normal"/>
    <w:rsid w:val="006C000D"/>
    <w:pPr>
      <w:pBdr>
        <w:top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rFonts w:ascii="Times New Roman" w:hAnsi="Times New Roman"/>
      <w:b/>
      <w:bCs/>
      <w:sz w:val="18"/>
      <w:szCs w:val="18"/>
    </w:rPr>
  </w:style>
  <w:style w:type="character" w:customStyle="1" w:styleId="Caractresdenotedebasdepage">
    <w:name w:val="Caractères de note de bas de page"/>
    <w:rsid w:val="006C000D"/>
    <w:rPr>
      <w:vertAlign w:val="superscript"/>
    </w:rPr>
  </w:style>
  <w:style w:type="paragraph" w:customStyle="1" w:styleId="Contenuducadre">
    <w:name w:val="Contenu du cadre"/>
    <w:basedOn w:val="BodyText"/>
    <w:rsid w:val="006C000D"/>
    <w:pPr>
      <w:widowControl w:val="0"/>
      <w:suppressAutoHyphens/>
      <w:spacing w:before="120" w:after="0" w:line="240" w:lineRule="auto"/>
    </w:pPr>
    <w:rPr>
      <w:rFonts w:ascii="Arial" w:eastAsia="Times New Roman" w:hAnsi="Arial" w:cs="Arial"/>
      <w:sz w:val="22"/>
      <w:lang w:eastAsia="zh-CN"/>
    </w:rPr>
  </w:style>
  <w:style w:type="paragraph" w:customStyle="1" w:styleId="xl987">
    <w:name w:val="xl987"/>
    <w:basedOn w:val="Normal"/>
    <w:rsid w:val="006C000D"/>
    <w:pPr>
      <w:pBdr>
        <w:top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rFonts w:ascii="Times New Roman" w:hAnsi="Times New Roman"/>
      <w:b/>
      <w:bCs/>
      <w:sz w:val="18"/>
      <w:szCs w:val="18"/>
    </w:rPr>
  </w:style>
  <w:style w:type="paragraph" w:customStyle="1" w:styleId="xl988">
    <w:name w:val="xl988"/>
    <w:basedOn w:val="Normal"/>
    <w:rsid w:val="006C00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Times New Roman" w:hAnsi="Times New Roman"/>
      <w:b/>
      <w:bCs/>
      <w:sz w:val="18"/>
      <w:szCs w:val="18"/>
    </w:rPr>
  </w:style>
  <w:style w:type="paragraph" w:customStyle="1" w:styleId="xl989">
    <w:name w:val="xl989"/>
    <w:basedOn w:val="Normal"/>
    <w:rsid w:val="006C000D"/>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left"/>
      <w:textAlignment w:val="center"/>
    </w:pPr>
    <w:rPr>
      <w:rFonts w:ascii="Times New Roman" w:hAnsi="Times New Roman"/>
      <w:b/>
      <w:bCs/>
      <w:sz w:val="18"/>
      <w:szCs w:val="18"/>
    </w:rPr>
  </w:style>
  <w:style w:type="paragraph" w:customStyle="1" w:styleId="xl990">
    <w:name w:val="xl990"/>
    <w:basedOn w:val="Normal"/>
    <w:rsid w:val="006C000D"/>
    <w:pPr>
      <w:pBdr>
        <w:top w:val="single" w:sz="4" w:space="0" w:color="auto"/>
        <w:bottom w:val="double" w:sz="6" w:space="0" w:color="auto"/>
      </w:pBdr>
      <w:shd w:val="clear" w:color="000000" w:fill="CCFFFF"/>
      <w:spacing w:before="100" w:beforeAutospacing="1" w:after="100" w:afterAutospacing="1"/>
      <w:jc w:val="center"/>
      <w:textAlignment w:val="center"/>
    </w:pPr>
    <w:rPr>
      <w:rFonts w:ascii="Times New Roman" w:hAnsi="Times New Roman"/>
      <w:b/>
      <w:bCs/>
      <w:sz w:val="18"/>
      <w:szCs w:val="18"/>
    </w:rPr>
  </w:style>
  <w:style w:type="paragraph" w:customStyle="1" w:styleId="xl991">
    <w:name w:val="xl991"/>
    <w:basedOn w:val="Normal"/>
    <w:rsid w:val="006C000D"/>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rFonts w:ascii="Times New Roman" w:hAnsi="Times New Roman"/>
      <w:b/>
      <w:bCs/>
      <w:sz w:val="18"/>
      <w:szCs w:val="18"/>
    </w:rPr>
  </w:style>
  <w:style w:type="paragraph" w:customStyle="1" w:styleId="xl48159">
    <w:name w:val="xl48159"/>
    <w:basedOn w:val="Normal"/>
    <w:rsid w:val="006C000D"/>
    <w:pPr>
      <w:spacing w:before="100" w:beforeAutospacing="1" w:after="100" w:afterAutospacing="1"/>
      <w:jc w:val="left"/>
    </w:pPr>
    <w:rPr>
      <w:rFonts w:ascii="Trebuchet MS" w:hAnsi="Trebuchet MS"/>
      <w:sz w:val="24"/>
    </w:rPr>
  </w:style>
  <w:style w:type="paragraph" w:customStyle="1" w:styleId="xl48160">
    <w:name w:val="xl48160"/>
    <w:basedOn w:val="Normal"/>
    <w:rsid w:val="006C000D"/>
    <w:pPr>
      <w:spacing w:before="100" w:beforeAutospacing="1" w:after="100" w:afterAutospacing="1"/>
      <w:jc w:val="left"/>
      <w:textAlignment w:val="center"/>
    </w:pPr>
    <w:rPr>
      <w:rFonts w:ascii="Trebuchet MS" w:hAnsi="Trebuchet MS"/>
      <w:sz w:val="24"/>
    </w:rPr>
  </w:style>
  <w:style w:type="paragraph" w:customStyle="1" w:styleId="xl48161">
    <w:name w:val="xl48161"/>
    <w:basedOn w:val="Normal"/>
    <w:rsid w:val="006C000D"/>
    <w:pPr>
      <w:shd w:val="clear" w:color="000000" w:fill="FFFFFF"/>
      <w:spacing w:before="100" w:beforeAutospacing="1" w:after="100" w:afterAutospacing="1"/>
      <w:jc w:val="left"/>
    </w:pPr>
    <w:rPr>
      <w:rFonts w:ascii="Trebuchet MS" w:hAnsi="Trebuchet MS"/>
      <w:color w:val="000000"/>
      <w:szCs w:val="22"/>
    </w:rPr>
  </w:style>
  <w:style w:type="paragraph" w:customStyle="1" w:styleId="xl48162">
    <w:name w:val="xl48162"/>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b/>
      <w:bCs/>
      <w:sz w:val="18"/>
      <w:szCs w:val="18"/>
    </w:rPr>
  </w:style>
  <w:style w:type="paragraph" w:customStyle="1" w:styleId="xl48163">
    <w:name w:val="xl48163"/>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b/>
      <w:bCs/>
      <w:sz w:val="18"/>
      <w:szCs w:val="18"/>
    </w:rPr>
  </w:style>
  <w:style w:type="paragraph" w:customStyle="1" w:styleId="xl48164">
    <w:name w:val="xl48164"/>
    <w:basedOn w:val="Normal"/>
    <w:rsid w:val="006C000D"/>
    <w:pPr>
      <w:spacing w:before="100" w:beforeAutospacing="1" w:after="100" w:afterAutospacing="1"/>
      <w:jc w:val="center"/>
      <w:textAlignment w:val="center"/>
    </w:pPr>
    <w:rPr>
      <w:rFonts w:ascii="Trebuchet MS" w:hAnsi="Trebuchet MS"/>
      <w:b/>
      <w:bCs/>
      <w:i/>
      <w:iCs/>
      <w:sz w:val="18"/>
      <w:szCs w:val="18"/>
    </w:rPr>
  </w:style>
  <w:style w:type="paragraph" w:customStyle="1" w:styleId="xl48165">
    <w:name w:val="xl48165"/>
    <w:basedOn w:val="Normal"/>
    <w:rsid w:val="006C000D"/>
    <w:pPr>
      <w:pBdr>
        <w:top w:val="single" w:sz="4" w:space="0" w:color="auto"/>
        <w:left w:val="single" w:sz="4" w:space="0" w:color="auto"/>
        <w:bottom w:val="single" w:sz="4" w:space="0" w:color="auto"/>
      </w:pBdr>
      <w:spacing w:before="100" w:beforeAutospacing="1" w:after="100" w:afterAutospacing="1"/>
      <w:jc w:val="left"/>
      <w:textAlignment w:val="center"/>
    </w:pPr>
    <w:rPr>
      <w:rFonts w:ascii="Trebuchet MS" w:hAnsi="Trebuchet MS"/>
      <w:sz w:val="16"/>
      <w:szCs w:val="16"/>
    </w:rPr>
  </w:style>
  <w:style w:type="paragraph" w:customStyle="1" w:styleId="xl48166">
    <w:name w:val="xl48166"/>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rebuchet MS" w:hAnsi="Trebuchet MS"/>
      <w:sz w:val="16"/>
      <w:szCs w:val="16"/>
    </w:rPr>
  </w:style>
  <w:style w:type="paragraph" w:customStyle="1" w:styleId="xl48167">
    <w:name w:val="xl48167"/>
    <w:basedOn w:val="Normal"/>
    <w:rsid w:val="006C000D"/>
    <w:pPr>
      <w:shd w:val="clear" w:color="000000" w:fill="0070C0"/>
      <w:spacing w:before="100" w:beforeAutospacing="1" w:after="100" w:afterAutospacing="1"/>
      <w:jc w:val="left"/>
    </w:pPr>
    <w:rPr>
      <w:rFonts w:ascii="Trebuchet MS" w:hAnsi="Trebuchet MS"/>
      <w:b/>
      <w:bCs/>
      <w:color w:val="FFFFFF"/>
      <w:szCs w:val="22"/>
    </w:rPr>
  </w:style>
  <w:style w:type="paragraph" w:customStyle="1" w:styleId="xl48168">
    <w:name w:val="xl48168"/>
    <w:basedOn w:val="Normal"/>
    <w:rsid w:val="006C00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rebuchet MS" w:hAnsi="Trebuchet MS"/>
      <w:sz w:val="16"/>
      <w:szCs w:val="16"/>
    </w:rPr>
  </w:style>
  <w:style w:type="paragraph" w:customStyle="1" w:styleId="xl48169">
    <w:name w:val="xl48169"/>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rebuchet MS" w:hAnsi="Trebuchet MS"/>
      <w:sz w:val="16"/>
      <w:szCs w:val="16"/>
    </w:rPr>
  </w:style>
  <w:style w:type="paragraph" w:customStyle="1" w:styleId="xl48170">
    <w:name w:val="xl48170"/>
    <w:basedOn w:val="Normal"/>
    <w:rsid w:val="006C000D"/>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jc w:val="left"/>
    </w:pPr>
    <w:rPr>
      <w:rFonts w:ascii="Trebuchet MS" w:hAnsi="Trebuchet MS"/>
      <w:b/>
      <w:bCs/>
      <w:color w:val="FFFFFF"/>
      <w:sz w:val="16"/>
      <w:szCs w:val="16"/>
    </w:rPr>
  </w:style>
  <w:style w:type="paragraph" w:customStyle="1" w:styleId="xl48171">
    <w:name w:val="xl48171"/>
    <w:basedOn w:val="Normal"/>
    <w:rsid w:val="006C000D"/>
    <w:pPr>
      <w:shd w:val="clear" w:color="000000" w:fill="B3A2C7"/>
      <w:spacing w:before="100" w:beforeAutospacing="1" w:after="100" w:afterAutospacing="1"/>
      <w:jc w:val="left"/>
    </w:pPr>
    <w:rPr>
      <w:rFonts w:ascii="Trebuchet MS" w:hAnsi="Trebuchet MS"/>
      <w:b/>
      <w:bCs/>
      <w:szCs w:val="22"/>
    </w:rPr>
  </w:style>
  <w:style w:type="paragraph" w:customStyle="1" w:styleId="xl48172">
    <w:name w:val="xl48172"/>
    <w:basedOn w:val="Normal"/>
    <w:rsid w:val="006C000D"/>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Trebuchet MS" w:hAnsi="Trebuchet MS"/>
      <w:sz w:val="16"/>
      <w:szCs w:val="16"/>
    </w:rPr>
  </w:style>
  <w:style w:type="paragraph" w:customStyle="1" w:styleId="xl48173">
    <w:name w:val="xl48173"/>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rebuchet MS" w:hAnsi="Trebuchet MS"/>
      <w:sz w:val="16"/>
      <w:szCs w:val="16"/>
    </w:rPr>
  </w:style>
  <w:style w:type="paragraph" w:customStyle="1" w:styleId="xl48174">
    <w:name w:val="xl48174"/>
    <w:basedOn w:val="Normal"/>
    <w:rsid w:val="006C000D"/>
    <w:pPr>
      <w:shd w:val="clear" w:color="000000" w:fill="E0E5B3"/>
      <w:spacing w:before="100" w:beforeAutospacing="1" w:after="100" w:afterAutospacing="1"/>
      <w:jc w:val="left"/>
    </w:pPr>
    <w:rPr>
      <w:rFonts w:ascii="Trebuchet MS" w:hAnsi="Trebuchet MS"/>
      <w:b/>
      <w:bCs/>
      <w:szCs w:val="22"/>
    </w:rPr>
  </w:style>
  <w:style w:type="paragraph" w:customStyle="1" w:styleId="xl48175">
    <w:name w:val="xl48175"/>
    <w:basedOn w:val="Normal"/>
    <w:rsid w:val="006C000D"/>
    <w:pPr>
      <w:shd w:val="clear" w:color="000000" w:fill="92D050"/>
      <w:spacing w:before="100" w:beforeAutospacing="1" w:after="100" w:afterAutospacing="1"/>
      <w:jc w:val="left"/>
    </w:pPr>
    <w:rPr>
      <w:rFonts w:ascii="Trebuchet MS" w:hAnsi="Trebuchet MS"/>
      <w:b/>
      <w:bCs/>
      <w:szCs w:val="22"/>
    </w:rPr>
  </w:style>
  <w:style w:type="paragraph" w:customStyle="1" w:styleId="xl48176">
    <w:name w:val="xl48176"/>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rebuchet MS" w:hAnsi="Trebuchet MS"/>
      <w:sz w:val="18"/>
      <w:szCs w:val="18"/>
    </w:rPr>
  </w:style>
  <w:style w:type="paragraph" w:customStyle="1" w:styleId="xl48177">
    <w:name w:val="xl48177"/>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rebuchet MS" w:hAnsi="Trebuchet MS"/>
      <w:sz w:val="18"/>
      <w:szCs w:val="18"/>
    </w:rPr>
  </w:style>
  <w:style w:type="paragraph" w:customStyle="1" w:styleId="xl48178">
    <w:name w:val="xl48178"/>
    <w:basedOn w:val="Normal"/>
    <w:rsid w:val="006C000D"/>
    <w:pPr>
      <w:shd w:val="clear" w:color="000000" w:fill="7030A0"/>
      <w:spacing w:before="100" w:beforeAutospacing="1" w:after="100" w:afterAutospacing="1"/>
      <w:jc w:val="left"/>
    </w:pPr>
    <w:rPr>
      <w:rFonts w:ascii="Trebuchet MS" w:hAnsi="Trebuchet MS"/>
      <w:b/>
      <w:bCs/>
      <w:color w:val="FFFFFF"/>
      <w:szCs w:val="22"/>
    </w:rPr>
  </w:style>
  <w:style w:type="paragraph" w:customStyle="1" w:styleId="xl48179">
    <w:name w:val="xl48179"/>
    <w:basedOn w:val="Normal"/>
    <w:rsid w:val="006C000D"/>
    <w:pPr>
      <w:pBdr>
        <w:top w:val="single" w:sz="4" w:space="0" w:color="auto"/>
        <w:left w:val="single" w:sz="4" w:space="0" w:color="auto"/>
        <w:bottom w:val="single" w:sz="4" w:space="0" w:color="auto"/>
      </w:pBdr>
      <w:spacing w:before="100" w:beforeAutospacing="1" w:after="100" w:afterAutospacing="1"/>
      <w:jc w:val="left"/>
    </w:pPr>
    <w:rPr>
      <w:rFonts w:ascii="Trebuchet MS" w:hAnsi="Trebuchet MS"/>
      <w:sz w:val="16"/>
      <w:szCs w:val="16"/>
    </w:rPr>
  </w:style>
  <w:style w:type="paragraph" w:customStyle="1" w:styleId="xl48180">
    <w:name w:val="xl48180"/>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rebuchet MS" w:hAnsi="Trebuchet MS"/>
      <w:sz w:val="16"/>
      <w:szCs w:val="16"/>
    </w:rPr>
  </w:style>
  <w:style w:type="paragraph" w:customStyle="1" w:styleId="xl48181">
    <w:name w:val="xl48181"/>
    <w:basedOn w:val="Normal"/>
    <w:rsid w:val="006C000D"/>
    <w:pPr>
      <w:shd w:val="clear" w:color="000000" w:fill="00B050"/>
      <w:spacing w:before="100" w:beforeAutospacing="1" w:after="100" w:afterAutospacing="1"/>
      <w:jc w:val="left"/>
    </w:pPr>
    <w:rPr>
      <w:rFonts w:ascii="Trebuchet MS" w:hAnsi="Trebuchet MS"/>
      <w:b/>
      <w:bCs/>
      <w:color w:val="FFFFFF"/>
      <w:szCs w:val="22"/>
    </w:rPr>
  </w:style>
  <w:style w:type="paragraph" w:customStyle="1" w:styleId="xl48182">
    <w:name w:val="xl48182"/>
    <w:basedOn w:val="Normal"/>
    <w:rsid w:val="006C00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rebuchet MS" w:hAnsi="Trebuchet MS"/>
      <w:b/>
      <w:bCs/>
      <w:szCs w:val="22"/>
    </w:rPr>
  </w:style>
  <w:style w:type="paragraph" w:customStyle="1" w:styleId="xl48183">
    <w:name w:val="xl48183"/>
    <w:basedOn w:val="Normal"/>
    <w:rsid w:val="006C000D"/>
    <w:pPr>
      <w:pBdr>
        <w:top w:val="single" w:sz="4" w:space="0" w:color="auto"/>
        <w:bottom w:val="single" w:sz="4" w:space="0" w:color="auto"/>
        <w:right w:val="single" w:sz="4" w:space="0" w:color="auto"/>
      </w:pBdr>
      <w:shd w:val="clear" w:color="000000" w:fill="DDEBF7"/>
      <w:spacing w:before="100" w:beforeAutospacing="1" w:after="100" w:afterAutospacing="1"/>
      <w:jc w:val="left"/>
    </w:pPr>
    <w:rPr>
      <w:rFonts w:ascii="Trebuchet MS" w:hAnsi="Trebuchet MS"/>
      <w:b/>
      <w:bCs/>
      <w:szCs w:val="22"/>
    </w:rPr>
  </w:style>
  <w:style w:type="paragraph" w:customStyle="1" w:styleId="xl48184">
    <w:name w:val="xl48184"/>
    <w:basedOn w:val="Normal"/>
    <w:rsid w:val="006C000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rebuchet MS" w:hAnsi="Trebuchet MS"/>
      <w:b/>
      <w:bCs/>
      <w:sz w:val="16"/>
      <w:szCs w:val="16"/>
    </w:rPr>
  </w:style>
  <w:style w:type="paragraph" w:customStyle="1" w:styleId="xl48185">
    <w:name w:val="xl48185"/>
    <w:basedOn w:val="Normal"/>
    <w:rsid w:val="006C000D"/>
    <w:pPr>
      <w:pBdr>
        <w:top w:val="single" w:sz="4" w:space="0" w:color="auto"/>
        <w:left w:val="single" w:sz="4" w:space="0" w:color="auto"/>
        <w:bottom w:val="single" w:sz="4" w:space="0" w:color="auto"/>
        <w:right w:val="single" w:sz="4" w:space="0" w:color="auto"/>
      </w:pBdr>
      <w:shd w:val="clear" w:color="000000" w:fill="B3A2C7"/>
      <w:spacing w:before="100" w:beforeAutospacing="1" w:after="100" w:afterAutospacing="1"/>
      <w:jc w:val="left"/>
    </w:pPr>
    <w:rPr>
      <w:rFonts w:ascii="Trebuchet MS" w:hAnsi="Trebuchet MS"/>
      <w:b/>
      <w:bCs/>
      <w:sz w:val="16"/>
      <w:szCs w:val="16"/>
    </w:rPr>
  </w:style>
  <w:style w:type="paragraph" w:customStyle="1" w:styleId="xl48186">
    <w:name w:val="xl48186"/>
    <w:basedOn w:val="Normal"/>
    <w:rsid w:val="006C000D"/>
    <w:pPr>
      <w:pBdr>
        <w:top w:val="single" w:sz="4" w:space="0" w:color="auto"/>
        <w:left w:val="single" w:sz="4" w:space="0" w:color="auto"/>
        <w:bottom w:val="single" w:sz="4" w:space="0" w:color="auto"/>
        <w:right w:val="single" w:sz="4" w:space="0" w:color="auto"/>
      </w:pBdr>
      <w:shd w:val="clear" w:color="000000" w:fill="E0E5B3"/>
      <w:spacing w:before="100" w:beforeAutospacing="1" w:after="100" w:afterAutospacing="1"/>
      <w:jc w:val="left"/>
    </w:pPr>
    <w:rPr>
      <w:rFonts w:ascii="Trebuchet MS" w:hAnsi="Trebuchet MS"/>
      <w:b/>
      <w:bCs/>
      <w:sz w:val="16"/>
      <w:szCs w:val="16"/>
    </w:rPr>
  </w:style>
  <w:style w:type="paragraph" w:customStyle="1" w:styleId="xl48187">
    <w:name w:val="xl48187"/>
    <w:basedOn w:val="Normal"/>
    <w:rsid w:val="006C000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Trebuchet MS" w:hAnsi="Trebuchet MS"/>
      <w:b/>
      <w:bCs/>
      <w:sz w:val="16"/>
      <w:szCs w:val="16"/>
    </w:rPr>
  </w:style>
  <w:style w:type="paragraph" w:customStyle="1" w:styleId="xl48188">
    <w:name w:val="xl48188"/>
    <w:basedOn w:val="Normal"/>
    <w:rsid w:val="006C000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left"/>
    </w:pPr>
    <w:rPr>
      <w:rFonts w:ascii="Trebuchet MS" w:hAnsi="Trebuchet MS"/>
      <w:b/>
      <w:bCs/>
      <w:color w:val="FFFFFF"/>
      <w:sz w:val="16"/>
      <w:szCs w:val="16"/>
    </w:rPr>
  </w:style>
  <w:style w:type="paragraph" w:customStyle="1" w:styleId="xl48189">
    <w:name w:val="xl48189"/>
    <w:basedOn w:val="Normal"/>
    <w:rsid w:val="006C000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left"/>
    </w:pPr>
    <w:rPr>
      <w:rFonts w:ascii="Trebuchet MS" w:hAnsi="Trebuchet MS"/>
      <w:b/>
      <w:bCs/>
      <w:color w:val="FFFFFF"/>
      <w:sz w:val="16"/>
      <w:szCs w:val="16"/>
    </w:rPr>
  </w:style>
  <w:style w:type="paragraph" w:customStyle="1" w:styleId="xl48190">
    <w:name w:val="xl48190"/>
    <w:basedOn w:val="Normal"/>
    <w:rsid w:val="006C00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rebuchet MS" w:hAnsi="Trebuchet MS"/>
      <w:b/>
      <w:bCs/>
      <w:sz w:val="16"/>
      <w:szCs w:val="16"/>
    </w:rPr>
  </w:style>
  <w:style w:type="paragraph" w:customStyle="1" w:styleId="xl48191">
    <w:name w:val="xl48191"/>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rebuchet MS" w:hAnsi="Trebuchet MS"/>
      <w:sz w:val="16"/>
      <w:szCs w:val="16"/>
    </w:rPr>
  </w:style>
  <w:style w:type="paragraph" w:customStyle="1" w:styleId="xl48192">
    <w:name w:val="xl48192"/>
    <w:basedOn w:val="Normal"/>
    <w:rsid w:val="006C000D"/>
    <w:pPr>
      <w:shd w:val="clear" w:color="000000" w:fill="FFFFFF"/>
      <w:spacing w:before="100" w:beforeAutospacing="1" w:after="100" w:afterAutospacing="1"/>
      <w:jc w:val="left"/>
    </w:pPr>
    <w:rPr>
      <w:rFonts w:ascii="Trebuchet MS" w:hAnsi="Trebuchet MS"/>
      <w:color w:val="000000"/>
      <w:szCs w:val="22"/>
    </w:rPr>
  </w:style>
  <w:style w:type="paragraph" w:customStyle="1" w:styleId="xl48193">
    <w:name w:val="xl48193"/>
    <w:basedOn w:val="Normal"/>
    <w:rsid w:val="006C000D"/>
    <w:pPr>
      <w:spacing w:before="100" w:beforeAutospacing="1" w:after="100" w:afterAutospacing="1"/>
      <w:jc w:val="left"/>
    </w:pPr>
    <w:rPr>
      <w:rFonts w:ascii="Trebuchet MS" w:hAnsi="Trebuchet MS"/>
      <w:sz w:val="24"/>
    </w:rPr>
  </w:style>
  <w:style w:type="paragraph" w:customStyle="1" w:styleId="xl48194">
    <w:name w:val="xl48194"/>
    <w:basedOn w:val="Normal"/>
    <w:rsid w:val="006C000D"/>
    <w:pPr>
      <w:shd w:val="clear" w:color="000000" w:fill="FF0000"/>
      <w:spacing w:before="100" w:beforeAutospacing="1" w:after="100" w:afterAutospacing="1"/>
      <w:jc w:val="left"/>
    </w:pPr>
    <w:rPr>
      <w:rFonts w:ascii="Trebuchet MS" w:hAnsi="Trebuchet MS"/>
      <w:color w:val="000000"/>
      <w:szCs w:val="22"/>
    </w:rPr>
  </w:style>
  <w:style w:type="paragraph" w:customStyle="1" w:styleId="xl48195">
    <w:name w:val="xl48195"/>
    <w:basedOn w:val="Normal"/>
    <w:rsid w:val="006C000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rebuchet MS" w:hAnsi="Trebuchet MS"/>
      <w:sz w:val="16"/>
      <w:szCs w:val="16"/>
    </w:rPr>
  </w:style>
  <w:style w:type="character" w:customStyle="1" w:styleId="markedcontent">
    <w:name w:val="markedcontent"/>
    <w:basedOn w:val="DefaultParagraphFont"/>
    <w:rsid w:val="006C000D"/>
  </w:style>
  <w:style w:type="character" w:customStyle="1" w:styleId="TextecourantCar">
    <w:name w:val="Texte courant Car"/>
    <w:basedOn w:val="CommentTextChar"/>
    <w:link w:val="Textecourant"/>
    <w:qFormat/>
    <w:rsid w:val="006C000D"/>
    <w:rPr>
      <w:rFonts w:ascii="Marianne" w:eastAsia="Times New Roman" w:hAnsi="Marianne" w:cs="Times New Roman"/>
      <w:lang w:eastAsia="fr-FR"/>
    </w:rPr>
  </w:style>
  <w:style w:type="paragraph" w:customStyle="1" w:styleId="Textecourant">
    <w:name w:val="Texte courant"/>
    <w:basedOn w:val="CommentText"/>
    <w:link w:val="TextecourantCar"/>
    <w:qFormat/>
    <w:rsid w:val="006C000D"/>
    <w:pPr>
      <w:spacing w:after="160"/>
    </w:pPr>
  </w:style>
  <w:style w:type="character" w:customStyle="1" w:styleId="field-content">
    <w:name w:val="field-content"/>
    <w:basedOn w:val="DefaultParagraphFont"/>
    <w:rsid w:val="006C000D"/>
  </w:style>
  <w:style w:type="table" w:styleId="ListTable7Colorful-Accent6">
    <w:name w:val="List Table 7 Colorful Accent 6"/>
    <w:basedOn w:val="TableNormal"/>
    <w:uiPriority w:val="52"/>
    <w:rsid w:val="00117FAB"/>
    <w:pPr>
      <w:spacing w:line="240" w:lineRule="auto"/>
    </w:pPr>
    <w:rPr>
      <w:color w:val="E36C0A"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65">
    <w:name w:val="xl65"/>
    <w:basedOn w:val="Normal"/>
    <w:rsid w:val="00811B0F"/>
    <w:pPr>
      <w:spacing w:before="100" w:beforeAutospacing="1" w:after="100" w:afterAutospacing="1"/>
      <w:jc w:val="center"/>
      <w:textAlignment w:val="center"/>
    </w:pPr>
    <w:rPr>
      <w:rFonts w:ascii="Arial" w:hAnsi="Arial" w:cs="Arial"/>
      <w:sz w:val="16"/>
      <w:szCs w:val="16"/>
    </w:rPr>
  </w:style>
  <w:style w:type="paragraph" w:customStyle="1" w:styleId="xl66">
    <w:name w:val="xl66"/>
    <w:basedOn w:val="Normal"/>
    <w:rsid w:val="00811B0F"/>
    <w:pPr>
      <w:spacing w:before="100" w:beforeAutospacing="1" w:after="100" w:afterAutospacing="1"/>
      <w:jc w:val="left"/>
    </w:pPr>
    <w:rPr>
      <w:rFonts w:ascii="Arial" w:hAnsi="Arial" w:cs="Arial"/>
      <w:sz w:val="16"/>
      <w:szCs w:val="16"/>
    </w:rPr>
  </w:style>
  <w:style w:type="paragraph" w:customStyle="1" w:styleId="xl67">
    <w:name w:val="xl67"/>
    <w:basedOn w:val="Normal"/>
    <w:rsid w:val="00811B0F"/>
    <w:pPr>
      <w:pBdr>
        <w:top w:val="single" w:sz="4" w:space="0" w:color="A8A8A8"/>
        <w:left w:val="single" w:sz="4" w:space="0" w:color="A8A8A8"/>
        <w:bottom w:val="single" w:sz="4" w:space="0" w:color="A8A8A8"/>
        <w:right w:val="single" w:sz="4" w:space="0" w:color="A8A8A8"/>
      </w:pBdr>
      <w:spacing w:before="100" w:beforeAutospacing="1" w:after="100" w:afterAutospacing="1"/>
      <w:jc w:val="left"/>
      <w:textAlignment w:val="top"/>
    </w:pPr>
    <w:rPr>
      <w:rFonts w:ascii="Arial" w:hAnsi="Arial" w:cs="Arial"/>
      <w:sz w:val="16"/>
      <w:szCs w:val="16"/>
    </w:rPr>
  </w:style>
  <w:style w:type="paragraph" w:customStyle="1" w:styleId="xl68">
    <w:name w:val="xl68"/>
    <w:basedOn w:val="Normal"/>
    <w:rsid w:val="00811B0F"/>
    <w:pPr>
      <w:spacing w:before="100" w:beforeAutospacing="1" w:after="100" w:afterAutospacing="1"/>
      <w:jc w:val="left"/>
    </w:pPr>
    <w:rPr>
      <w:rFonts w:ascii="Arial" w:hAnsi="Arial" w:cs="Arial"/>
      <w:sz w:val="16"/>
      <w:szCs w:val="16"/>
    </w:rPr>
  </w:style>
  <w:style w:type="paragraph" w:customStyle="1" w:styleId="xl69">
    <w:name w:val="xl69"/>
    <w:basedOn w:val="Normal"/>
    <w:rsid w:val="00811B0F"/>
    <w:pPr>
      <w:pBdr>
        <w:top w:val="single" w:sz="4" w:space="0" w:color="A8A8A8"/>
        <w:left w:val="single" w:sz="4" w:space="0" w:color="A8A8A8"/>
        <w:bottom w:val="single" w:sz="4" w:space="0" w:color="A8A8A8"/>
        <w:right w:val="single" w:sz="4" w:space="0" w:color="A8A8A8"/>
      </w:pBdr>
      <w:spacing w:before="100" w:beforeAutospacing="1" w:after="100" w:afterAutospacing="1"/>
      <w:jc w:val="left"/>
      <w:textAlignment w:val="top"/>
    </w:pPr>
    <w:rPr>
      <w:rFonts w:ascii="Arial" w:hAnsi="Arial" w:cs="Arial"/>
      <w:sz w:val="16"/>
      <w:szCs w:val="16"/>
    </w:rPr>
  </w:style>
  <w:style w:type="paragraph" w:customStyle="1" w:styleId="xl70">
    <w:name w:val="xl70"/>
    <w:basedOn w:val="Normal"/>
    <w:rsid w:val="00811B0F"/>
    <w:pPr>
      <w:spacing w:before="100" w:beforeAutospacing="1" w:after="100" w:afterAutospacing="1"/>
      <w:jc w:val="left"/>
    </w:pPr>
    <w:rPr>
      <w:rFonts w:ascii="Arial" w:hAnsi="Arial" w:cs="Arial"/>
      <w:sz w:val="20"/>
      <w:szCs w:val="20"/>
    </w:rPr>
  </w:style>
  <w:style w:type="paragraph" w:customStyle="1" w:styleId="xl71">
    <w:name w:val="xl71"/>
    <w:basedOn w:val="Normal"/>
    <w:rsid w:val="00811B0F"/>
    <w:pPr>
      <w:pBdr>
        <w:top w:val="single" w:sz="4" w:space="0" w:color="A8A8A8"/>
        <w:left w:val="single" w:sz="4" w:space="0" w:color="A8A8A8"/>
        <w:bottom w:val="single" w:sz="4" w:space="0" w:color="A8A8A8"/>
        <w:right w:val="single" w:sz="4" w:space="0" w:color="A8A8A8"/>
      </w:pBdr>
      <w:shd w:val="clear" w:color="000000" w:fill="E6E6E6"/>
      <w:spacing w:before="100" w:beforeAutospacing="1" w:after="100" w:afterAutospacing="1"/>
      <w:jc w:val="center"/>
      <w:textAlignment w:val="center"/>
    </w:pPr>
    <w:rPr>
      <w:rFonts w:ascii="Arial" w:hAnsi="Arial" w:cs="Arial"/>
      <w:sz w:val="16"/>
      <w:szCs w:val="16"/>
    </w:rPr>
  </w:style>
  <w:style w:type="paragraph" w:customStyle="1" w:styleId="xl72">
    <w:name w:val="xl72"/>
    <w:basedOn w:val="Normal"/>
    <w:rsid w:val="00811B0F"/>
    <w:pPr>
      <w:spacing w:before="100" w:beforeAutospacing="1" w:after="100" w:afterAutospacing="1"/>
      <w:jc w:val="left"/>
    </w:pPr>
    <w:rPr>
      <w:rFonts w:ascii="Arial" w:hAnsi="Arial" w:cs="Arial"/>
      <w:b/>
      <w:bCs/>
      <w:sz w:val="20"/>
      <w:szCs w:val="20"/>
    </w:rPr>
  </w:style>
  <w:style w:type="paragraph" w:customStyle="1" w:styleId="xl73">
    <w:name w:val="xl73"/>
    <w:basedOn w:val="Normal"/>
    <w:rsid w:val="00811B0F"/>
    <w:pPr>
      <w:shd w:val="clear" w:color="000000" w:fill="E6E6E6"/>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811B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75">
    <w:name w:val="xl75"/>
    <w:basedOn w:val="Normal"/>
    <w:rsid w:val="00811B0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6">
    <w:name w:val="xl76"/>
    <w:basedOn w:val="Normal"/>
    <w:rsid w:val="00811B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77">
    <w:name w:val="xl77"/>
    <w:basedOn w:val="Normal"/>
    <w:rsid w:val="00811B0F"/>
    <w:pPr>
      <w:pBdr>
        <w:top w:val="single" w:sz="4" w:space="0" w:color="A8A8A8"/>
        <w:left w:val="single" w:sz="4" w:space="0" w:color="A8A8A8"/>
        <w:bottom w:val="single" w:sz="4" w:space="0" w:color="A8A8A8"/>
        <w:right w:val="single" w:sz="4" w:space="0" w:color="A8A8A8"/>
      </w:pBdr>
      <w:shd w:val="clear" w:color="000000" w:fill="E6E6E6"/>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811B0F"/>
    <w:pPr>
      <w:pBdr>
        <w:top w:val="single" w:sz="4" w:space="0" w:color="A8A8A8"/>
        <w:left w:val="single" w:sz="4" w:space="0" w:color="A8A8A8"/>
        <w:bottom w:val="single" w:sz="4" w:space="0" w:color="A8A8A8"/>
        <w:right w:val="single" w:sz="4" w:space="0" w:color="A8A8A8"/>
      </w:pBdr>
      <w:spacing w:before="100" w:beforeAutospacing="1" w:after="100" w:afterAutospacing="1"/>
      <w:jc w:val="center"/>
      <w:textAlignment w:val="center"/>
    </w:pPr>
    <w:rPr>
      <w:rFonts w:ascii="Arial" w:hAnsi="Arial" w:cs="Arial"/>
      <w:sz w:val="20"/>
      <w:szCs w:val="20"/>
    </w:rPr>
  </w:style>
  <w:style w:type="table" w:styleId="GridTable5Dark-Accent1">
    <w:name w:val="Grid Table 5 Dark Accent 1"/>
    <w:basedOn w:val="TableNormal"/>
    <w:uiPriority w:val="50"/>
    <w:rsid w:val="001808D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xl140">
    <w:name w:val="xl140"/>
    <w:basedOn w:val="Normal"/>
    <w:rsid w:val="001808DF"/>
    <w:pPr>
      <w:pBdr>
        <w:top w:val="single" w:sz="4" w:space="0" w:color="D9D9D9"/>
        <w:left w:val="single" w:sz="4" w:space="0" w:color="D9D9D9"/>
        <w:right w:val="single" w:sz="4" w:space="0" w:color="D9D9D9"/>
      </w:pBdr>
      <w:spacing w:before="100" w:beforeAutospacing="1" w:after="100" w:afterAutospacing="1"/>
      <w:jc w:val="left"/>
      <w:textAlignment w:val="top"/>
    </w:pPr>
    <w:rPr>
      <w:rFonts w:ascii="Times New Roman" w:hAnsi="Times New Roman"/>
      <w:sz w:val="18"/>
      <w:szCs w:val="18"/>
    </w:rPr>
  </w:style>
  <w:style w:type="paragraph" w:customStyle="1" w:styleId="xl141">
    <w:name w:val="xl141"/>
    <w:basedOn w:val="Normal"/>
    <w:rsid w:val="001808DF"/>
    <w:pPr>
      <w:pBdr>
        <w:top w:val="single" w:sz="4" w:space="0" w:color="D9D9D9"/>
        <w:left w:val="single" w:sz="4" w:space="0" w:color="D9D9D9"/>
        <w:right w:val="single" w:sz="4" w:space="0" w:color="D9D9D9"/>
      </w:pBdr>
      <w:spacing w:before="100" w:beforeAutospacing="1" w:after="100" w:afterAutospacing="1"/>
      <w:jc w:val="right"/>
      <w:textAlignment w:val="top"/>
    </w:pPr>
    <w:rPr>
      <w:rFonts w:ascii="Times New Roman" w:hAnsi="Times New Roman"/>
      <w:sz w:val="18"/>
      <w:szCs w:val="18"/>
    </w:rPr>
  </w:style>
  <w:style w:type="paragraph" w:customStyle="1" w:styleId="xl142">
    <w:name w:val="xl142"/>
    <w:basedOn w:val="Normal"/>
    <w:rsid w:val="001808DF"/>
    <w:pPr>
      <w:pBdr>
        <w:top w:val="single" w:sz="4" w:space="0" w:color="D9D9D9"/>
        <w:left w:val="single" w:sz="4" w:space="7" w:color="D9D9D9"/>
        <w:right w:val="single" w:sz="4" w:space="0" w:color="D9D9D9"/>
      </w:pBdr>
      <w:spacing w:before="100" w:beforeAutospacing="1" w:after="100" w:afterAutospacing="1"/>
      <w:ind w:firstLineChars="100" w:firstLine="100"/>
      <w:jc w:val="left"/>
      <w:textAlignment w:val="top"/>
    </w:pPr>
    <w:rPr>
      <w:rFonts w:ascii="Times New Roman" w:hAnsi="Times New Roman"/>
      <w:sz w:val="18"/>
      <w:szCs w:val="18"/>
    </w:rPr>
  </w:style>
  <w:style w:type="paragraph" w:customStyle="1" w:styleId="xl143">
    <w:name w:val="xl143"/>
    <w:basedOn w:val="Normal"/>
    <w:rsid w:val="001808DF"/>
    <w:pPr>
      <w:pBdr>
        <w:top w:val="single" w:sz="4" w:space="0" w:color="B8B8B8"/>
        <w:left w:val="single" w:sz="4" w:space="0" w:color="B8B8B8"/>
        <w:bottom w:val="single" w:sz="4" w:space="0" w:color="D9D9D9"/>
        <w:right w:val="single" w:sz="4" w:space="0" w:color="B8B8B8"/>
      </w:pBdr>
      <w:spacing w:before="100" w:beforeAutospacing="1" w:after="100" w:afterAutospacing="1"/>
      <w:jc w:val="right"/>
      <w:textAlignment w:val="top"/>
    </w:pPr>
    <w:rPr>
      <w:rFonts w:ascii="Times New Roman" w:hAnsi="Times New Roman"/>
      <w:sz w:val="18"/>
      <w:szCs w:val="18"/>
    </w:rPr>
  </w:style>
  <w:style w:type="paragraph" w:customStyle="1" w:styleId="xl144">
    <w:name w:val="xl144"/>
    <w:basedOn w:val="Normal"/>
    <w:rsid w:val="001808DF"/>
    <w:pPr>
      <w:pBdr>
        <w:top w:val="single" w:sz="4" w:space="0" w:color="000000"/>
        <w:left w:val="single" w:sz="4" w:space="0" w:color="B8B8B8"/>
        <w:bottom w:val="single" w:sz="4" w:space="0" w:color="000000"/>
        <w:right w:val="single" w:sz="4" w:space="0" w:color="D9D9D9"/>
      </w:pBdr>
      <w:spacing w:before="100" w:beforeAutospacing="1" w:after="100" w:afterAutospacing="1"/>
      <w:jc w:val="left"/>
      <w:textAlignment w:val="top"/>
    </w:pPr>
    <w:rPr>
      <w:rFonts w:ascii="Times New Roman" w:hAnsi="Times New Roman"/>
      <w:sz w:val="18"/>
      <w:szCs w:val="18"/>
    </w:rPr>
  </w:style>
  <w:style w:type="paragraph" w:customStyle="1" w:styleId="xl145">
    <w:name w:val="xl145"/>
    <w:basedOn w:val="Normal"/>
    <w:rsid w:val="001808DF"/>
    <w:pPr>
      <w:pBdr>
        <w:top w:val="single" w:sz="4" w:space="0" w:color="000000"/>
        <w:left w:val="single" w:sz="4" w:space="0" w:color="B8B8B8"/>
        <w:bottom w:val="single" w:sz="4" w:space="0" w:color="000000"/>
        <w:right w:val="single" w:sz="4" w:space="0" w:color="B8B8B8"/>
      </w:pBdr>
      <w:shd w:val="clear" w:color="000000" w:fill="F4F4F4"/>
      <w:spacing w:before="100" w:beforeAutospacing="1" w:after="100" w:afterAutospacing="1"/>
      <w:jc w:val="right"/>
      <w:textAlignment w:val="top"/>
    </w:pPr>
    <w:rPr>
      <w:rFonts w:ascii="Times New Roman" w:hAnsi="Times New Roman"/>
      <w:sz w:val="18"/>
      <w:szCs w:val="18"/>
    </w:rPr>
  </w:style>
  <w:style w:type="paragraph" w:customStyle="1" w:styleId="xl146">
    <w:name w:val="xl146"/>
    <w:basedOn w:val="Normal"/>
    <w:rsid w:val="001808DF"/>
    <w:pPr>
      <w:pBdr>
        <w:top w:val="single" w:sz="4" w:space="0" w:color="000000"/>
        <w:left w:val="single" w:sz="4" w:space="0" w:color="B8B8B8"/>
        <w:bottom w:val="single" w:sz="4" w:space="0" w:color="000000"/>
        <w:right w:val="single" w:sz="4" w:space="0" w:color="B8B8B8"/>
      </w:pBdr>
      <w:shd w:val="clear" w:color="000000" w:fill="F4F4F4"/>
      <w:spacing w:before="100" w:beforeAutospacing="1" w:after="100" w:afterAutospacing="1"/>
      <w:jc w:val="right"/>
      <w:textAlignment w:val="top"/>
    </w:pPr>
    <w:rPr>
      <w:rFonts w:ascii="Times New Roman" w:hAnsi="Times New Roman"/>
      <w:sz w:val="18"/>
      <w:szCs w:val="18"/>
    </w:rPr>
  </w:style>
  <w:style w:type="paragraph" w:customStyle="1" w:styleId="xl147">
    <w:name w:val="xl147"/>
    <w:basedOn w:val="Normal"/>
    <w:rsid w:val="001808DF"/>
    <w:pPr>
      <w:pBdr>
        <w:top w:val="single" w:sz="4" w:space="0" w:color="000000"/>
        <w:left w:val="single" w:sz="4" w:space="0" w:color="B8B8B8"/>
        <w:bottom w:val="single" w:sz="4" w:space="0" w:color="000000"/>
        <w:right w:val="single" w:sz="4" w:space="0" w:color="B8B8B8"/>
      </w:pBdr>
      <w:shd w:val="clear" w:color="000000" w:fill="F4F4F4"/>
      <w:spacing w:before="100" w:beforeAutospacing="1" w:after="100" w:afterAutospacing="1"/>
      <w:jc w:val="left"/>
      <w:textAlignment w:val="top"/>
    </w:pPr>
    <w:rPr>
      <w:rFonts w:ascii="Times New Roman" w:hAnsi="Times New Roman"/>
      <w:sz w:val="18"/>
      <w:szCs w:val="18"/>
    </w:rPr>
  </w:style>
  <w:style w:type="paragraph" w:customStyle="1" w:styleId="xl148">
    <w:name w:val="xl148"/>
    <w:basedOn w:val="Normal"/>
    <w:rsid w:val="001808DF"/>
    <w:pPr>
      <w:pBdr>
        <w:top w:val="single" w:sz="4" w:space="0" w:color="B8B8B8"/>
        <w:left w:val="single" w:sz="4" w:space="7" w:color="B8B8B8"/>
        <w:bottom w:val="single" w:sz="4" w:space="0" w:color="D9D9D9"/>
        <w:right w:val="single" w:sz="4" w:space="0" w:color="D9D9D9"/>
      </w:pBdr>
      <w:spacing w:before="100" w:beforeAutospacing="1" w:after="100" w:afterAutospacing="1"/>
      <w:ind w:firstLineChars="100" w:firstLine="100"/>
      <w:jc w:val="left"/>
      <w:textAlignment w:val="top"/>
    </w:pPr>
    <w:rPr>
      <w:rFonts w:ascii="Times New Roman" w:hAnsi="Times New Roman"/>
      <w:sz w:val="18"/>
      <w:szCs w:val="18"/>
    </w:rPr>
  </w:style>
  <w:style w:type="paragraph" w:customStyle="1" w:styleId="xl149">
    <w:name w:val="xl149"/>
    <w:basedOn w:val="Normal"/>
    <w:rsid w:val="001808DF"/>
    <w:pPr>
      <w:pBdr>
        <w:top w:val="single" w:sz="4" w:space="0" w:color="B8B8B8"/>
        <w:left w:val="single" w:sz="4" w:space="0" w:color="B8B8B8"/>
        <w:bottom w:val="single" w:sz="4" w:space="0" w:color="D9D9D9"/>
        <w:right w:val="single" w:sz="4" w:space="0" w:color="B8B8B8"/>
      </w:pBdr>
      <w:spacing w:before="100" w:beforeAutospacing="1" w:after="100" w:afterAutospacing="1"/>
      <w:jc w:val="right"/>
      <w:textAlignment w:val="top"/>
    </w:pPr>
    <w:rPr>
      <w:rFonts w:ascii="Times New Roman" w:hAnsi="Times New Roman"/>
      <w:sz w:val="18"/>
      <w:szCs w:val="18"/>
    </w:rPr>
  </w:style>
  <w:style w:type="paragraph" w:customStyle="1" w:styleId="xl150">
    <w:name w:val="xl150"/>
    <w:basedOn w:val="Normal"/>
    <w:rsid w:val="001808DF"/>
    <w:pPr>
      <w:pBdr>
        <w:top w:val="single" w:sz="4" w:space="0" w:color="B8B8B8"/>
        <w:left w:val="single" w:sz="4" w:space="0" w:color="B8B8B8"/>
        <w:bottom w:val="single" w:sz="4" w:space="0" w:color="D9D9D9"/>
        <w:right w:val="single" w:sz="4" w:space="0" w:color="B8B8B8"/>
      </w:pBdr>
      <w:spacing w:before="100" w:beforeAutospacing="1" w:after="100" w:afterAutospacing="1"/>
      <w:jc w:val="left"/>
      <w:textAlignment w:val="top"/>
    </w:pPr>
    <w:rPr>
      <w:rFonts w:ascii="Times New Roman" w:hAnsi="Times New Roman"/>
      <w:sz w:val="18"/>
      <w:szCs w:val="18"/>
    </w:rPr>
  </w:style>
  <w:style w:type="paragraph" w:customStyle="1" w:styleId="xl151">
    <w:name w:val="xl151"/>
    <w:basedOn w:val="Normal"/>
    <w:rsid w:val="001808DF"/>
    <w:pPr>
      <w:spacing w:before="100" w:beforeAutospacing="1" w:after="100" w:afterAutospacing="1"/>
      <w:jc w:val="left"/>
    </w:pPr>
    <w:rPr>
      <w:rFonts w:ascii="Times New Roman" w:hAnsi="Times New Roman"/>
      <w:sz w:val="24"/>
    </w:rPr>
  </w:style>
  <w:style w:type="paragraph" w:customStyle="1" w:styleId="xl152">
    <w:name w:val="xl152"/>
    <w:basedOn w:val="Normal"/>
    <w:rsid w:val="001808DF"/>
    <w:pPr>
      <w:pBdr>
        <w:left w:val="single" w:sz="4" w:space="0" w:color="D9D9D9"/>
        <w:bottom w:val="single" w:sz="4" w:space="0" w:color="auto"/>
        <w:right w:val="single" w:sz="4" w:space="0" w:color="D9D9D9"/>
      </w:pBdr>
      <w:spacing w:before="100" w:beforeAutospacing="1" w:after="100" w:afterAutospacing="1"/>
      <w:jc w:val="center"/>
      <w:textAlignment w:val="center"/>
    </w:pPr>
    <w:rPr>
      <w:rFonts w:ascii="Times New Roman" w:hAnsi="Times New Roman"/>
      <w:i/>
      <w:iCs/>
      <w:sz w:val="18"/>
      <w:szCs w:val="18"/>
    </w:rPr>
  </w:style>
  <w:style w:type="paragraph" w:customStyle="1" w:styleId="xl153">
    <w:name w:val="xl153"/>
    <w:basedOn w:val="Normal"/>
    <w:rsid w:val="001808DF"/>
    <w:pPr>
      <w:pBdr>
        <w:left w:val="single" w:sz="4" w:space="0" w:color="D9D9D9"/>
        <w:bottom w:val="single" w:sz="4" w:space="0" w:color="auto"/>
        <w:right w:val="single" w:sz="4" w:space="0" w:color="D9D9D9"/>
      </w:pBdr>
      <w:spacing w:before="100" w:beforeAutospacing="1" w:after="100" w:afterAutospacing="1"/>
      <w:jc w:val="center"/>
      <w:textAlignment w:val="center"/>
    </w:pPr>
    <w:rPr>
      <w:rFonts w:ascii="Times New Roman" w:hAnsi="Times New Roman"/>
      <w:i/>
      <w:iCs/>
      <w:sz w:val="18"/>
      <w:szCs w:val="18"/>
    </w:rPr>
  </w:style>
  <w:style w:type="paragraph" w:customStyle="1" w:styleId="xl154">
    <w:name w:val="xl154"/>
    <w:basedOn w:val="Normal"/>
    <w:rsid w:val="001808DF"/>
    <w:pPr>
      <w:pBdr>
        <w:top w:val="single" w:sz="4" w:space="0" w:color="auto"/>
        <w:left w:val="single" w:sz="4" w:space="0" w:color="D9D9D9"/>
        <w:bottom w:val="single" w:sz="4" w:space="0" w:color="auto"/>
        <w:right w:val="single" w:sz="4" w:space="0" w:color="D9D9D9"/>
      </w:pBdr>
      <w:spacing w:before="100" w:beforeAutospacing="1" w:after="100" w:afterAutospacing="1"/>
      <w:jc w:val="center"/>
      <w:textAlignment w:val="center"/>
    </w:pPr>
    <w:rPr>
      <w:rFonts w:ascii="Times New Roman" w:hAnsi="Times New Roman"/>
      <w:i/>
      <w:iCs/>
      <w:sz w:val="18"/>
      <w:szCs w:val="18"/>
    </w:rPr>
  </w:style>
  <w:style w:type="paragraph" w:customStyle="1" w:styleId="xl155">
    <w:name w:val="xl155"/>
    <w:basedOn w:val="Normal"/>
    <w:rsid w:val="001808DF"/>
    <w:pPr>
      <w:pBdr>
        <w:top w:val="single" w:sz="4" w:space="0" w:color="auto"/>
        <w:left w:val="single" w:sz="4" w:space="0" w:color="D9D9D9"/>
        <w:bottom w:val="single" w:sz="4" w:space="0" w:color="auto"/>
      </w:pBdr>
      <w:spacing w:before="100" w:beforeAutospacing="1" w:after="100" w:afterAutospacing="1"/>
      <w:jc w:val="center"/>
      <w:textAlignment w:val="center"/>
    </w:pPr>
    <w:rPr>
      <w:rFonts w:ascii="Times New Roman" w:hAnsi="Times New Roman"/>
      <w:i/>
      <w:iCs/>
      <w:sz w:val="18"/>
      <w:szCs w:val="18"/>
    </w:rPr>
  </w:style>
  <w:style w:type="paragraph" w:customStyle="1" w:styleId="xl156">
    <w:name w:val="xl156"/>
    <w:basedOn w:val="Normal"/>
    <w:rsid w:val="001808DF"/>
    <w:pPr>
      <w:pBdr>
        <w:top w:val="single" w:sz="4" w:space="0" w:color="auto"/>
        <w:left w:val="single" w:sz="4" w:space="0" w:color="D9D9D9"/>
        <w:bottom w:val="single" w:sz="4" w:space="0" w:color="auto"/>
        <w:right w:val="single" w:sz="4" w:space="0" w:color="D9D9D9"/>
      </w:pBdr>
      <w:spacing w:before="100" w:beforeAutospacing="1" w:after="100" w:afterAutospacing="1"/>
      <w:jc w:val="center"/>
      <w:textAlignment w:val="center"/>
    </w:pPr>
    <w:rPr>
      <w:rFonts w:ascii="Times New Roman" w:hAnsi="Times New Roman"/>
      <w:i/>
      <w:iCs/>
      <w:sz w:val="18"/>
      <w:szCs w:val="18"/>
    </w:rPr>
  </w:style>
  <w:style w:type="paragraph" w:customStyle="1" w:styleId="xl157">
    <w:name w:val="xl157"/>
    <w:basedOn w:val="Normal"/>
    <w:rsid w:val="001808DF"/>
    <w:pPr>
      <w:pBdr>
        <w:top w:val="single" w:sz="4" w:space="0" w:color="auto"/>
        <w:left w:val="single" w:sz="4" w:space="0" w:color="D9D9D9"/>
        <w:bottom w:val="single" w:sz="4" w:space="0" w:color="auto"/>
        <w:right w:val="single" w:sz="4" w:space="0" w:color="D9D9D9"/>
      </w:pBdr>
      <w:spacing w:before="100" w:beforeAutospacing="1" w:after="100" w:afterAutospacing="1"/>
      <w:jc w:val="left"/>
    </w:pPr>
    <w:rPr>
      <w:rFonts w:ascii="Times New Roman" w:hAnsi="Times New Roman"/>
      <w:i/>
      <w:iCs/>
      <w:sz w:val="24"/>
    </w:rPr>
  </w:style>
  <w:style w:type="paragraph" w:customStyle="1" w:styleId="xl158">
    <w:name w:val="xl158"/>
    <w:basedOn w:val="Normal"/>
    <w:rsid w:val="001808DF"/>
    <w:pPr>
      <w:pBdr>
        <w:top w:val="single" w:sz="4" w:space="0" w:color="auto"/>
        <w:left w:val="single" w:sz="4" w:space="0" w:color="D9D9D9"/>
        <w:right w:val="single" w:sz="4" w:space="0" w:color="D9D9D9"/>
      </w:pBdr>
      <w:spacing w:before="100" w:beforeAutospacing="1" w:after="100" w:afterAutospacing="1"/>
      <w:jc w:val="center"/>
      <w:textAlignment w:val="center"/>
    </w:pPr>
    <w:rPr>
      <w:rFonts w:ascii="Times New Roman" w:hAnsi="Times New Roman"/>
      <w:i/>
      <w:iCs/>
      <w:sz w:val="18"/>
      <w:szCs w:val="18"/>
    </w:rPr>
  </w:style>
  <w:style w:type="paragraph" w:customStyle="1" w:styleId="xl159">
    <w:name w:val="xl159"/>
    <w:basedOn w:val="Normal"/>
    <w:rsid w:val="001808DF"/>
    <w:pPr>
      <w:pBdr>
        <w:top w:val="single" w:sz="4" w:space="0" w:color="auto"/>
        <w:left w:val="single" w:sz="4" w:space="0" w:color="D9D9D9"/>
        <w:right w:val="single" w:sz="4" w:space="0" w:color="D9D9D9"/>
      </w:pBdr>
      <w:spacing w:before="100" w:beforeAutospacing="1" w:after="100" w:afterAutospacing="1"/>
      <w:jc w:val="center"/>
      <w:textAlignment w:val="center"/>
    </w:pPr>
    <w:rPr>
      <w:rFonts w:ascii="Times New Roman" w:hAnsi="Times New Roman"/>
      <w:i/>
      <w:iCs/>
      <w:sz w:val="18"/>
      <w:szCs w:val="18"/>
    </w:rPr>
  </w:style>
  <w:style w:type="paragraph" w:customStyle="1" w:styleId="xl160">
    <w:name w:val="xl160"/>
    <w:basedOn w:val="Normal"/>
    <w:rsid w:val="001808DF"/>
    <w:pPr>
      <w:pBdr>
        <w:top w:val="single" w:sz="4" w:space="0" w:color="auto"/>
        <w:left w:val="single" w:sz="4" w:space="0" w:color="D9D9D9"/>
        <w:bottom w:val="single" w:sz="4" w:space="0" w:color="auto"/>
      </w:pBdr>
      <w:spacing w:before="100" w:beforeAutospacing="1" w:after="100" w:afterAutospacing="1"/>
      <w:jc w:val="left"/>
    </w:pPr>
    <w:rPr>
      <w:rFonts w:ascii="Times New Roman" w:hAnsi="Times New Roman"/>
      <w:i/>
      <w:iCs/>
      <w:sz w:val="24"/>
    </w:rPr>
  </w:style>
  <w:style w:type="paragraph" w:customStyle="1" w:styleId="xl161">
    <w:name w:val="xl161"/>
    <w:basedOn w:val="Normal"/>
    <w:rsid w:val="001808DF"/>
    <w:pPr>
      <w:pBdr>
        <w:top w:val="single" w:sz="4" w:space="0" w:color="D9D9D9"/>
        <w:left w:val="single" w:sz="4" w:space="0" w:color="D9D9D9"/>
        <w:bottom w:val="single" w:sz="4" w:space="0" w:color="D9D9D9"/>
        <w:right w:val="single" w:sz="4" w:space="0" w:color="D9D9D9"/>
      </w:pBdr>
      <w:spacing w:before="100" w:beforeAutospacing="1" w:after="100" w:afterAutospacing="1"/>
      <w:jc w:val="center"/>
      <w:textAlignment w:val="center"/>
    </w:pPr>
    <w:rPr>
      <w:rFonts w:ascii="Times New Roman" w:hAnsi="Times New Roman"/>
      <w:i/>
      <w:iCs/>
      <w:sz w:val="18"/>
      <w:szCs w:val="18"/>
    </w:rPr>
  </w:style>
  <w:style w:type="paragraph" w:customStyle="1" w:styleId="xl162">
    <w:name w:val="xl162"/>
    <w:basedOn w:val="Normal"/>
    <w:rsid w:val="001808DF"/>
    <w:pPr>
      <w:pBdr>
        <w:top w:val="single" w:sz="4" w:space="0" w:color="D9D9D9"/>
        <w:left w:val="single" w:sz="4" w:space="0" w:color="D9D9D9"/>
        <w:bottom w:val="single" w:sz="4" w:space="0" w:color="D9D9D9"/>
        <w:right w:val="single" w:sz="4" w:space="0" w:color="D9D9D9"/>
      </w:pBdr>
      <w:spacing w:before="100" w:beforeAutospacing="1" w:after="100" w:afterAutospacing="1"/>
      <w:jc w:val="center"/>
      <w:textAlignment w:val="center"/>
    </w:pPr>
    <w:rPr>
      <w:rFonts w:ascii="Times New Roman" w:hAnsi="Times New Roman"/>
      <w:i/>
      <w:iCs/>
      <w:sz w:val="18"/>
      <w:szCs w:val="18"/>
    </w:rPr>
  </w:style>
  <w:style w:type="table" w:styleId="ListTable3-Accent1">
    <w:name w:val="List Table 3 Accent 1"/>
    <w:basedOn w:val="TableNormal"/>
    <w:uiPriority w:val="48"/>
    <w:rsid w:val="001808DF"/>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F83B9E"/>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927E59"/>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tionnonrsolue1">
    <w:name w:val="Mention non résolue1"/>
    <w:basedOn w:val="DefaultParagraphFont"/>
    <w:uiPriority w:val="99"/>
    <w:semiHidden/>
    <w:unhideWhenUsed/>
    <w:rsid w:val="00920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09866">
      <w:bodyDiv w:val="1"/>
      <w:marLeft w:val="0"/>
      <w:marRight w:val="0"/>
      <w:marTop w:val="0"/>
      <w:marBottom w:val="0"/>
      <w:divBdr>
        <w:top w:val="none" w:sz="0" w:space="0" w:color="auto"/>
        <w:left w:val="none" w:sz="0" w:space="0" w:color="auto"/>
        <w:bottom w:val="none" w:sz="0" w:space="0" w:color="auto"/>
        <w:right w:val="none" w:sz="0" w:space="0" w:color="auto"/>
      </w:divBdr>
      <w:divsChild>
        <w:div w:id="942225335">
          <w:marLeft w:val="0"/>
          <w:marRight w:val="0"/>
          <w:marTop w:val="0"/>
          <w:marBottom w:val="0"/>
          <w:divBdr>
            <w:top w:val="none" w:sz="0" w:space="0" w:color="auto"/>
            <w:left w:val="none" w:sz="0" w:space="0" w:color="auto"/>
            <w:bottom w:val="none" w:sz="0" w:space="0" w:color="auto"/>
            <w:right w:val="none" w:sz="0" w:space="0" w:color="auto"/>
          </w:divBdr>
          <w:divsChild>
            <w:div w:id="1804545042">
              <w:marLeft w:val="0"/>
              <w:marRight w:val="0"/>
              <w:marTop w:val="0"/>
              <w:marBottom w:val="0"/>
              <w:divBdr>
                <w:top w:val="none" w:sz="0" w:space="0" w:color="auto"/>
                <w:left w:val="none" w:sz="0" w:space="0" w:color="auto"/>
                <w:bottom w:val="none" w:sz="0" w:space="0" w:color="auto"/>
                <w:right w:val="none" w:sz="0" w:space="0" w:color="auto"/>
              </w:divBdr>
              <w:divsChild>
                <w:div w:id="207246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2729">
      <w:bodyDiv w:val="1"/>
      <w:marLeft w:val="0"/>
      <w:marRight w:val="0"/>
      <w:marTop w:val="0"/>
      <w:marBottom w:val="0"/>
      <w:divBdr>
        <w:top w:val="none" w:sz="0" w:space="0" w:color="auto"/>
        <w:left w:val="none" w:sz="0" w:space="0" w:color="auto"/>
        <w:bottom w:val="none" w:sz="0" w:space="0" w:color="auto"/>
        <w:right w:val="none" w:sz="0" w:space="0" w:color="auto"/>
      </w:divBdr>
    </w:div>
    <w:div w:id="110057757">
      <w:bodyDiv w:val="1"/>
      <w:marLeft w:val="0"/>
      <w:marRight w:val="0"/>
      <w:marTop w:val="0"/>
      <w:marBottom w:val="0"/>
      <w:divBdr>
        <w:top w:val="none" w:sz="0" w:space="0" w:color="auto"/>
        <w:left w:val="none" w:sz="0" w:space="0" w:color="auto"/>
        <w:bottom w:val="none" w:sz="0" w:space="0" w:color="auto"/>
        <w:right w:val="none" w:sz="0" w:space="0" w:color="auto"/>
      </w:divBdr>
    </w:div>
    <w:div w:id="140734816">
      <w:bodyDiv w:val="1"/>
      <w:marLeft w:val="0"/>
      <w:marRight w:val="0"/>
      <w:marTop w:val="0"/>
      <w:marBottom w:val="0"/>
      <w:divBdr>
        <w:top w:val="none" w:sz="0" w:space="0" w:color="auto"/>
        <w:left w:val="none" w:sz="0" w:space="0" w:color="auto"/>
        <w:bottom w:val="none" w:sz="0" w:space="0" w:color="auto"/>
        <w:right w:val="none" w:sz="0" w:space="0" w:color="auto"/>
      </w:divBdr>
      <w:divsChild>
        <w:div w:id="498692387">
          <w:marLeft w:val="0"/>
          <w:marRight w:val="0"/>
          <w:marTop w:val="0"/>
          <w:marBottom w:val="0"/>
          <w:divBdr>
            <w:top w:val="none" w:sz="0" w:space="0" w:color="auto"/>
            <w:left w:val="none" w:sz="0" w:space="0" w:color="auto"/>
            <w:bottom w:val="none" w:sz="0" w:space="0" w:color="auto"/>
            <w:right w:val="none" w:sz="0" w:space="0" w:color="auto"/>
          </w:divBdr>
          <w:divsChild>
            <w:div w:id="2131244820">
              <w:marLeft w:val="0"/>
              <w:marRight w:val="0"/>
              <w:marTop w:val="0"/>
              <w:marBottom w:val="0"/>
              <w:divBdr>
                <w:top w:val="none" w:sz="0" w:space="0" w:color="auto"/>
                <w:left w:val="none" w:sz="0" w:space="0" w:color="auto"/>
                <w:bottom w:val="none" w:sz="0" w:space="0" w:color="auto"/>
                <w:right w:val="none" w:sz="0" w:space="0" w:color="auto"/>
              </w:divBdr>
              <w:divsChild>
                <w:div w:id="10717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0671">
      <w:bodyDiv w:val="1"/>
      <w:marLeft w:val="0"/>
      <w:marRight w:val="0"/>
      <w:marTop w:val="0"/>
      <w:marBottom w:val="0"/>
      <w:divBdr>
        <w:top w:val="none" w:sz="0" w:space="0" w:color="auto"/>
        <w:left w:val="none" w:sz="0" w:space="0" w:color="auto"/>
        <w:bottom w:val="none" w:sz="0" w:space="0" w:color="auto"/>
        <w:right w:val="none" w:sz="0" w:space="0" w:color="auto"/>
      </w:divBdr>
      <w:divsChild>
        <w:div w:id="1765690337">
          <w:marLeft w:val="0"/>
          <w:marRight w:val="0"/>
          <w:marTop w:val="0"/>
          <w:marBottom w:val="0"/>
          <w:divBdr>
            <w:top w:val="none" w:sz="0" w:space="0" w:color="auto"/>
            <w:left w:val="none" w:sz="0" w:space="0" w:color="auto"/>
            <w:bottom w:val="none" w:sz="0" w:space="0" w:color="auto"/>
            <w:right w:val="none" w:sz="0" w:space="0" w:color="auto"/>
          </w:divBdr>
          <w:divsChild>
            <w:div w:id="1842044550">
              <w:marLeft w:val="0"/>
              <w:marRight w:val="0"/>
              <w:marTop w:val="0"/>
              <w:marBottom w:val="0"/>
              <w:divBdr>
                <w:top w:val="none" w:sz="0" w:space="0" w:color="auto"/>
                <w:left w:val="none" w:sz="0" w:space="0" w:color="auto"/>
                <w:bottom w:val="none" w:sz="0" w:space="0" w:color="auto"/>
                <w:right w:val="none" w:sz="0" w:space="0" w:color="auto"/>
              </w:divBdr>
              <w:divsChild>
                <w:div w:id="7814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9534">
      <w:bodyDiv w:val="1"/>
      <w:marLeft w:val="0"/>
      <w:marRight w:val="0"/>
      <w:marTop w:val="0"/>
      <w:marBottom w:val="0"/>
      <w:divBdr>
        <w:top w:val="none" w:sz="0" w:space="0" w:color="auto"/>
        <w:left w:val="none" w:sz="0" w:space="0" w:color="auto"/>
        <w:bottom w:val="none" w:sz="0" w:space="0" w:color="auto"/>
        <w:right w:val="none" w:sz="0" w:space="0" w:color="auto"/>
      </w:divBdr>
    </w:div>
    <w:div w:id="233584405">
      <w:bodyDiv w:val="1"/>
      <w:marLeft w:val="0"/>
      <w:marRight w:val="0"/>
      <w:marTop w:val="0"/>
      <w:marBottom w:val="0"/>
      <w:divBdr>
        <w:top w:val="none" w:sz="0" w:space="0" w:color="auto"/>
        <w:left w:val="none" w:sz="0" w:space="0" w:color="auto"/>
        <w:bottom w:val="none" w:sz="0" w:space="0" w:color="auto"/>
        <w:right w:val="none" w:sz="0" w:space="0" w:color="auto"/>
      </w:divBdr>
    </w:div>
    <w:div w:id="272710805">
      <w:bodyDiv w:val="1"/>
      <w:marLeft w:val="0"/>
      <w:marRight w:val="0"/>
      <w:marTop w:val="0"/>
      <w:marBottom w:val="0"/>
      <w:divBdr>
        <w:top w:val="none" w:sz="0" w:space="0" w:color="auto"/>
        <w:left w:val="none" w:sz="0" w:space="0" w:color="auto"/>
        <w:bottom w:val="none" w:sz="0" w:space="0" w:color="auto"/>
        <w:right w:val="none" w:sz="0" w:space="0" w:color="auto"/>
      </w:divBdr>
      <w:divsChild>
        <w:div w:id="1050501354">
          <w:marLeft w:val="0"/>
          <w:marRight w:val="0"/>
          <w:marTop w:val="0"/>
          <w:marBottom w:val="0"/>
          <w:divBdr>
            <w:top w:val="none" w:sz="0" w:space="0" w:color="auto"/>
            <w:left w:val="none" w:sz="0" w:space="0" w:color="auto"/>
            <w:bottom w:val="none" w:sz="0" w:space="0" w:color="auto"/>
            <w:right w:val="none" w:sz="0" w:space="0" w:color="auto"/>
          </w:divBdr>
          <w:divsChild>
            <w:div w:id="460152370">
              <w:marLeft w:val="0"/>
              <w:marRight w:val="0"/>
              <w:marTop w:val="0"/>
              <w:marBottom w:val="0"/>
              <w:divBdr>
                <w:top w:val="none" w:sz="0" w:space="0" w:color="auto"/>
                <w:left w:val="none" w:sz="0" w:space="0" w:color="auto"/>
                <w:bottom w:val="none" w:sz="0" w:space="0" w:color="auto"/>
                <w:right w:val="none" w:sz="0" w:space="0" w:color="auto"/>
              </w:divBdr>
              <w:divsChild>
                <w:div w:id="205142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3782">
      <w:bodyDiv w:val="1"/>
      <w:marLeft w:val="0"/>
      <w:marRight w:val="0"/>
      <w:marTop w:val="0"/>
      <w:marBottom w:val="0"/>
      <w:divBdr>
        <w:top w:val="none" w:sz="0" w:space="0" w:color="auto"/>
        <w:left w:val="none" w:sz="0" w:space="0" w:color="auto"/>
        <w:bottom w:val="none" w:sz="0" w:space="0" w:color="auto"/>
        <w:right w:val="none" w:sz="0" w:space="0" w:color="auto"/>
      </w:divBdr>
      <w:divsChild>
        <w:div w:id="322050250">
          <w:marLeft w:val="0"/>
          <w:marRight w:val="0"/>
          <w:marTop w:val="0"/>
          <w:marBottom w:val="0"/>
          <w:divBdr>
            <w:top w:val="none" w:sz="0" w:space="0" w:color="auto"/>
            <w:left w:val="none" w:sz="0" w:space="0" w:color="auto"/>
            <w:bottom w:val="none" w:sz="0" w:space="0" w:color="auto"/>
            <w:right w:val="none" w:sz="0" w:space="0" w:color="auto"/>
          </w:divBdr>
          <w:divsChild>
            <w:div w:id="1551065052">
              <w:marLeft w:val="0"/>
              <w:marRight w:val="0"/>
              <w:marTop w:val="0"/>
              <w:marBottom w:val="0"/>
              <w:divBdr>
                <w:top w:val="none" w:sz="0" w:space="0" w:color="auto"/>
                <w:left w:val="none" w:sz="0" w:space="0" w:color="auto"/>
                <w:bottom w:val="none" w:sz="0" w:space="0" w:color="auto"/>
                <w:right w:val="none" w:sz="0" w:space="0" w:color="auto"/>
              </w:divBdr>
              <w:divsChild>
                <w:div w:id="14455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0957">
      <w:bodyDiv w:val="1"/>
      <w:marLeft w:val="0"/>
      <w:marRight w:val="0"/>
      <w:marTop w:val="0"/>
      <w:marBottom w:val="0"/>
      <w:divBdr>
        <w:top w:val="none" w:sz="0" w:space="0" w:color="auto"/>
        <w:left w:val="none" w:sz="0" w:space="0" w:color="auto"/>
        <w:bottom w:val="none" w:sz="0" w:space="0" w:color="auto"/>
        <w:right w:val="none" w:sz="0" w:space="0" w:color="auto"/>
      </w:divBdr>
      <w:divsChild>
        <w:div w:id="1752895833">
          <w:marLeft w:val="0"/>
          <w:marRight w:val="0"/>
          <w:marTop w:val="0"/>
          <w:marBottom w:val="0"/>
          <w:divBdr>
            <w:top w:val="none" w:sz="0" w:space="0" w:color="auto"/>
            <w:left w:val="none" w:sz="0" w:space="0" w:color="auto"/>
            <w:bottom w:val="none" w:sz="0" w:space="0" w:color="auto"/>
            <w:right w:val="none" w:sz="0" w:space="0" w:color="auto"/>
          </w:divBdr>
          <w:divsChild>
            <w:div w:id="1568956866">
              <w:marLeft w:val="0"/>
              <w:marRight w:val="0"/>
              <w:marTop w:val="0"/>
              <w:marBottom w:val="0"/>
              <w:divBdr>
                <w:top w:val="none" w:sz="0" w:space="0" w:color="auto"/>
                <w:left w:val="none" w:sz="0" w:space="0" w:color="auto"/>
                <w:bottom w:val="none" w:sz="0" w:space="0" w:color="auto"/>
                <w:right w:val="none" w:sz="0" w:space="0" w:color="auto"/>
              </w:divBdr>
              <w:divsChild>
                <w:div w:id="74252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336170">
      <w:bodyDiv w:val="1"/>
      <w:marLeft w:val="0"/>
      <w:marRight w:val="0"/>
      <w:marTop w:val="0"/>
      <w:marBottom w:val="0"/>
      <w:divBdr>
        <w:top w:val="none" w:sz="0" w:space="0" w:color="auto"/>
        <w:left w:val="none" w:sz="0" w:space="0" w:color="auto"/>
        <w:bottom w:val="none" w:sz="0" w:space="0" w:color="auto"/>
        <w:right w:val="none" w:sz="0" w:space="0" w:color="auto"/>
      </w:divBdr>
      <w:divsChild>
        <w:div w:id="1642423505">
          <w:marLeft w:val="0"/>
          <w:marRight w:val="0"/>
          <w:marTop w:val="0"/>
          <w:marBottom w:val="0"/>
          <w:divBdr>
            <w:top w:val="none" w:sz="0" w:space="0" w:color="auto"/>
            <w:left w:val="none" w:sz="0" w:space="0" w:color="auto"/>
            <w:bottom w:val="none" w:sz="0" w:space="0" w:color="auto"/>
            <w:right w:val="none" w:sz="0" w:space="0" w:color="auto"/>
          </w:divBdr>
          <w:divsChild>
            <w:div w:id="636301224">
              <w:marLeft w:val="0"/>
              <w:marRight w:val="0"/>
              <w:marTop w:val="0"/>
              <w:marBottom w:val="0"/>
              <w:divBdr>
                <w:top w:val="none" w:sz="0" w:space="0" w:color="auto"/>
                <w:left w:val="none" w:sz="0" w:space="0" w:color="auto"/>
                <w:bottom w:val="none" w:sz="0" w:space="0" w:color="auto"/>
                <w:right w:val="none" w:sz="0" w:space="0" w:color="auto"/>
              </w:divBdr>
              <w:divsChild>
                <w:div w:id="1855076113">
                  <w:marLeft w:val="0"/>
                  <w:marRight w:val="0"/>
                  <w:marTop w:val="0"/>
                  <w:marBottom w:val="0"/>
                  <w:divBdr>
                    <w:top w:val="none" w:sz="0" w:space="0" w:color="auto"/>
                    <w:left w:val="none" w:sz="0" w:space="0" w:color="auto"/>
                    <w:bottom w:val="none" w:sz="0" w:space="0" w:color="auto"/>
                    <w:right w:val="none" w:sz="0" w:space="0" w:color="auto"/>
                  </w:divBdr>
                </w:div>
              </w:divsChild>
            </w:div>
            <w:div w:id="988511300">
              <w:marLeft w:val="0"/>
              <w:marRight w:val="0"/>
              <w:marTop w:val="0"/>
              <w:marBottom w:val="0"/>
              <w:divBdr>
                <w:top w:val="none" w:sz="0" w:space="0" w:color="auto"/>
                <w:left w:val="none" w:sz="0" w:space="0" w:color="auto"/>
                <w:bottom w:val="none" w:sz="0" w:space="0" w:color="auto"/>
                <w:right w:val="none" w:sz="0" w:space="0" w:color="auto"/>
              </w:divBdr>
              <w:divsChild>
                <w:div w:id="981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750">
          <w:marLeft w:val="0"/>
          <w:marRight w:val="0"/>
          <w:marTop w:val="0"/>
          <w:marBottom w:val="0"/>
          <w:divBdr>
            <w:top w:val="none" w:sz="0" w:space="0" w:color="auto"/>
            <w:left w:val="none" w:sz="0" w:space="0" w:color="auto"/>
            <w:bottom w:val="none" w:sz="0" w:space="0" w:color="auto"/>
            <w:right w:val="none" w:sz="0" w:space="0" w:color="auto"/>
          </w:divBdr>
          <w:divsChild>
            <w:div w:id="61098736">
              <w:marLeft w:val="0"/>
              <w:marRight w:val="0"/>
              <w:marTop w:val="0"/>
              <w:marBottom w:val="0"/>
              <w:divBdr>
                <w:top w:val="none" w:sz="0" w:space="0" w:color="auto"/>
                <w:left w:val="none" w:sz="0" w:space="0" w:color="auto"/>
                <w:bottom w:val="none" w:sz="0" w:space="0" w:color="auto"/>
                <w:right w:val="none" w:sz="0" w:space="0" w:color="auto"/>
              </w:divBdr>
              <w:divsChild>
                <w:div w:id="1120150607">
                  <w:marLeft w:val="0"/>
                  <w:marRight w:val="0"/>
                  <w:marTop w:val="0"/>
                  <w:marBottom w:val="0"/>
                  <w:divBdr>
                    <w:top w:val="none" w:sz="0" w:space="0" w:color="auto"/>
                    <w:left w:val="none" w:sz="0" w:space="0" w:color="auto"/>
                    <w:bottom w:val="none" w:sz="0" w:space="0" w:color="auto"/>
                    <w:right w:val="none" w:sz="0" w:space="0" w:color="auto"/>
                  </w:divBdr>
                </w:div>
              </w:divsChild>
            </w:div>
            <w:div w:id="1751611643">
              <w:marLeft w:val="0"/>
              <w:marRight w:val="0"/>
              <w:marTop w:val="0"/>
              <w:marBottom w:val="0"/>
              <w:divBdr>
                <w:top w:val="none" w:sz="0" w:space="0" w:color="auto"/>
                <w:left w:val="none" w:sz="0" w:space="0" w:color="auto"/>
                <w:bottom w:val="none" w:sz="0" w:space="0" w:color="auto"/>
                <w:right w:val="none" w:sz="0" w:space="0" w:color="auto"/>
              </w:divBdr>
              <w:divsChild>
                <w:div w:id="20540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7505">
      <w:bodyDiv w:val="1"/>
      <w:marLeft w:val="0"/>
      <w:marRight w:val="0"/>
      <w:marTop w:val="0"/>
      <w:marBottom w:val="0"/>
      <w:divBdr>
        <w:top w:val="none" w:sz="0" w:space="0" w:color="auto"/>
        <w:left w:val="none" w:sz="0" w:space="0" w:color="auto"/>
        <w:bottom w:val="none" w:sz="0" w:space="0" w:color="auto"/>
        <w:right w:val="none" w:sz="0" w:space="0" w:color="auto"/>
      </w:divBdr>
      <w:divsChild>
        <w:div w:id="403072248">
          <w:marLeft w:val="0"/>
          <w:marRight w:val="0"/>
          <w:marTop w:val="0"/>
          <w:marBottom w:val="0"/>
          <w:divBdr>
            <w:top w:val="none" w:sz="0" w:space="0" w:color="auto"/>
            <w:left w:val="none" w:sz="0" w:space="0" w:color="auto"/>
            <w:bottom w:val="none" w:sz="0" w:space="0" w:color="auto"/>
            <w:right w:val="none" w:sz="0" w:space="0" w:color="auto"/>
          </w:divBdr>
          <w:divsChild>
            <w:div w:id="1242566024">
              <w:marLeft w:val="0"/>
              <w:marRight w:val="0"/>
              <w:marTop w:val="0"/>
              <w:marBottom w:val="0"/>
              <w:divBdr>
                <w:top w:val="none" w:sz="0" w:space="0" w:color="auto"/>
                <w:left w:val="none" w:sz="0" w:space="0" w:color="auto"/>
                <w:bottom w:val="none" w:sz="0" w:space="0" w:color="auto"/>
                <w:right w:val="none" w:sz="0" w:space="0" w:color="auto"/>
              </w:divBdr>
              <w:divsChild>
                <w:div w:id="9806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6713">
          <w:marLeft w:val="0"/>
          <w:marRight w:val="0"/>
          <w:marTop w:val="0"/>
          <w:marBottom w:val="0"/>
          <w:divBdr>
            <w:top w:val="none" w:sz="0" w:space="0" w:color="auto"/>
            <w:left w:val="none" w:sz="0" w:space="0" w:color="auto"/>
            <w:bottom w:val="none" w:sz="0" w:space="0" w:color="auto"/>
            <w:right w:val="none" w:sz="0" w:space="0" w:color="auto"/>
          </w:divBdr>
          <w:divsChild>
            <w:div w:id="637151426">
              <w:marLeft w:val="0"/>
              <w:marRight w:val="0"/>
              <w:marTop w:val="0"/>
              <w:marBottom w:val="0"/>
              <w:divBdr>
                <w:top w:val="none" w:sz="0" w:space="0" w:color="auto"/>
                <w:left w:val="none" w:sz="0" w:space="0" w:color="auto"/>
                <w:bottom w:val="none" w:sz="0" w:space="0" w:color="auto"/>
                <w:right w:val="none" w:sz="0" w:space="0" w:color="auto"/>
              </w:divBdr>
              <w:divsChild>
                <w:div w:id="238708734">
                  <w:marLeft w:val="0"/>
                  <w:marRight w:val="0"/>
                  <w:marTop w:val="0"/>
                  <w:marBottom w:val="0"/>
                  <w:divBdr>
                    <w:top w:val="none" w:sz="0" w:space="0" w:color="auto"/>
                    <w:left w:val="none" w:sz="0" w:space="0" w:color="auto"/>
                    <w:bottom w:val="none" w:sz="0" w:space="0" w:color="auto"/>
                    <w:right w:val="none" w:sz="0" w:space="0" w:color="auto"/>
                  </w:divBdr>
                </w:div>
              </w:divsChild>
            </w:div>
            <w:div w:id="1194994938">
              <w:marLeft w:val="0"/>
              <w:marRight w:val="0"/>
              <w:marTop w:val="0"/>
              <w:marBottom w:val="0"/>
              <w:divBdr>
                <w:top w:val="none" w:sz="0" w:space="0" w:color="auto"/>
                <w:left w:val="none" w:sz="0" w:space="0" w:color="auto"/>
                <w:bottom w:val="none" w:sz="0" w:space="0" w:color="auto"/>
                <w:right w:val="none" w:sz="0" w:space="0" w:color="auto"/>
              </w:divBdr>
              <w:divsChild>
                <w:div w:id="29795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07766">
      <w:bodyDiv w:val="1"/>
      <w:marLeft w:val="0"/>
      <w:marRight w:val="0"/>
      <w:marTop w:val="0"/>
      <w:marBottom w:val="0"/>
      <w:divBdr>
        <w:top w:val="none" w:sz="0" w:space="0" w:color="auto"/>
        <w:left w:val="none" w:sz="0" w:space="0" w:color="auto"/>
        <w:bottom w:val="none" w:sz="0" w:space="0" w:color="auto"/>
        <w:right w:val="none" w:sz="0" w:space="0" w:color="auto"/>
      </w:divBdr>
      <w:divsChild>
        <w:div w:id="1809273745">
          <w:marLeft w:val="0"/>
          <w:marRight w:val="0"/>
          <w:marTop w:val="0"/>
          <w:marBottom w:val="0"/>
          <w:divBdr>
            <w:top w:val="none" w:sz="0" w:space="0" w:color="auto"/>
            <w:left w:val="none" w:sz="0" w:space="0" w:color="auto"/>
            <w:bottom w:val="none" w:sz="0" w:space="0" w:color="auto"/>
            <w:right w:val="none" w:sz="0" w:space="0" w:color="auto"/>
          </w:divBdr>
          <w:divsChild>
            <w:div w:id="18943947">
              <w:marLeft w:val="0"/>
              <w:marRight w:val="0"/>
              <w:marTop w:val="0"/>
              <w:marBottom w:val="0"/>
              <w:divBdr>
                <w:top w:val="none" w:sz="0" w:space="0" w:color="auto"/>
                <w:left w:val="none" w:sz="0" w:space="0" w:color="auto"/>
                <w:bottom w:val="none" w:sz="0" w:space="0" w:color="auto"/>
                <w:right w:val="none" w:sz="0" w:space="0" w:color="auto"/>
              </w:divBdr>
              <w:divsChild>
                <w:div w:id="17869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30173">
          <w:marLeft w:val="0"/>
          <w:marRight w:val="0"/>
          <w:marTop w:val="0"/>
          <w:marBottom w:val="0"/>
          <w:divBdr>
            <w:top w:val="none" w:sz="0" w:space="0" w:color="auto"/>
            <w:left w:val="none" w:sz="0" w:space="0" w:color="auto"/>
            <w:bottom w:val="none" w:sz="0" w:space="0" w:color="auto"/>
            <w:right w:val="none" w:sz="0" w:space="0" w:color="auto"/>
          </w:divBdr>
          <w:divsChild>
            <w:div w:id="431050727">
              <w:marLeft w:val="0"/>
              <w:marRight w:val="0"/>
              <w:marTop w:val="0"/>
              <w:marBottom w:val="0"/>
              <w:divBdr>
                <w:top w:val="none" w:sz="0" w:space="0" w:color="auto"/>
                <w:left w:val="none" w:sz="0" w:space="0" w:color="auto"/>
                <w:bottom w:val="none" w:sz="0" w:space="0" w:color="auto"/>
                <w:right w:val="none" w:sz="0" w:space="0" w:color="auto"/>
              </w:divBdr>
              <w:divsChild>
                <w:div w:id="1104418688">
                  <w:marLeft w:val="0"/>
                  <w:marRight w:val="0"/>
                  <w:marTop w:val="0"/>
                  <w:marBottom w:val="0"/>
                  <w:divBdr>
                    <w:top w:val="none" w:sz="0" w:space="0" w:color="auto"/>
                    <w:left w:val="none" w:sz="0" w:space="0" w:color="auto"/>
                    <w:bottom w:val="none" w:sz="0" w:space="0" w:color="auto"/>
                    <w:right w:val="none" w:sz="0" w:space="0" w:color="auto"/>
                  </w:divBdr>
                </w:div>
              </w:divsChild>
            </w:div>
            <w:div w:id="1904024142">
              <w:marLeft w:val="0"/>
              <w:marRight w:val="0"/>
              <w:marTop w:val="0"/>
              <w:marBottom w:val="0"/>
              <w:divBdr>
                <w:top w:val="none" w:sz="0" w:space="0" w:color="auto"/>
                <w:left w:val="none" w:sz="0" w:space="0" w:color="auto"/>
                <w:bottom w:val="none" w:sz="0" w:space="0" w:color="auto"/>
                <w:right w:val="none" w:sz="0" w:space="0" w:color="auto"/>
              </w:divBdr>
              <w:divsChild>
                <w:div w:id="59736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467188">
      <w:bodyDiv w:val="1"/>
      <w:marLeft w:val="0"/>
      <w:marRight w:val="0"/>
      <w:marTop w:val="0"/>
      <w:marBottom w:val="0"/>
      <w:divBdr>
        <w:top w:val="none" w:sz="0" w:space="0" w:color="auto"/>
        <w:left w:val="none" w:sz="0" w:space="0" w:color="auto"/>
        <w:bottom w:val="none" w:sz="0" w:space="0" w:color="auto"/>
        <w:right w:val="none" w:sz="0" w:space="0" w:color="auto"/>
      </w:divBdr>
      <w:divsChild>
        <w:div w:id="514152528">
          <w:marLeft w:val="0"/>
          <w:marRight w:val="0"/>
          <w:marTop w:val="0"/>
          <w:marBottom w:val="0"/>
          <w:divBdr>
            <w:top w:val="none" w:sz="0" w:space="0" w:color="auto"/>
            <w:left w:val="none" w:sz="0" w:space="0" w:color="auto"/>
            <w:bottom w:val="none" w:sz="0" w:space="0" w:color="auto"/>
            <w:right w:val="none" w:sz="0" w:space="0" w:color="auto"/>
          </w:divBdr>
          <w:divsChild>
            <w:div w:id="709302651">
              <w:marLeft w:val="0"/>
              <w:marRight w:val="0"/>
              <w:marTop w:val="0"/>
              <w:marBottom w:val="0"/>
              <w:divBdr>
                <w:top w:val="none" w:sz="0" w:space="0" w:color="auto"/>
                <w:left w:val="none" w:sz="0" w:space="0" w:color="auto"/>
                <w:bottom w:val="none" w:sz="0" w:space="0" w:color="auto"/>
                <w:right w:val="none" w:sz="0" w:space="0" w:color="auto"/>
              </w:divBdr>
              <w:divsChild>
                <w:div w:id="241641539">
                  <w:marLeft w:val="0"/>
                  <w:marRight w:val="0"/>
                  <w:marTop w:val="0"/>
                  <w:marBottom w:val="0"/>
                  <w:divBdr>
                    <w:top w:val="none" w:sz="0" w:space="0" w:color="auto"/>
                    <w:left w:val="none" w:sz="0" w:space="0" w:color="auto"/>
                    <w:bottom w:val="none" w:sz="0" w:space="0" w:color="auto"/>
                    <w:right w:val="none" w:sz="0" w:space="0" w:color="auto"/>
                  </w:divBdr>
                </w:div>
              </w:divsChild>
            </w:div>
            <w:div w:id="1217471611">
              <w:marLeft w:val="0"/>
              <w:marRight w:val="0"/>
              <w:marTop w:val="0"/>
              <w:marBottom w:val="0"/>
              <w:divBdr>
                <w:top w:val="none" w:sz="0" w:space="0" w:color="auto"/>
                <w:left w:val="none" w:sz="0" w:space="0" w:color="auto"/>
                <w:bottom w:val="none" w:sz="0" w:space="0" w:color="auto"/>
                <w:right w:val="none" w:sz="0" w:space="0" w:color="auto"/>
              </w:divBdr>
              <w:divsChild>
                <w:div w:id="4254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9003">
          <w:marLeft w:val="0"/>
          <w:marRight w:val="0"/>
          <w:marTop w:val="0"/>
          <w:marBottom w:val="0"/>
          <w:divBdr>
            <w:top w:val="none" w:sz="0" w:space="0" w:color="auto"/>
            <w:left w:val="none" w:sz="0" w:space="0" w:color="auto"/>
            <w:bottom w:val="none" w:sz="0" w:space="0" w:color="auto"/>
            <w:right w:val="none" w:sz="0" w:space="0" w:color="auto"/>
          </w:divBdr>
          <w:divsChild>
            <w:div w:id="1234781401">
              <w:marLeft w:val="0"/>
              <w:marRight w:val="0"/>
              <w:marTop w:val="0"/>
              <w:marBottom w:val="0"/>
              <w:divBdr>
                <w:top w:val="none" w:sz="0" w:space="0" w:color="auto"/>
                <w:left w:val="none" w:sz="0" w:space="0" w:color="auto"/>
                <w:bottom w:val="none" w:sz="0" w:space="0" w:color="auto"/>
                <w:right w:val="none" w:sz="0" w:space="0" w:color="auto"/>
              </w:divBdr>
              <w:divsChild>
                <w:div w:id="66710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5646">
      <w:bodyDiv w:val="1"/>
      <w:marLeft w:val="0"/>
      <w:marRight w:val="0"/>
      <w:marTop w:val="0"/>
      <w:marBottom w:val="0"/>
      <w:divBdr>
        <w:top w:val="none" w:sz="0" w:space="0" w:color="auto"/>
        <w:left w:val="none" w:sz="0" w:space="0" w:color="auto"/>
        <w:bottom w:val="none" w:sz="0" w:space="0" w:color="auto"/>
        <w:right w:val="none" w:sz="0" w:space="0" w:color="auto"/>
      </w:divBdr>
      <w:divsChild>
        <w:div w:id="673415041">
          <w:marLeft w:val="0"/>
          <w:marRight w:val="0"/>
          <w:marTop w:val="0"/>
          <w:marBottom w:val="0"/>
          <w:divBdr>
            <w:top w:val="none" w:sz="0" w:space="0" w:color="auto"/>
            <w:left w:val="none" w:sz="0" w:space="0" w:color="auto"/>
            <w:bottom w:val="none" w:sz="0" w:space="0" w:color="auto"/>
            <w:right w:val="none" w:sz="0" w:space="0" w:color="auto"/>
          </w:divBdr>
          <w:divsChild>
            <w:div w:id="633364081">
              <w:marLeft w:val="0"/>
              <w:marRight w:val="0"/>
              <w:marTop w:val="0"/>
              <w:marBottom w:val="0"/>
              <w:divBdr>
                <w:top w:val="none" w:sz="0" w:space="0" w:color="auto"/>
                <w:left w:val="none" w:sz="0" w:space="0" w:color="auto"/>
                <w:bottom w:val="none" w:sz="0" w:space="0" w:color="auto"/>
                <w:right w:val="none" w:sz="0" w:space="0" w:color="auto"/>
              </w:divBdr>
              <w:divsChild>
                <w:div w:id="1921980489">
                  <w:marLeft w:val="0"/>
                  <w:marRight w:val="0"/>
                  <w:marTop w:val="0"/>
                  <w:marBottom w:val="0"/>
                  <w:divBdr>
                    <w:top w:val="none" w:sz="0" w:space="0" w:color="auto"/>
                    <w:left w:val="none" w:sz="0" w:space="0" w:color="auto"/>
                    <w:bottom w:val="none" w:sz="0" w:space="0" w:color="auto"/>
                    <w:right w:val="none" w:sz="0" w:space="0" w:color="auto"/>
                  </w:divBdr>
                </w:div>
              </w:divsChild>
            </w:div>
            <w:div w:id="1165046674">
              <w:marLeft w:val="0"/>
              <w:marRight w:val="0"/>
              <w:marTop w:val="0"/>
              <w:marBottom w:val="0"/>
              <w:divBdr>
                <w:top w:val="none" w:sz="0" w:space="0" w:color="auto"/>
                <w:left w:val="none" w:sz="0" w:space="0" w:color="auto"/>
                <w:bottom w:val="none" w:sz="0" w:space="0" w:color="auto"/>
                <w:right w:val="none" w:sz="0" w:space="0" w:color="auto"/>
              </w:divBdr>
              <w:divsChild>
                <w:div w:id="121499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848466">
          <w:marLeft w:val="0"/>
          <w:marRight w:val="0"/>
          <w:marTop w:val="0"/>
          <w:marBottom w:val="0"/>
          <w:divBdr>
            <w:top w:val="none" w:sz="0" w:space="0" w:color="auto"/>
            <w:left w:val="none" w:sz="0" w:space="0" w:color="auto"/>
            <w:bottom w:val="none" w:sz="0" w:space="0" w:color="auto"/>
            <w:right w:val="none" w:sz="0" w:space="0" w:color="auto"/>
          </w:divBdr>
          <w:divsChild>
            <w:div w:id="1660304874">
              <w:marLeft w:val="0"/>
              <w:marRight w:val="0"/>
              <w:marTop w:val="0"/>
              <w:marBottom w:val="0"/>
              <w:divBdr>
                <w:top w:val="none" w:sz="0" w:space="0" w:color="auto"/>
                <w:left w:val="none" w:sz="0" w:space="0" w:color="auto"/>
                <w:bottom w:val="none" w:sz="0" w:space="0" w:color="auto"/>
                <w:right w:val="none" w:sz="0" w:space="0" w:color="auto"/>
              </w:divBdr>
              <w:divsChild>
                <w:div w:id="8509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35776">
      <w:bodyDiv w:val="1"/>
      <w:marLeft w:val="0"/>
      <w:marRight w:val="0"/>
      <w:marTop w:val="0"/>
      <w:marBottom w:val="0"/>
      <w:divBdr>
        <w:top w:val="none" w:sz="0" w:space="0" w:color="auto"/>
        <w:left w:val="none" w:sz="0" w:space="0" w:color="auto"/>
        <w:bottom w:val="none" w:sz="0" w:space="0" w:color="auto"/>
        <w:right w:val="none" w:sz="0" w:space="0" w:color="auto"/>
      </w:divBdr>
    </w:div>
    <w:div w:id="519127288">
      <w:bodyDiv w:val="1"/>
      <w:marLeft w:val="0"/>
      <w:marRight w:val="0"/>
      <w:marTop w:val="0"/>
      <w:marBottom w:val="0"/>
      <w:divBdr>
        <w:top w:val="none" w:sz="0" w:space="0" w:color="auto"/>
        <w:left w:val="none" w:sz="0" w:space="0" w:color="auto"/>
        <w:bottom w:val="none" w:sz="0" w:space="0" w:color="auto"/>
        <w:right w:val="none" w:sz="0" w:space="0" w:color="auto"/>
      </w:divBdr>
      <w:divsChild>
        <w:div w:id="1769958565">
          <w:marLeft w:val="0"/>
          <w:marRight w:val="0"/>
          <w:marTop w:val="0"/>
          <w:marBottom w:val="0"/>
          <w:divBdr>
            <w:top w:val="none" w:sz="0" w:space="0" w:color="auto"/>
            <w:left w:val="none" w:sz="0" w:space="0" w:color="auto"/>
            <w:bottom w:val="none" w:sz="0" w:space="0" w:color="auto"/>
            <w:right w:val="none" w:sz="0" w:space="0" w:color="auto"/>
          </w:divBdr>
          <w:divsChild>
            <w:div w:id="1770200015">
              <w:marLeft w:val="0"/>
              <w:marRight w:val="0"/>
              <w:marTop w:val="0"/>
              <w:marBottom w:val="0"/>
              <w:divBdr>
                <w:top w:val="none" w:sz="0" w:space="0" w:color="auto"/>
                <w:left w:val="none" w:sz="0" w:space="0" w:color="auto"/>
                <w:bottom w:val="none" w:sz="0" w:space="0" w:color="auto"/>
                <w:right w:val="none" w:sz="0" w:space="0" w:color="auto"/>
              </w:divBdr>
              <w:divsChild>
                <w:div w:id="101588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45055">
      <w:bodyDiv w:val="1"/>
      <w:marLeft w:val="0"/>
      <w:marRight w:val="0"/>
      <w:marTop w:val="0"/>
      <w:marBottom w:val="0"/>
      <w:divBdr>
        <w:top w:val="none" w:sz="0" w:space="0" w:color="auto"/>
        <w:left w:val="none" w:sz="0" w:space="0" w:color="auto"/>
        <w:bottom w:val="none" w:sz="0" w:space="0" w:color="auto"/>
        <w:right w:val="none" w:sz="0" w:space="0" w:color="auto"/>
      </w:divBdr>
    </w:div>
    <w:div w:id="616567730">
      <w:bodyDiv w:val="1"/>
      <w:marLeft w:val="0"/>
      <w:marRight w:val="0"/>
      <w:marTop w:val="0"/>
      <w:marBottom w:val="0"/>
      <w:divBdr>
        <w:top w:val="none" w:sz="0" w:space="0" w:color="auto"/>
        <w:left w:val="none" w:sz="0" w:space="0" w:color="auto"/>
        <w:bottom w:val="none" w:sz="0" w:space="0" w:color="auto"/>
        <w:right w:val="none" w:sz="0" w:space="0" w:color="auto"/>
      </w:divBdr>
    </w:div>
    <w:div w:id="674380261">
      <w:bodyDiv w:val="1"/>
      <w:marLeft w:val="0"/>
      <w:marRight w:val="0"/>
      <w:marTop w:val="0"/>
      <w:marBottom w:val="0"/>
      <w:divBdr>
        <w:top w:val="none" w:sz="0" w:space="0" w:color="auto"/>
        <w:left w:val="none" w:sz="0" w:space="0" w:color="auto"/>
        <w:bottom w:val="none" w:sz="0" w:space="0" w:color="auto"/>
        <w:right w:val="none" w:sz="0" w:space="0" w:color="auto"/>
      </w:divBdr>
      <w:divsChild>
        <w:div w:id="1151796649">
          <w:marLeft w:val="0"/>
          <w:marRight w:val="0"/>
          <w:marTop w:val="0"/>
          <w:marBottom w:val="0"/>
          <w:divBdr>
            <w:top w:val="none" w:sz="0" w:space="0" w:color="auto"/>
            <w:left w:val="none" w:sz="0" w:space="0" w:color="auto"/>
            <w:bottom w:val="none" w:sz="0" w:space="0" w:color="auto"/>
            <w:right w:val="none" w:sz="0" w:space="0" w:color="auto"/>
          </w:divBdr>
          <w:divsChild>
            <w:div w:id="1268080862">
              <w:marLeft w:val="0"/>
              <w:marRight w:val="0"/>
              <w:marTop w:val="0"/>
              <w:marBottom w:val="0"/>
              <w:divBdr>
                <w:top w:val="none" w:sz="0" w:space="0" w:color="auto"/>
                <w:left w:val="none" w:sz="0" w:space="0" w:color="auto"/>
                <w:bottom w:val="none" w:sz="0" w:space="0" w:color="auto"/>
                <w:right w:val="none" w:sz="0" w:space="0" w:color="auto"/>
              </w:divBdr>
              <w:divsChild>
                <w:div w:id="7319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10750">
      <w:bodyDiv w:val="1"/>
      <w:marLeft w:val="0"/>
      <w:marRight w:val="0"/>
      <w:marTop w:val="0"/>
      <w:marBottom w:val="0"/>
      <w:divBdr>
        <w:top w:val="none" w:sz="0" w:space="0" w:color="auto"/>
        <w:left w:val="none" w:sz="0" w:space="0" w:color="auto"/>
        <w:bottom w:val="none" w:sz="0" w:space="0" w:color="auto"/>
        <w:right w:val="none" w:sz="0" w:space="0" w:color="auto"/>
      </w:divBdr>
      <w:divsChild>
        <w:div w:id="650400918">
          <w:marLeft w:val="0"/>
          <w:marRight w:val="0"/>
          <w:marTop w:val="0"/>
          <w:marBottom w:val="0"/>
          <w:divBdr>
            <w:top w:val="none" w:sz="0" w:space="0" w:color="auto"/>
            <w:left w:val="none" w:sz="0" w:space="0" w:color="auto"/>
            <w:bottom w:val="none" w:sz="0" w:space="0" w:color="auto"/>
            <w:right w:val="none" w:sz="0" w:space="0" w:color="auto"/>
          </w:divBdr>
          <w:divsChild>
            <w:div w:id="1852842164">
              <w:marLeft w:val="0"/>
              <w:marRight w:val="0"/>
              <w:marTop w:val="0"/>
              <w:marBottom w:val="0"/>
              <w:divBdr>
                <w:top w:val="none" w:sz="0" w:space="0" w:color="auto"/>
                <w:left w:val="none" w:sz="0" w:space="0" w:color="auto"/>
                <w:bottom w:val="none" w:sz="0" w:space="0" w:color="auto"/>
                <w:right w:val="none" w:sz="0" w:space="0" w:color="auto"/>
              </w:divBdr>
              <w:divsChild>
                <w:div w:id="488330632">
                  <w:marLeft w:val="0"/>
                  <w:marRight w:val="0"/>
                  <w:marTop w:val="0"/>
                  <w:marBottom w:val="0"/>
                  <w:divBdr>
                    <w:top w:val="none" w:sz="0" w:space="0" w:color="auto"/>
                    <w:left w:val="none" w:sz="0" w:space="0" w:color="auto"/>
                    <w:bottom w:val="none" w:sz="0" w:space="0" w:color="auto"/>
                    <w:right w:val="none" w:sz="0" w:space="0" w:color="auto"/>
                  </w:divBdr>
                  <w:divsChild>
                    <w:div w:id="9036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86811">
      <w:bodyDiv w:val="1"/>
      <w:marLeft w:val="0"/>
      <w:marRight w:val="0"/>
      <w:marTop w:val="0"/>
      <w:marBottom w:val="0"/>
      <w:divBdr>
        <w:top w:val="none" w:sz="0" w:space="0" w:color="auto"/>
        <w:left w:val="none" w:sz="0" w:space="0" w:color="auto"/>
        <w:bottom w:val="none" w:sz="0" w:space="0" w:color="auto"/>
        <w:right w:val="none" w:sz="0" w:space="0" w:color="auto"/>
      </w:divBdr>
    </w:div>
    <w:div w:id="804197347">
      <w:bodyDiv w:val="1"/>
      <w:marLeft w:val="0"/>
      <w:marRight w:val="0"/>
      <w:marTop w:val="0"/>
      <w:marBottom w:val="0"/>
      <w:divBdr>
        <w:top w:val="none" w:sz="0" w:space="0" w:color="auto"/>
        <w:left w:val="none" w:sz="0" w:space="0" w:color="auto"/>
        <w:bottom w:val="none" w:sz="0" w:space="0" w:color="auto"/>
        <w:right w:val="none" w:sz="0" w:space="0" w:color="auto"/>
      </w:divBdr>
    </w:div>
    <w:div w:id="856844720">
      <w:bodyDiv w:val="1"/>
      <w:marLeft w:val="0"/>
      <w:marRight w:val="0"/>
      <w:marTop w:val="0"/>
      <w:marBottom w:val="0"/>
      <w:divBdr>
        <w:top w:val="none" w:sz="0" w:space="0" w:color="auto"/>
        <w:left w:val="none" w:sz="0" w:space="0" w:color="auto"/>
        <w:bottom w:val="none" w:sz="0" w:space="0" w:color="auto"/>
        <w:right w:val="none" w:sz="0" w:space="0" w:color="auto"/>
      </w:divBdr>
      <w:divsChild>
        <w:div w:id="44765763">
          <w:marLeft w:val="0"/>
          <w:marRight w:val="0"/>
          <w:marTop w:val="0"/>
          <w:marBottom w:val="0"/>
          <w:divBdr>
            <w:top w:val="none" w:sz="0" w:space="0" w:color="auto"/>
            <w:left w:val="none" w:sz="0" w:space="0" w:color="auto"/>
            <w:bottom w:val="none" w:sz="0" w:space="0" w:color="auto"/>
            <w:right w:val="none" w:sz="0" w:space="0" w:color="auto"/>
          </w:divBdr>
          <w:divsChild>
            <w:div w:id="1070465678">
              <w:marLeft w:val="0"/>
              <w:marRight w:val="0"/>
              <w:marTop w:val="0"/>
              <w:marBottom w:val="0"/>
              <w:divBdr>
                <w:top w:val="none" w:sz="0" w:space="0" w:color="auto"/>
                <w:left w:val="none" w:sz="0" w:space="0" w:color="auto"/>
                <w:bottom w:val="none" w:sz="0" w:space="0" w:color="auto"/>
                <w:right w:val="none" w:sz="0" w:space="0" w:color="auto"/>
              </w:divBdr>
              <w:divsChild>
                <w:div w:id="8089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4361">
      <w:bodyDiv w:val="1"/>
      <w:marLeft w:val="0"/>
      <w:marRight w:val="0"/>
      <w:marTop w:val="0"/>
      <w:marBottom w:val="0"/>
      <w:divBdr>
        <w:top w:val="none" w:sz="0" w:space="0" w:color="auto"/>
        <w:left w:val="none" w:sz="0" w:space="0" w:color="auto"/>
        <w:bottom w:val="none" w:sz="0" w:space="0" w:color="auto"/>
        <w:right w:val="none" w:sz="0" w:space="0" w:color="auto"/>
      </w:divBdr>
      <w:divsChild>
        <w:div w:id="700009916">
          <w:marLeft w:val="0"/>
          <w:marRight w:val="0"/>
          <w:marTop w:val="0"/>
          <w:marBottom w:val="0"/>
          <w:divBdr>
            <w:top w:val="none" w:sz="0" w:space="0" w:color="auto"/>
            <w:left w:val="none" w:sz="0" w:space="0" w:color="auto"/>
            <w:bottom w:val="none" w:sz="0" w:space="0" w:color="auto"/>
            <w:right w:val="none" w:sz="0" w:space="0" w:color="auto"/>
          </w:divBdr>
          <w:divsChild>
            <w:div w:id="1656449226">
              <w:marLeft w:val="0"/>
              <w:marRight w:val="0"/>
              <w:marTop w:val="0"/>
              <w:marBottom w:val="0"/>
              <w:divBdr>
                <w:top w:val="none" w:sz="0" w:space="0" w:color="auto"/>
                <w:left w:val="none" w:sz="0" w:space="0" w:color="auto"/>
                <w:bottom w:val="none" w:sz="0" w:space="0" w:color="auto"/>
                <w:right w:val="none" w:sz="0" w:space="0" w:color="auto"/>
              </w:divBdr>
              <w:divsChild>
                <w:div w:id="392000599">
                  <w:marLeft w:val="0"/>
                  <w:marRight w:val="0"/>
                  <w:marTop w:val="0"/>
                  <w:marBottom w:val="0"/>
                  <w:divBdr>
                    <w:top w:val="none" w:sz="0" w:space="0" w:color="auto"/>
                    <w:left w:val="none" w:sz="0" w:space="0" w:color="auto"/>
                    <w:bottom w:val="none" w:sz="0" w:space="0" w:color="auto"/>
                    <w:right w:val="none" w:sz="0" w:space="0" w:color="auto"/>
                  </w:divBdr>
                </w:div>
              </w:divsChild>
            </w:div>
            <w:div w:id="1831292984">
              <w:marLeft w:val="0"/>
              <w:marRight w:val="0"/>
              <w:marTop w:val="0"/>
              <w:marBottom w:val="0"/>
              <w:divBdr>
                <w:top w:val="none" w:sz="0" w:space="0" w:color="auto"/>
                <w:left w:val="none" w:sz="0" w:space="0" w:color="auto"/>
                <w:bottom w:val="none" w:sz="0" w:space="0" w:color="auto"/>
                <w:right w:val="none" w:sz="0" w:space="0" w:color="auto"/>
              </w:divBdr>
              <w:divsChild>
                <w:div w:id="7848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16364">
          <w:marLeft w:val="0"/>
          <w:marRight w:val="0"/>
          <w:marTop w:val="0"/>
          <w:marBottom w:val="0"/>
          <w:divBdr>
            <w:top w:val="none" w:sz="0" w:space="0" w:color="auto"/>
            <w:left w:val="none" w:sz="0" w:space="0" w:color="auto"/>
            <w:bottom w:val="none" w:sz="0" w:space="0" w:color="auto"/>
            <w:right w:val="none" w:sz="0" w:space="0" w:color="auto"/>
          </w:divBdr>
          <w:divsChild>
            <w:div w:id="1094201622">
              <w:marLeft w:val="0"/>
              <w:marRight w:val="0"/>
              <w:marTop w:val="0"/>
              <w:marBottom w:val="0"/>
              <w:divBdr>
                <w:top w:val="none" w:sz="0" w:space="0" w:color="auto"/>
                <w:left w:val="none" w:sz="0" w:space="0" w:color="auto"/>
                <w:bottom w:val="none" w:sz="0" w:space="0" w:color="auto"/>
                <w:right w:val="none" w:sz="0" w:space="0" w:color="auto"/>
              </w:divBdr>
              <w:divsChild>
                <w:div w:id="252205000">
                  <w:marLeft w:val="0"/>
                  <w:marRight w:val="0"/>
                  <w:marTop w:val="0"/>
                  <w:marBottom w:val="0"/>
                  <w:divBdr>
                    <w:top w:val="none" w:sz="0" w:space="0" w:color="auto"/>
                    <w:left w:val="none" w:sz="0" w:space="0" w:color="auto"/>
                    <w:bottom w:val="none" w:sz="0" w:space="0" w:color="auto"/>
                    <w:right w:val="none" w:sz="0" w:space="0" w:color="auto"/>
                  </w:divBdr>
                </w:div>
              </w:divsChild>
            </w:div>
            <w:div w:id="1740324868">
              <w:marLeft w:val="0"/>
              <w:marRight w:val="0"/>
              <w:marTop w:val="0"/>
              <w:marBottom w:val="0"/>
              <w:divBdr>
                <w:top w:val="none" w:sz="0" w:space="0" w:color="auto"/>
                <w:left w:val="none" w:sz="0" w:space="0" w:color="auto"/>
                <w:bottom w:val="none" w:sz="0" w:space="0" w:color="auto"/>
                <w:right w:val="none" w:sz="0" w:space="0" w:color="auto"/>
              </w:divBdr>
              <w:divsChild>
                <w:div w:id="5932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13278">
      <w:bodyDiv w:val="1"/>
      <w:marLeft w:val="0"/>
      <w:marRight w:val="0"/>
      <w:marTop w:val="0"/>
      <w:marBottom w:val="0"/>
      <w:divBdr>
        <w:top w:val="none" w:sz="0" w:space="0" w:color="auto"/>
        <w:left w:val="none" w:sz="0" w:space="0" w:color="auto"/>
        <w:bottom w:val="none" w:sz="0" w:space="0" w:color="auto"/>
        <w:right w:val="none" w:sz="0" w:space="0" w:color="auto"/>
      </w:divBdr>
    </w:div>
    <w:div w:id="1031952924">
      <w:bodyDiv w:val="1"/>
      <w:marLeft w:val="0"/>
      <w:marRight w:val="0"/>
      <w:marTop w:val="0"/>
      <w:marBottom w:val="0"/>
      <w:divBdr>
        <w:top w:val="none" w:sz="0" w:space="0" w:color="auto"/>
        <w:left w:val="none" w:sz="0" w:space="0" w:color="auto"/>
        <w:bottom w:val="none" w:sz="0" w:space="0" w:color="auto"/>
        <w:right w:val="none" w:sz="0" w:space="0" w:color="auto"/>
      </w:divBdr>
      <w:divsChild>
        <w:div w:id="1805464901">
          <w:marLeft w:val="0"/>
          <w:marRight w:val="0"/>
          <w:marTop w:val="0"/>
          <w:marBottom w:val="0"/>
          <w:divBdr>
            <w:top w:val="none" w:sz="0" w:space="0" w:color="auto"/>
            <w:left w:val="none" w:sz="0" w:space="0" w:color="auto"/>
            <w:bottom w:val="none" w:sz="0" w:space="0" w:color="auto"/>
            <w:right w:val="none" w:sz="0" w:space="0" w:color="auto"/>
          </w:divBdr>
          <w:divsChild>
            <w:div w:id="1612395576">
              <w:marLeft w:val="0"/>
              <w:marRight w:val="0"/>
              <w:marTop w:val="0"/>
              <w:marBottom w:val="0"/>
              <w:divBdr>
                <w:top w:val="none" w:sz="0" w:space="0" w:color="auto"/>
                <w:left w:val="none" w:sz="0" w:space="0" w:color="auto"/>
                <w:bottom w:val="none" w:sz="0" w:space="0" w:color="auto"/>
                <w:right w:val="none" w:sz="0" w:space="0" w:color="auto"/>
              </w:divBdr>
              <w:divsChild>
                <w:div w:id="82995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86581">
      <w:bodyDiv w:val="1"/>
      <w:marLeft w:val="0"/>
      <w:marRight w:val="0"/>
      <w:marTop w:val="0"/>
      <w:marBottom w:val="0"/>
      <w:divBdr>
        <w:top w:val="none" w:sz="0" w:space="0" w:color="auto"/>
        <w:left w:val="none" w:sz="0" w:space="0" w:color="auto"/>
        <w:bottom w:val="none" w:sz="0" w:space="0" w:color="auto"/>
        <w:right w:val="none" w:sz="0" w:space="0" w:color="auto"/>
      </w:divBdr>
      <w:divsChild>
        <w:div w:id="860700331">
          <w:marLeft w:val="0"/>
          <w:marRight w:val="0"/>
          <w:marTop w:val="0"/>
          <w:marBottom w:val="0"/>
          <w:divBdr>
            <w:top w:val="none" w:sz="0" w:space="0" w:color="auto"/>
            <w:left w:val="none" w:sz="0" w:space="0" w:color="auto"/>
            <w:bottom w:val="none" w:sz="0" w:space="0" w:color="auto"/>
            <w:right w:val="none" w:sz="0" w:space="0" w:color="auto"/>
          </w:divBdr>
          <w:divsChild>
            <w:div w:id="1286040865">
              <w:marLeft w:val="0"/>
              <w:marRight w:val="0"/>
              <w:marTop w:val="0"/>
              <w:marBottom w:val="0"/>
              <w:divBdr>
                <w:top w:val="none" w:sz="0" w:space="0" w:color="auto"/>
                <w:left w:val="none" w:sz="0" w:space="0" w:color="auto"/>
                <w:bottom w:val="none" w:sz="0" w:space="0" w:color="auto"/>
                <w:right w:val="none" w:sz="0" w:space="0" w:color="auto"/>
              </w:divBdr>
              <w:divsChild>
                <w:div w:id="1564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8612">
          <w:marLeft w:val="0"/>
          <w:marRight w:val="0"/>
          <w:marTop w:val="0"/>
          <w:marBottom w:val="0"/>
          <w:divBdr>
            <w:top w:val="none" w:sz="0" w:space="0" w:color="auto"/>
            <w:left w:val="none" w:sz="0" w:space="0" w:color="auto"/>
            <w:bottom w:val="none" w:sz="0" w:space="0" w:color="auto"/>
            <w:right w:val="none" w:sz="0" w:space="0" w:color="auto"/>
          </w:divBdr>
          <w:divsChild>
            <w:div w:id="238174678">
              <w:marLeft w:val="0"/>
              <w:marRight w:val="0"/>
              <w:marTop w:val="0"/>
              <w:marBottom w:val="0"/>
              <w:divBdr>
                <w:top w:val="none" w:sz="0" w:space="0" w:color="auto"/>
                <w:left w:val="none" w:sz="0" w:space="0" w:color="auto"/>
                <w:bottom w:val="none" w:sz="0" w:space="0" w:color="auto"/>
                <w:right w:val="none" w:sz="0" w:space="0" w:color="auto"/>
              </w:divBdr>
              <w:divsChild>
                <w:div w:id="619189867">
                  <w:marLeft w:val="0"/>
                  <w:marRight w:val="0"/>
                  <w:marTop w:val="0"/>
                  <w:marBottom w:val="0"/>
                  <w:divBdr>
                    <w:top w:val="none" w:sz="0" w:space="0" w:color="auto"/>
                    <w:left w:val="none" w:sz="0" w:space="0" w:color="auto"/>
                    <w:bottom w:val="none" w:sz="0" w:space="0" w:color="auto"/>
                    <w:right w:val="none" w:sz="0" w:space="0" w:color="auto"/>
                  </w:divBdr>
                </w:div>
              </w:divsChild>
            </w:div>
            <w:div w:id="1539465851">
              <w:marLeft w:val="0"/>
              <w:marRight w:val="0"/>
              <w:marTop w:val="0"/>
              <w:marBottom w:val="0"/>
              <w:divBdr>
                <w:top w:val="none" w:sz="0" w:space="0" w:color="auto"/>
                <w:left w:val="none" w:sz="0" w:space="0" w:color="auto"/>
                <w:bottom w:val="none" w:sz="0" w:space="0" w:color="auto"/>
                <w:right w:val="none" w:sz="0" w:space="0" w:color="auto"/>
              </w:divBdr>
              <w:divsChild>
                <w:div w:id="14952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0172">
      <w:bodyDiv w:val="1"/>
      <w:marLeft w:val="0"/>
      <w:marRight w:val="0"/>
      <w:marTop w:val="0"/>
      <w:marBottom w:val="0"/>
      <w:divBdr>
        <w:top w:val="none" w:sz="0" w:space="0" w:color="auto"/>
        <w:left w:val="none" w:sz="0" w:space="0" w:color="auto"/>
        <w:bottom w:val="none" w:sz="0" w:space="0" w:color="auto"/>
        <w:right w:val="none" w:sz="0" w:space="0" w:color="auto"/>
      </w:divBdr>
      <w:divsChild>
        <w:div w:id="10255881">
          <w:marLeft w:val="0"/>
          <w:marRight w:val="0"/>
          <w:marTop w:val="0"/>
          <w:marBottom w:val="0"/>
          <w:divBdr>
            <w:top w:val="none" w:sz="0" w:space="0" w:color="auto"/>
            <w:left w:val="none" w:sz="0" w:space="0" w:color="auto"/>
            <w:bottom w:val="none" w:sz="0" w:space="0" w:color="auto"/>
            <w:right w:val="none" w:sz="0" w:space="0" w:color="auto"/>
          </w:divBdr>
          <w:divsChild>
            <w:div w:id="667290915">
              <w:marLeft w:val="0"/>
              <w:marRight w:val="0"/>
              <w:marTop w:val="0"/>
              <w:marBottom w:val="0"/>
              <w:divBdr>
                <w:top w:val="none" w:sz="0" w:space="0" w:color="auto"/>
                <w:left w:val="none" w:sz="0" w:space="0" w:color="auto"/>
                <w:bottom w:val="none" w:sz="0" w:space="0" w:color="auto"/>
                <w:right w:val="none" w:sz="0" w:space="0" w:color="auto"/>
              </w:divBdr>
              <w:divsChild>
                <w:div w:id="102880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350264">
      <w:bodyDiv w:val="1"/>
      <w:marLeft w:val="0"/>
      <w:marRight w:val="0"/>
      <w:marTop w:val="0"/>
      <w:marBottom w:val="0"/>
      <w:divBdr>
        <w:top w:val="none" w:sz="0" w:space="0" w:color="auto"/>
        <w:left w:val="none" w:sz="0" w:space="0" w:color="auto"/>
        <w:bottom w:val="none" w:sz="0" w:space="0" w:color="auto"/>
        <w:right w:val="none" w:sz="0" w:space="0" w:color="auto"/>
      </w:divBdr>
    </w:div>
    <w:div w:id="1291784880">
      <w:bodyDiv w:val="1"/>
      <w:marLeft w:val="0"/>
      <w:marRight w:val="0"/>
      <w:marTop w:val="0"/>
      <w:marBottom w:val="0"/>
      <w:divBdr>
        <w:top w:val="none" w:sz="0" w:space="0" w:color="auto"/>
        <w:left w:val="none" w:sz="0" w:space="0" w:color="auto"/>
        <w:bottom w:val="none" w:sz="0" w:space="0" w:color="auto"/>
        <w:right w:val="none" w:sz="0" w:space="0" w:color="auto"/>
      </w:divBdr>
      <w:divsChild>
        <w:div w:id="1161694758">
          <w:marLeft w:val="0"/>
          <w:marRight w:val="0"/>
          <w:marTop w:val="0"/>
          <w:marBottom w:val="0"/>
          <w:divBdr>
            <w:top w:val="none" w:sz="0" w:space="0" w:color="auto"/>
            <w:left w:val="none" w:sz="0" w:space="0" w:color="auto"/>
            <w:bottom w:val="none" w:sz="0" w:space="0" w:color="auto"/>
            <w:right w:val="none" w:sz="0" w:space="0" w:color="auto"/>
          </w:divBdr>
          <w:divsChild>
            <w:div w:id="1369331169">
              <w:marLeft w:val="0"/>
              <w:marRight w:val="0"/>
              <w:marTop w:val="0"/>
              <w:marBottom w:val="0"/>
              <w:divBdr>
                <w:top w:val="none" w:sz="0" w:space="0" w:color="auto"/>
                <w:left w:val="none" w:sz="0" w:space="0" w:color="auto"/>
                <w:bottom w:val="none" w:sz="0" w:space="0" w:color="auto"/>
                <w:right w:val="none" w:sz="0" w:space="0" w:color="auto"/>
              </w:divBdr>
              <w:divsChild>
                <w:div w:id="3128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4418">
      <w:bodyDiv w:val="1"/>
      <w:marLeft w:val="0"/>
      <w:marRight w:val="0"/>
      <w:marTop w:val="0"/>
      <w:marBottom w:val="0"/>
      <w:divBdr>
        <w:top w:val="none" w:sz="0" w:space="0" w:color="auto"/>
        <w:left w:val="none" w:sz="0" w:space="0" w:color="auto"/>
        <w:bottom w:val="none" w:sz="0" w:space="0" w:color="auto"/>
        <w:right w:val="none" w:sz="0" w:space="0" w:color="auto"/>
      </w:divBdr>
    </w:div>
    <w:div w:id="1470322026">
      <w:bodyDiv w:val="1"/>
      <w:marLeft w:val="0"/>
      <w:marRight w:val="0"/>
      <w:marTop w:val="0"/>
      <w:marBottom w:val="0"/>
      <w:divBdr>
        <w:top w:val="none" w:sz="0" w:space="0" w:color="auto"/>
        <w:left w:val="none" w:sz="0" w:space="0" w:color="auto"/>
        <w:bottom w:val="none" w:sz="0" w:space="0" w:color="auto"/>
        <w:right w:val="none" w:sz="0" w:space="0" w:color="auto"/>
      </w:divBdr>
    </w:div>
    <w:div w:id="1542086166">
      <w:bodyDiv w:val="1"/>
      <w:marLeft w:val="0"/>
      <w:marRight w:val="0"/>
      <w:marTop w:val="0"/>
      <w:marBottom w:val="0"/>
      <w:divBdr>
        <w:top w:val="none" w:sz="0" w:space="0" w:color="auto"/>
        <w:left w:val="none" w:sz="0" w:space="0" w:color="auto"/>
        <w:bottom w:val="none" w:sz="0" w:space="0" w:color="auto"/>
        <w:right w:val="none" w:sz="0" w:space="0" w:color="auto"/>
      </w:divBdr>
    </w:div>
    <w:div w:id="1622489290">
      <w:bodyDiv w:val="1"/>
      <w:marLeft w:val="0"/>
      <w:marRight w:val="0"/>
      <w:marTop w:val="0"/>
      <w:marBottom w:val="0"/>
      <w:divBdr>
        <w:top w:val="none" w:sz="0" w:space="0" w:color="auto"/>
        <w:left w:val="none" w:sz="0" w:space="0" w:color="auto"/>
        <w:bottom w:val="none" w:sz="0" w:space="0" w:color="auto"/>
        <w:right w:val="none" w:sz="0" w:space="0" w:color="auto"/>
      </w:divBdr>
    </w:div>
    <w:div w:id="1810127851">
      <w:bodyDiv w:val="1"/>
      <w:marLeft w:val="0"/>
      <w:marRight w:val="0"/>
      <w:marTop w:val="0"/>
      <w:marBottom w:val="0"/>
      <w:divBdr>
        <w:top w:val="none" w:sz="0" w:space="0" w:color="auto"/>
        <w:left w:val="none" w:sz="0" w:space="0" w:color="auto"/>
        <w:bottom w:val="none" w:sz="0" w:space="0" w:color="auto"/>
        <w:right w:val="none" w:sz="0" w:space="0" w:color="auto"/>
      </w:divBdr>
    </w:div>
    <w:div w:id="1825968659">
      <w:bodyDiv w:val="1"/>
      <w:marLeft w:val="0"/>
      <w:marRight w:val="0"/>
      <w:marTop w:val="0"/>
      <w:marBottom w:val="0"/>
      <w:divBdr>
        <w:top w:val="none" w:sz="0" w:space="0" w:color="auto"/>
        <w:left w:val="none" w:sz="0" w:space="0" w:color="auto"/>
        <w:bottom w:val="none" w:sz="0" w:space="0" w:color="auto"/>
        <w:right w:val="none" w:sz="0" w:space="0" w:color="auto"/>
      </w:divBdr>
      <w:divsChild>
        <w:div w:id="598803145">
          <w:marLeft w:val="0"/>
          <w:marRight w:val="0"/>
          <w:marTop w:val="0"/>
          <w:marBottom w:val="0"/>
          <w:divBdr>
            <w:top w:val="none" w:sz="0" w:space="0" w:color="auto"/>
            <w:left w:val="none" w:sz="0" w:space="0" w:color="auto"/>
            <w:bottom w:val="none" w:sz="0" w:space="0" w:color="auto"/>
            <w:right w:val="none" w:sz="0" w:space="0" w:color="auto"/>
          </w:divBdr>
          <w:divsChild>
            <w:div w:id="1927879910">
              <w:marLeft w:val="0"/>
              <w:marRight w:val="0"/>
              <w:marTop w:val="0"/>
              <w:marBottom w:val="0"/>
              <w:divBdr>
                <w:top w:val="none" w:sz="0" w:space="0" w:color="auto"/>
                <w:left w:val="none" w:sz="0" w:space="0" w:color="auto"/>
                <w:bottom w:val="none" w:sz="0" w:space="0" w:color="auto"/>
                <w:right w:val="none" w:sz="0" w:space="0" w:color="auto"/>
              </w:divBdr>
              <w:divsChild>
                <w:div w:id="2732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924590">
      <w:bodyDiv w:val="1"/>
      <w:marLeft w:val="0"/>
      <w:marRight w:val="0"/>
      <w:marTop w:val="0"/>
      <w:marBottom w:val="0"/>
      <w:divBdr>
        <w:top w:val="none" w:sz="0" w:space="0" w:color="auto"/>
        <w:left w:val="none" w:sz="0" w:space="0" w:color="auto"/>
        <w:bottom w:val="none" w:sz="0" w:space="0" w:color="auto"/>
        <w:right w:val="none" w:sz="0" w:space="0" w:color="auto"/>
      </w:divBdr>
    </w:div>
    <w:div w:id="1868252346">
      <w:bodyDiv w:val="1"/>
      <w:marLeft w:val="0"/>
      <w:marRight w:val="0"/>
      <w:marTop w:val="0"/>
      <w:marBottom w:val="0"/>
      <w:divBdr>
        <w:top w:val="none" w:sz="0" w:space="0" w:color="auto"/>
        <w:left w:val="none" w:sz="0" w:space="0" w:color="auto"/>
        <w:bottom w:val="none" w:sz="0" w:space="0" w:color="auto"/>
        <w:right w:val="none" w:sz="0" w:space="0" w:color="auto"/>
      </w:divBdr>
    </w:div>
    <w:div w:id="1899396823">
      <w:bodyDiv w:val="1"/>
      <w:marLeft w:val="0"/>
      <w:marRight w:val="0"/>
      <w:marTop w:val="0"/>
      <w:marBottom w:val="0"/>
      <w:divBdr>
        <w:top w:val="none" w:sz="0" w:space="0" w:color="auto"/>
        <w:left w:val="none" w:sz="0" w:space="0" w:color="auto"/>
        <w:bottom w:val="none" w:sz="0" w:space="0" w:color="auto"/>
        <w:right w:val="none" w:sz="0" w:space="0" w:color="auto"/>
      </w:divBdr>
      <w:divsChild>
        <w:div w:id="155729123">
          <w:marLeft w:val="0"/>
          <w:marRight w:val="0"/>
          <w:marTop w:val="0"/>
          <w:marBottom w:val="0"/>
          <w:divBdr>
            <w:top w:val="none" w:sz="0" w:space="0" w:color="auto"/>
            <w:left w:val="none" w:sz="0" w:space="0" w:color="auto"/>
            <w:bottom w:val="none" w:sz="0" w:space="0" w:color="auto"/>
            <w:right w:val="none" w:sz="0" w:space="0" w:color="auto"/>
          </w:divBdr>
          <w:divsChild>
            <w:div w:id="754743838">
              <w:marLeft w:val="0"/>
              <w:marRight w:val="0"/>
              <w:marTop w:val="0"/>
              <w:marBottom w:val="0"/>
              <w:divBdr>
                <w:top w:val="none" w:sz="0" w:space="0" w:color="auto"/>
                <w:left w:val="none" w:sz="0" w:space="0" w:color="auto"/>
                <w:bottom w:val="none" w:sz="0" w:space="0" w:color="auto"/>
                <w:right w:val="none" w:sz="0" w:space="0" w:color="auto"/>
              </w:divBdr>
              <w:divsChild>
                <w:div w:id="10992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8919">
          <w:marLeft w:val="0"/>
          <w:marRight w:val="0"/>
          <w:marTop w:val="0"/>
          <w:marBottom w:val="0"/>
          <w:divBdr>
            <w:top w:val="none" w:sz="0" w:space="0" w:color="auto"/>
            <w:left w:val="none" w:sz="0" w:space="0" w:color="auto"/>
            <w:bottom w:val="none" w:sz="0" w:space="0" w:color="auto"/>
            <w:right w:val="none" w:sz="0" w:space="0" w:color="auto"/>
          </w:divBdr>
          <w:divsChild>
            <w:div w:id="610742584">
              <w:marLeft w:val="0"/>
              <w:marRight w:val="0"/>
              <w:marTop w:val="0"/>
              <w:marBottom w:val="0"/>
              <w:divBdr>
                <w:top w:val="none" w:sz="0" w:space="0" w:color="auto"/>
                <w:left w:val="none" w:sz="0" w:space="0" w:color="auto"/>
                <w:bottom w:val="none" w:sz="0" w:space="0" w:color="auto"/>
                <w:right w:val="none" w:sz="0" w:space="0" w:color="auto"/>
              </w:divBdr>
              <w:divsChild>
                <w:div w:id="290484236">
                  <w:marLeft w:val="0"/>
                  <w:marRight w:val="0"/>
                  <w:marTop w:val="0"/>
                  <w:marBottom w:val="0"/>
                  <w:divBdr>
                    <w:top w:val="none" w:sz="0" w:space="0" w:color="auto"/>
                    <w:left w:val="none" w:sz="0" w:space="0" w:color="auto"/>
                    <w:bottom w:val="none" w:sz="0" w:space="0" w:color="auto"/>
                    <w:right w:val="none" w:sz="0" w:space="0" w:color="auto"/>
                  </w:divBdr>
                </w:div>
              </w:divsChild>
            </w:div>
            <w:div w:id="1766799457">
              <w:marLeft w:val="0"/>
              <w:marRight w:val="0"/>
              <w:marTop w:val="0"/>
              <w:marBottom w:val="0"/>
              <w:divBdr>
                <w:top w:val="none" w:sz="0" w:space="0" w:color="auto"/>
                <w:left w:val="none" w:sz="0" w:space="0" w:color="auto"/>
                <w:bottom w:val="none" w:sz="0" w:space="0" w:color="auto"/>
                <w:right w:val="none" w:sz="0" w:space="0" w:color="auto"/>
              </w:divBdr>
              <w:divsChild>
                <w:div w:id="13518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55330">
      <w:bodyDiv w:val="1"/>
      <w:marLeft w:val="0"/>
      <w:marRight w:val="0"/>
      <w:marTop w:val="0"/>
      <w:marBottom w:val="0"/>
      <w:divBdr>
        <w:top w:val="none" w:sz="0" w:space="0" w:color="auto"/>
        <w:left w:val="none" w:sz="0" w:space="0" w:color="auto"/>
        <w:bottom w:val="none" w:sz="0" w:space="0" w:color="auto"/>
        <w:right w:val="none" w:sz="0" w:space="0" w:color="auto"/>
      </w:divBdr>
    </w:div>
    <w:div w:id="1959874275">
      <w:bodyDiv w:val="1"/>
      <w:marLeft w:val="0"/>
      <w:marRight w:val="0"/>
      <w:marTop w:val="0"/>
      <w:marBottom w:val="0"/>
      <w:divBdr>
        <w:top w:val="none" w:sz="0" w:space="0" w:color="auto"/>
        <w:left w:val="none" w:sz="0" w:space="0" w:color="auto"/>
        <w:bottom w:val="none" w:sz="0" w:space="0" w:color="auto"/>
        <w:right w:val="none" w:sz="0" w:space="0" w:color="auto"/>
      </w:divBdr>
    </w:div>
    <w:div w:id="1997294894">
      <w:bodyDiv w:val="1"/>
      <w:marLeft w:val="0"/>
      <w:marRight w:val="0"/>
      <w:marTop w:val="0"/>
      <w:marBottom w:val="0"/>
      <w:divBdr>
        <w:top w:val="none" w:sz="0" w:space="0" w:color="auto"/>
        <w:left w:val="none" w:sz="0" w:space="0" w:color="auto"/>
        <w:bottom w:val="none" w:sz="0" w:space="0" w:color="auto"/>
        <w:right w:val="none" w:sz="0" w:space="0" w:color="auto"/>
      </w:divBdr>
      <w:divsChild>
        <w:div w:id="234556833">
          <w:marLeft w:val="0"/>
          <w:marRight w:val="0"/>
          <w:marTop w:val="0"/>
          <w:marBottom w:val="0"/>
          <w:divBdr>
            <w:top w:val="none" w:sz="0" w:space="0" w:color="auto"/>
            <w:left w:val="none" w:sz="0" w:space="0" w:color="auto"/>
            <w:bottom w:val="none" w:sz="0" w:space="0" w:color="auto"/>
            <w:right w:val="none" w:sz="0" w:space="0" w:color="auto"/>
          </w:divBdr>
          <w:divsChild>
            <w:div w:id="377632886">
              <w:marLeft w:val="0"/>
              <w:marRight w:val="0"/>
              <w:marTop w:val="0"/>
              <w:marBottom w:val="0"/>
              <w:divBdr>
                <w:top w:val="none" w:sz="0" w:space="0" w:color="auto"/>
                <w:left w:val="none" w:sz="0" w:space="0" w:color="auto"/>
                <w:bottom w:val="none" w:sz="0" w:space="0" w:color="auto"/>
                <w:right w:val="none" w:sz="0" w:space="0" w:color="auto"/>
              </w:divBdr>
              <w:divsChild>
                <w:div w:id="8326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39876">
          <w:marLeft w:val="0"/>
          <w:marRight w:val="0"/>
          <w:marTop w:val="0"/>
          <w:marBottom w:val="0"/>
          <w:divBdr>
            <w:top w:val="none" w:sz="0" w:space="0" w:color="auto"/>
            <w:left w:val="none" w:sz="0" w:space="0" w:color="auto"/>
            <w:bottom w:val="none" w:sz="0" w:space="0" w:color="auto"/>
            <w:right w:val="none" w:sz="0" w:space="0" w:color="auto"/>
          </w:divBdr>
          <w:divsChild>
            <w:div w:id="548683640">
              <w:marLeft w:val="0"/>
              <w:marRight w:val="0"/>
              <w:marTop w:val="0"/>
              <w:marBottom w:val="0"/>
              <w:divBdr>
                <w:top w:val="none" w:sz="0" w:space="0" w:color="auto"/>
                <w:left w:val="none" w:sz="0" w:space="0" w:color="auto"/>
                <w:bottom w:val="none" w:sz="0" w:space="0" w:color="auto"/>
                <w:right w:val="none" w:sz="0" w:space="0" w:color="auto"/>
              </w:divBdr>
              <w:divsChild>
                <w:div w:id="18437600">
                  <w:marLeft w:val="0"/>
                  <w:marRight w:val="0"/>
                  <w:marTop w:val="0"/>
                  <w:marBottom w:val="0"/>
                  <w:divBdr>
                    <w:top w:val="none" w:sz="0" w:space="0" w:color="auto"/>
                    <w:left w:val="none" w:sz="0" w:space="0" w:color="auto"/>
                    <w:bottom w:val="none" w:sz="0" w:space="0" w:color="auto"/>
                    <w:right w:val="none" w:sz="0" w:space="0" w:color="auto"/>
                  </w:divBdr>
                </w:div>
              </w:divsChild>
            </w:div>
            <w:div w:id="737483488">
              <w:marLeft w:val="0"/>
              <w:marRight w:val="0"/>
              <w:marTop w:val="0"/>
              <w:marBottom w:val="0"/>
              <w:divBdr>
                <w:top w:val="none" w:sz="0" w:space="0" w:color="auto"/>
                <w:left w:val="none" w:sz="0" w:space="0" w:color="auto"/>
                <w:bottom w:val="none" w:sz="0" w:space="0" w:color="auto"/>
                <w:right w:val="none" w:sz="0" w:space="0" w:color="auto"/>
              </w:divBdr>
              <w:divsChild>
                <w:div w:id="1288395970">
                  <w:marLeft w:val="0"/>
                  <w:marRight w:val="0"/>
                  <w:marTop w:val="0"/>
                  <w:marBottom w:val="0"/>
                  <w:divBdr>
                    <w:top w:val="none" w:sz="0" w:space="0" w:color="auto"/>
                    <w:left w:val="none" w:sz="0" w:space="0" w:color="auto"/>
                    <w:bottom w:val="none" w:sz="0" w:space="0" w:color="auto"/>
                    <w:right w:val="none" w:sz="0" w:space="0" w:color="auto"/>
                  </w:divBdr>
                </w:div>
                <w:div w:id="1834107800">
                  <w:marLeft w:val="0"/>
                  <w:marRight w:val="0"/>
                  <w:marTop w:val="0"/>
                  <w:marBottom w:val="0"/>
                  <w:divBdr>
                    <w:top w:val="none" w:sz="0" w:space="0" w:color="auto"/>
                    <w:left w:val="none" w:sz="0" w:space="0" w:color="auto"/>
                    <w:bottom w:val="none" w:sz="0" w:space="0" w:color="auto"/>
                    <w:right w:val="none" w:sz="0" w:space="0" w:color="auto"/>
                  </w:divBdr>
                </w:div>
              </w:divsChild>
            </w:div>
            <w:div w:id="1308825761">
              <w:marLeft w:val="0"/>
              <w:marRight w:val="0"/>
              <w:marTop w:val="0"/>
              <w:marBottom w:val="0"/>
              <w:divBdr>
                <w:top w:val="none" w:sz="0" w:space="0" w:color="auto"/>
                <w:left w:val="none" w:sz="0" w:space="0" w:color="auto"/>
                <w:bottom w:val="none" w:sz="0" w:space="0" w:color="auto"/>
                <w:right w:val="none" w:sz="0" w:space="0" w:color="auto"/>
              </w:divBdr>
              <w:divsChild>
                <w:div w:id="1023750169">
                  <w:marLeft w:val="0"/>
                  <w:marRight w:val="0"/>
                  <w:marTop w:val="0"/>
                  <w:marBottom w:val="0"/>
                  <w:divBdr>
                    <w:top w:val="none" w:sz="0" w:space="0" w:color="auto"/>
                    <w:left w:val="none" w:sz="0" w:space="0" w:color="auto"/>
                    <w:bottom w:val="none" w:sz="0" w:space="0" w:color="auto"/>
                    <w:right w:val="none" w:sz="0" w:space="0" w:color="auto"/>
                  </w:divBdr>
                </w:div>
              </w:divsChild>
            </w:div>
            <w:div w:id="1946427773">
              <w:marLeft w:val="0"/>
              <w:marRight w:val="0"/>
              <w:marTop w:val="0"/>
              <w:marBottom w:val="0"/>
              <w:divBdr>
                <w:top w:val="none" w:sz="0" w:space="0" w:color="auto"/>
                <w:left w:val="none" w:sz="0" w:space="0" w:color="auto"/>
                <w:bottom w:val="none" w:sz="0" w:space="0" w:color="auto"/>
                <w:right w:val="none" w:sz="0" w:space="0" w:color="auto"/>
              </w:divBdr>
              <w:divsChild>
                <w:div w:id="17992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31836">
      <w:bodyDiv w:val="1"/>
      <w:marLeft w:val="0"/>
      <w:marRight w:val="0"/>
      <w:marTop w:val="0"/>
      <w:marBottom w:val="0"/>
      <w:divBdr>
        <w:top w:val="none" w:sz="0" w:space="0" w:color="auto"/>
        <w:left w:val="none" w:sz="0" w:space="0" w:color="auto"/>
        <w:bottom w:val="none" w:sz="0" w:space="0" w:color="auto"/>
        <w:right w:val="none" w:sz="0" w:space="0" w:color="auto"/>
      </w:divBdr>
    </w:div>
    <w:div w:id="2069566869">
      <w:bodyDiv w:val="1"/>
      <w:marLeft w:val="0"/>
      <w:marRight w:val="0"/>
      <w:marTop w:val="0"/>
      <w:marBottom w:val="0"/>
      <w:divBdr>
        <w:top w:val="none" w:sz="0" w:space="0" w:color="auto"/>
        <w:left w:val="none" w:sz="0" w:space="0" w:color="auto"/>
        <w:bottom w:val="none" w:sz="0" w:space="0" w:color="auto"/>
        <w:right w:val="none" w:sz="0" w:space="0" w:color="auto"/>
      </w:divBdr>
      <w:divsChild>
        <w:div w:id="305938488">
          <w:marLeft w:val="0"/>
          <w:marRight w:val="0"/>
          <w:marTop w:val="0"/>
          <w:marBottom w:val="0"/>
          <w:divBdr>
            <w:top w:val="none" w:sz="0" w:space="0" w:color="auto"/>
            <w:left w:val="none" w:sz="0" w:space="0" w:color="auto"/>
            <w:bottom w:val="none" w:sz="0" w:space="0" w:color="auto"/>
            <w:right w:val="none" w:sz="0" w:space="0" w:color="auto"/>
          </w:divBdr>
          <w:divsChild>
            <w:div w:id="885993142">
              <w:marLeft w:val="0"/>
              <w:marRight w:val="0"/>
              <w:marTop w:val="0"/>
              <w:marBottom w:val="0"/>
              <w:divBdr>
                <w:top w:val="none" w:sz="0" w:space="0" w:color="auto"/>
                <w:left w:val="none" w:sz="0" w:space="0" w:color="auto"/>
                <w:bottom w:val="none" w:sz="0" w:space="0" w:color="auto"/>
                <w:right w:val="none" w:sz="0" w:space="0" w:color="auto"/>
              </w:divBdr>
              <w:divsChild>
                <w:div w:id="1923447871">
                  <w:marLeft w:val="0"/>
                  <w:marRight w:val="0"/>
                  <w:marTop w:val="0"/>
                  <w:marBottom w:val="0"/>
                  <w:divBdr>
                    <w:top w:val="none" w:sz="0" w:space="0" w:color="auto"/>
                    <w:left w:val="none" w:sz="0" w:space="0" w:color="auto"/>
                    <w:bottom w:val="none" w:sz="0" w:space="0" w:color="auto"/>
                    <w:right w:val="none" w:sz="0" w:space="0" w:color="auto"/>
                  </w:divBdr>
                </w:div>
              </w:divsChild>
            </w:div>
            <w:div w:id="1991782726">
              <w:marLeft w:val="0"/>
              <w:marRight w:val="0"/>
              <w:marTop w:val="0"/>
              <w:marBottom w:val="0"/>
              <w:divBdr>
                <w:top w:val="none" w:sz="0" w:space="0" w:color="auto"/>
                <w:left w:val="none" w:sz="0" w:space="0" w:color="auto"/>
                <w:bottom w:val="none" w:sz="0" w:space="0" w:color="auto"/>
                <w:right w:val="none" w:sz="0" w:space="0" w:color="auto"/>
              </w:divBdr>
              <w:divsChild>
                <w:div w:id="8219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71804">
          <w:marLeft w:val="0"/>
          <w:marRight w:val="0"/>
          <w:marTop w:val="0"/>
          <w:marBottom w:val="0"/>
          <w:divBdr>
            <w:top w:val="none" w:sz="0" w:space="0" w:color="auto"/>
            <w:left w:val="none" w:sz="0" w:space="0" w:color="auto"/>
            <w:bottom w:val="none" w:sz="0" w:space="0" w:color="auto"/>
            <w:right w:val="none" w:sz="0" w:space="0" w:color="auto"/>
          </w:divBdr>
          <w:divsChild>
            <w:div w:id="1412199959">
              <w:marLeft w:val="0"/>
              <w:marRight w:val="0"/>
              <w:marTop w:val="0"/>
              <w:marBottom w:val="0"/>
              <w:divBdr>
                <w:top w:val="none" w:sz="0" w:space="0" w:color="auto"/>
                <w:left w:val="none" w:sz="0" w:space="0" w:color="auto"/>
                <w:bottom w:val="none" w:sz="0" w:space="0" w:color="auto"/>
                <w:right w:val="none" w:sz="0" w:space="0" w:color="auto"/>
              </w:divBdr>
              <w:divsChild>
                <w:div w:id="12877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28378">
      <w:bodyDiv w:val="1"/>
      <w:marLeft w:val="0"/>
      <w:marRight w:val="0"/>
      <w:marTop w:val="0"/>
      <w:marBottom w:val="0"/>
      <w:divBdr>
        <w:top w:val="none" w:sz="0" w:space="0" w:color="auto"/>
        <w:left w:val="none" w:sz="0" w:space="0" w:color="auto"/>
        <w:bottom w:val="none" w:sz="0" w:space="0" w:color="auto"/>
        <w:right w:val="none" w:sz="0" w:space="0" w:color="auto"/>
      </w:divBdr>
      <w:divsChild>
        <w:div w:id="845369123">
          <w:marLeft w:val="0"/>
          <w:marRight w:val="0"/>
          <w:marTop w:val="0"/>
          <w:marBottom w:val="0"/>
          <w:divBdr>
            <w:top w:val="none" w:sz="0" w:space="0" w:color="auto"/>
            <w:left w:val="none" w:sz="0" w:space="0" w:color="auto"/>
            <w:bottom w:val="none" w:sz="0" w:space="0" w:color="auto"/>
            <w:right w:val="none" w:sz="0" w:space="0" w:color="auto"/>
          </w:divBdr>
          <w:divsChild>
            <w:div w:id="1224873190">
              <w:marLeft w:val="0"/>
              <w:marRight w:val="0"/>
              <w:marTop w:val="0"/>
              <w:marBottom w:val="0"/>
              <w:divBdr>
                <w:top w:val="none" w:sz="0" w:space="0" w:color="auto"/>
                <w:left w:val="none" w:sz="0" w:space="0" w:color="auto"/>
                <w:bottom w:val="none" w:sz="0" w:space="0" w:color="auto"/>
                <w:right w:val="none" w:sz="0" w:space="0" w:color="auto"/>
              </w:divBdr>
              <w:divsChild>
                <w:div w:id="1451239195">
                  <w:marLeft w:val="0"/>
                  <w:marRight w:val="0"/>
                  <w:marTop w:val="0"/>
                  <w:marBottom w:val="0"/>
                  <w:divBdr>
                    <w:top w:val="none" w:sz="0" w:space="0" w:color="auto"/>
                    <w:left w:val="none" w:sz="0" w:space="0" w:color="auto"/>
                    <w:bottom w:val="none" w:sz="0" w:space="0" w:color="auto"/>
                    <w:right w:val="none" w:sz="0" w:space="0" w:color="auto"/>
                  </w:divBdr>
                </w:div>
              </w:divsChild>
            </w:div>
            <w:div w:id="1604606349">
              <w:marLeft w:val="0"/>
              <w:marRight w:val="0"/>
              <w:marTop w:val="0"/>
              <w:marBottom w:val="0"/>
              <w:divBdr>
                <w:top w:val="none" w:sz="0" w:space="0" w:color="auto"/>
                <w:left w:val="none" w:sz="0" w:space="0" w:color="auto"/>
                <w:bottom w:val="none" w:sz="0" w:space="0" w:color="auto"/>
                <w:right w:val="none" w:sz="0" w:space="0" w:color="auto"/>
              </w:divBdr>
              <w:divsChild>
                <w:div w:id="1236237068">
                  <w:marLeft w:val="0"/>
                  <w:marRight w:val="0"/>
                  <w:marTop w:val="0"/>
                  <w:marBottom w:val="0"/>
                  <w:divBdr>
                    <w:top w:val="none" w:sz="0" w:space="0" w:color="auto"/>
                    <w:left w:val="none" w:sz="0" w:space="0" w:color="auto"/>
                    <w:bottom w:val="none" w:sz="0" w:space="0" w:color="auto"/>
                    <w:right w:val="none" w:sz="0" w:space="0" w:color="auto"/>
                  </w:divBdr>
                </w:div>
                <w:div w:id="1394809697">
                  <w:marLeft w:val="0"/>
                  <w:marRight w:val="0"/>
                  <w:marTop w:val="0"/>
                  <w:marBottom w:val="0"/>
                  <w:divBdr>
                    <w:top w:val="none" w:sz="0" w:space="0" w:color="auto"/>
                    <w:left w:val="none" w:sz="0" w:space="0" w:color="auto"/>
                    <w:bottom w:val="none" w:sz="0" w:space="0" w:color="auto"/>
                    <w:right w:val="none" w:sz="0" w:space="0" w:color="auto"/>
                  </w:divBdr>
                </w:div>
              </w:divsChild>
            </w:div>
            <w:div w:id="1995259676">
              <w:marLeft w:val="0"/>
              <w:marRight w:val="0"/>
              <w:marTop w:val="0"/>
              <w:marBottom w:val="0"/>
              <w:divBdr>
                <w:top w:val="none" w:sz="0" w:space="0" w:color="auto"/>
                <w:left w:val="none" w:sz="0" w:space="0" w:color="auto"/>
                <w:bottom w:val="none" w:sz="0" w:space="0" w:color="auto"/>
                <w:right w:val="none" w:sz="0" w:space="0" w:color="auto"/>
              </w:divBdr>
              <w:divsChild>
                <w:div w:id="25644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533226">
          <w:marLeft w:val="0"/>
          <w:marRight w:val="0"/>
          <w:marTop w:val="0"/>
          <w:marBottom w:val="0"/>
          <w:divBdr>
            <w:top w:val="none" w:sz="0" w:space="0" w:color="auto"/>
            <w:left w:val="none" w:sz="0" w:space="0" w:color="auto"/>
            <w:bottom w:val="none" w:sz="0" w:space="0" w:color="auto"/>
            <w:right w:val="none" w:sz="0" w:space="0" w:color="auto"/>
          </w:divBdr>
          <w:divsChild>
            <w:div w:id="1533956196">
              <w:marLeft w:val="0"/>
              <w:marRight w:val="0"/>
              <w:marTop w:val="0"/>
              <w:marBottom w:val="0"/>
              <w:divBdr>
                <w:top w:val="none" w:sz="0" w:space="0" w:color="auto"/>
                <w:left w:val="none" w:sz="0" w:space="0" w:color="auto"/>
                <w:bottom w:val="none" w:sz="0" w:space="0" w:color="auto"/>
                <w:right w:val="none" w:sz="0" w:space="0" w:color="auto"/>
              </w:divBdr>
              <w:divsChild>
                <w:div w:id="5787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94427">
      <w:bodyDiv w:val="1"/>
      <w:marLeft w:val="0"/>
      <w:marRight w:val="0"/>
      <w:marTop w:val="0"/>
      <w:marBottom w:val="0"/>
      <w:divBdr>
        <w:top w:val="none" w:sz="0" w:space="0" w:color="auto"/>
        <w:left w:val="none" w:sz="0" w:space="0" w:color="auto"/>
        <w:bottom w:val="none" w:sz="0" w:space="0" w:color="auto"/>
        <w:right w:val="none" w:sz="0" w:space="0" w:color="auto"/>
      </w:divBdr>
      <w:divsChild>
        <w:div w:id="977421990">
          <w:marLeft w:val="0"/>
          <w:marRight w:val="0"/>
          <w:marTop w:val="0"/>
          <w:marBottom w:val="0"/>
          <w:divBdr>
            <w:top w:val="none" w:sz="0" w:space="0" w:color="auto"/>
            <w:left w:val="none" w:sz="0" w:space="0" w:color="auto"/>
            <w:bottom w:val="none" w:sz="0" w:space="0" w:color="auto"/>
            <w:right w:val="none" w:sz="0" w:space="0" w:color="auto"/>
          </w:divBdr>
          <w:divsChild>
            <w:div w:id="106825143">
              <w:marLeft w:val="0"/>
              <w:marRight w:val="0"/>
              <w:marTop w:val="0"/>
              <w:marBottom w:val="0"/>
              <w:divBdr>
                <w:top w:val="none" w:sz="0" w:space="0" w:color="auto"/>
                <w:left w:val="none" w:sz="0" w:space="0" w:color="auto"/>
                <w:bottom w:val="none" w:sz="0" w:space="0" w:color="auto"/>
                <w:right w:val="none" w:sz="0" w:space="0" w:color="auto"/>
              </w:divBdr>
              <w:divsChild>
                <w:div w:id="1443959676">
                  <w:marLeft w:val="0"/>
                  <w:marRight w:val="0"/>
                  <w:marTop w:val="0"/>
                  <w:marBottom w:val="0"/>
                  <w:divBdr>
                    <w:top w:val="none" w:sz="0" w:space="0" w:color="auto"/>
                    <w:left w:val="none" w:sz="0" w:space="0" w:color="auto"/>
                    <w:bottom w:val="none" w:sz="0" w:space="0" w:color="auto"/>
                    <w:right w:val="none" w:sz="0" w:space="0" w:color="auto"/>
                  </w:divBdr>
                </w:div>
              </w:divsChild>
            </w:div>
            <w:div w:id="664549778">
              <w:marLeft w:val="0"/>
              <w:marRight w:val="0"/>
              <w:marTop w:val="0"/>
              <w:marBottom w:val="0"/>
              <w:divBdr>
                <w:top w:val="none" w:sz="0" w:space="0" w:color="auto"/>
                <w:left w:val="none" w:sz="0" w:space="0" w:color="auto"/>
                <w:bottom w:val="none" w:sz="0" w:space="0" w:color="auto"/>
                <w:right w:val="none" w:sz="0" w:space="0" w:color="auto"/>
              </w:divBdr>
              <w:divsChild>
                <w:div w:id="10463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chart" Target="charts/chart9.xml"/><Relationship Id="rId39" Type="http://schemas.openxmlformats.org/officeDocument/2006/relationships/chart" Target="charts/chart15.xml"/><Relationship Id="rId21" Type="http://schemas.openxmlformats.org/officeDocument/2006/relationships/chart" Target="charts/chart7.xml"/><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2.xml"/><Relationship Id="rId50" Type="http://schemas.openxmlformats.org/officeDocument/2006/relationships/hyperlink" Target="http://www.oecd.org/dac/financing-sustainable-development/development-finance-topics/climate-change.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s://www.legifrance.gouv.fr/codes/article_lc/LEGIARTI000039369458" TargetMode="External"/><Relationship Id="rId11" Type="http://schemas.openxmlformats.org/officeDocument/2006/relationships/image" Target="media/image1.jpg"/><Relationship Id="rId24"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image" Target="media/image9.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image" Target="media/image6.gif"/><Relationship Id="rId44" Type="http://schemas.openxmlformats.org/officeDocument/2006/relationships/chart" Target="charts/chart20.xml"/><Relationship Id="rId52" Type="http://schemas.openxmlformats.org/officeDocument/2006/relationships/image" Target="media/image13.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hart" Target="charts/chart8.xml"/><Relationship Id="rId27" Type="http://schemas.openxmlformats.org/officeDocument/2006/relationships/footer" Target="footer2.xml"/><Relationship Id="rId30" Type="http://schemas.openxmlformats.org/officeDocument/2006/relationships/hyperlink" Target="https://www.ecologie.gouv.fr/sites/default/files/20200318%20Rapport%20d'accompagnement%20SNBC2.pdf" TargetMode="Externa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image" Target="media/image10.emf"/><Relationship Id="rId8" Type="http://schemas.openxmlformats.org/officeDocument/2006/relationships/webSettings" Target="webSetting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image" Target="media/image5.png"/><Relationship Id="rId33" Type="http://schemas.openxmlformats.org/officeDocument/2006/relationships/image" Target="media/image8.png"/><Relationship Id="rId38" Type="http://schemas.openxmlformats.org/officeDocument/2006/relationships/chart" Target="charts/chart14.xml"/><Relationship Id="rId46" Type="http://schemas.openxmlformats.org/officeDocument/2006/relationships/chart" Target="charts/chart21.xml"/><Relationship Id="rId20" Type="http://schemas.openxmlformats.org/officeDocument/2006/relationships/chart" Target="charts/chart6.xml"/><Relationship Id="rId41" Type="http://schemas.openxmlformats.org/officeDocument/2006/relationships/chart" Target="charts/chart1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image" Target="media/image3.png"/><Relationship Id="rId28" Type="http://schemas.openxmlformats.org/officeDocument/2006/relationships/hyperlink" Target="https://www.ecologie.gouv.fr/sites/default/files/2020-03-25_MTES_SNBC2.pd" TargetMode="External"/><Relationship Id="rId36" Type="http://schemas.openxmlformats.org/officeDocument/2006/relationships/chart" Target="charts/chart12.xml"/><Relationship Id="rId49" Type="http://schemas.openxmlformats.org/officeDocument/2006/relationships/image" Target="media/image11.emf"/></Relationships>
</file>

<file path=word/_rels/footnotes.xml.rels><?xml version="1.0" encoding="UTF-8" standalone="yes"?>
<Relationships xmlns="http://schemas.openxmlformats.org/package/2006/relationships"><Relationship Id="rId8" Type="http://schemas.openxmlformats.org/officeDocument/2006/relationships/hyperlink" Target="https://reportnet.europa.eu/public/country/FR" TargetMode="External"/><Relationship Id="rId3" Type="http://schemas.openxmlformats.org/officeDocument/2006/relationships/hyperlink" Target="https://eur-lex.europa.eu/legal-content/FR/TXT/PDF/?uri=CELEX:32019R0807&amp;from=EN" TargetMode="External"/><Relationship Id="rId7" Type="http://schemas.openxmlformats.org/officeDocument/2006/relationships/hyperlink" Target="https://www.ecologique-solidaire.gouv.fr/scenarios-prospectifs-energie-climat-air" TargetMode="External"/><Relationship Id="rId2" Type="http://schemas.openxmlformats.org/officeDocument/2006/relationships/hyperlink" Target="https://www.ecologie.gouv.fr/rapportages-climat-france" TargetMode="External"/><Relationship Id="rId1" Type="http://schemas.openxmlformats.org/officeDocument/2006/relationships/hyperlink" Target="https://www.legifrance.gouv.fr/affichCodeArticle.do?cidTexte=LEGITEXT000006074220&amp;idArticle=LEGIARTI000022476854&amp;" TargetMode="External"/><Relationship Id="rId6" Type="http://schemas.openxmlformats.org/officeDocument/2006/relationships/hyperlink" Target="https://www.ecologie.gouv.fr/sites/default/files/Synth&#232;se_du_sc&#233;nario_AME2021_postQAQC%5b1%5d.pdf" TargetMode="External"/><Relationship Id="rId5" Type="http://schemas.openxmlformats.org/officeDocument/2006/relationships/hyperlink" Target="https://unfccc.int/sites/default/files/resource/BR_FRA_resubmission.pdf" TargetMode="External"/><Relationship Id="rId4" Type="http://schemas.openxmlformats.org/officeDocument/2006/relationships/hyperlink" Target="https://unfccc.int/sites/default/files/resource/BR_FRA_resubmission.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R&#233;daction%20NC8\1%20-%20R&#233;sum&#233;%20analytique\Donnees-G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yanis.chaigneau\Documents\comparaison_ame_am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Projections\graphiques%20projections%20BR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yanis.chaigneau\Documents\calculs_figures_CCNUCC.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yanis.chaigneau\Documents\calculs_figures_CCNUCC.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C:\Users\yanis.chaigneau\Documents\calculs_figures_CCNUCC.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yanis.chaigneau\Documents\calculs_figures_CCNUCC.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yanis.chaigneau\Documents\calculs_figures_CCNUCC.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yanis.chaigneau\Documents\calculs_figures_CCNUCC.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yanis.chaigneau\Documents\calculs_figures_CCNUCC.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yanis.chaigneau\Documents\calculs_figures_CCNUCC.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R&#233;daction%20NC8\1%20-%20R&#233;sum&#233;%20analytique\Donnees-GE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yanis.chaigneau\Documents\calculs_figures_CCNUCC.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file:///\\auth-apn-1.auth.ad.e2.rie.gouv.fr\dgec.scee.dlces\4_Inventaires%20d'&#233;missions,%20prospective%20et%20&#233;valuation\42_Prospective\421_Sc&#233;narios%20prospectifs%20DGEC\4214_Sc&#233;narios%202021\AME%202021\param&#232;tres%20de%20cadrage%20AME%202021%20v5.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oleObject" Target="file:///\\auth-apn-1.auth.ad.e2.rie.gouv.fr\dgec.scee.dlces\4_Inventaires%20d'&#233;missions,%20prospective%20et%20&#233;valuation\42_Prospective\421_Sc&#233;narios%20prospectifs%20DGEC\4214_Sc&#233;narios%202021\AME%202021\param&#232;tres%20de%20cadrage%20AME%202021%20v5.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Chapitres%20%20Inventaires\Donnees-G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Chapitres%20%20Inventaires\Donnees-G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R&#233;daction%20NC8\1%20-%20R&#233;sum&#233;%20analytique\Donnees-G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R&#233;daction%20NC8\1%20-%20R&#233;sum&#233;%20analytique\Donnees-G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R&#233;daction%20NC8\1%20-%20R&#233;sum&#233;%20analytique\Donnees-G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R&#233;daction%20NC8\1%20-%20R&#233;sum&#233;%20analytique\Donnees-G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uth-dgec-1.auth.ad.e2.rie.gouv.fr\dgec.scee.dlces\9_Intranet,%20Internet,%20communication\95_Rapport%20bisannuel\Rapport%202022%20BR5%20NC8\Revue\Progress%20targ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Emission trends within the Convention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v>Energie</c:v>
          </c:tx>
          <c:spPr>
            <a:solidFill>
              <a:schemeClr val="accent1"/>
            </a:solidFill>
            <a:ln>
              <a:noFill/>
            </a:ln>
            <a:effectLst/>
          </c:spPr>
          <c:invertIfNegative val="0"/>
          <c:cat>
            <c:strRef>
              <c:f>'Table10s1 2020 Convention'!$B$1:$AF$1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'Table10s1 2020 Convention'!$B$3:$AF$3</c:f>
              <c:numCache>
                <c:formatCode>#,##0.00</c:formatCode>
                <c:ptCount val="31"/>
                <c:pt idx="0">
                  <c:v>369599.97465804726</c:v>
                </c:pt>
                <c:pt idx="1">
                  <c:v>396968.24320626236</c:v>
                </c:pt>
                <c:pt idx="2">
                  <c:v>387694.87122764671</c:v>
                </c:pt>
                <c:pt idx="3">
                  <c:v>370413.36709214549</c:v>
                </c:pt>
                <c:pt idx="4">
                  <c:v>363164.26872353663</c:v>
                </c:pt>
                <c:pt idx="5">
                  <c:v>368963.82309017866</c:v>
                </c:pt>
                <c:pt idx="6">
                  <c:v>384391.07932159683</c:v>
                </c:pt>
                <c:pt idx="7">
                  <c:v>375192.7530906531</c:v>
                </c:pt>
                <c:pt idx="8">
                  <c:v>394862.0079669336</c:v>
                </c:pt>
                <c:pt idx="9">
                  <c:v>392140.97879660659</c:v>
                </c:pt>
                <c:pt idx="10">
                  <c:v>385100.35721237666</c:v>
                </c:pt>
                <c:pt idx="11">
                  <c:v>391665.72507341165</c:v>
                </c:pt>
                <c:pt idx="12">
                  <c:v>386766.06668323599</c:v>
                </c:pt>
                <c:pt idx="13">
                  <c:v>392726.47331786278</c:v>
                </c:pt>
                <c:pt idx="14">
                  <c:v>392005.12041010795</c:v>
                </c:pt>
                <c:pt idx="15">
                  <c:v>394292.83772501448</c:v>
                </c:pt>
                <c:pt idx="16">
                  <c:v>382405.347983638</c:v>
                </c:pt>
                <c:pt idx="17">
                  <c:v>371762.55124191457</c:v>
                </c:pt>
                <c:pt idx="18">
                  <c:v>369950.99695386639</c:v>
                </c:pt>
                <c:pt idx="19">
                  <c:v>359492.84520053933</c:v>
                </c:pt>
                <c:pt idx="20">
                  <c:v>362097.30557139072</c:v>
                </c:pt>
                <c:pt idx="21">
                  <c:v>339840.58495474939</c:v>
                </c:pt>
                <c:pt idx="22">
                  <c:v>344191.41524837929</c:v>
                </c:pt>
                <c:pt idx="23">
                  <c:v>344297.87815788755</c:v>
                </c:pt>
                <c:pt idx="24">
                  <c:v>312817.42114362342</c:v>
                </c:pt>
                <c:pt idx="25">
                  <c:v>319194.52128604637</c:v>
                </c:pt>
                <c:pt idx="26">
                  <c:v>322634.81217369565</c:v>
                </c:pt>
                <c:pt idx="27">
                  <c:v>324043.50021658279</c:v>
                </c:pt>
                <c:pt idx="28">
                  <c:v>309492.25592481648</c:v>
                </c:pt>
                <c:pt idx="29">
                  <c:v>303587.74225036183</c:v>
                </c:pt>
                <c:pt idx="30">
                  <c:v>270510.55304975936</c:v>
                </c:pt>
              </c:numCache>
            </c:numRef>
          </c:val>
          <c:extLst>
            <c:ext xmlns:c16="http://schemas.microsoft.com/office/drawing/2014/chart" uri="{C3380CC4-5D6E-409C-BE32-E72D297353CC}">
              <c16:uniqueId val="{00000000-3591-4D50-81B3-5D246EE153F0}"/>
            </c:ext>
          </c:extLst>
        </c:ser>
        <c:ser>
          <c:idx val="1"/>
          <c:order val="1"/>
          <c:tx>
            <c:v>Procédés industriels</c:v>
          </c:tx>
          <c:spPr>
            <a:solidFill>
              <a:schemeClr val="accent2"/>
            </a:solidFill>
            <a:ln>
              <a:noFill/>
            </a:ln>
            <a:effectLst/>
          </c:spPr>
          <c:invertIfNegative val="0"/>
          <c:cat>
            <c:strRef>
              <c:f>'Table10s1 2020 Convention'!$B$1:$AF$1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'Table10s1 2020 Convention'!$B$19:$AF$19</c:f>
              <c:numCache>
                <c:formatCode>#,##0.00</c:formatCode>
                <c:ptCount val="31"/>
                <c:pt idx="0">
                  <c:v>78965.61914645214</c:v>
                </c:pt>
                <c:pt idx="1">
                  <c:v>78354.160639730253</c:v>
                </c:pt>
                <c:pt idx="2">
                  <c:v>76161.147044400452</c:v>
                </c:pt>
                <c:pt idx="3">
                  <c:v>73655.631759401003</c:v>
                </c:pt>
                <c:pt idx="4">
                  <c:v>73567.629675612261</c:v>
                </c:pt>
                <c:pt idx="5">
                  <c:v>72298.090801216968</c:v>
                </c:pt>
                <c:pt idx="6">
                  <c:v>73339.175600890449</c:v>
                </c:pt>
                <c:pt idx="7">
                  <c:v>74722.867501004628</c:v>
                </c:pt>
                <c:pt idx="8">
                  <c:v>69325.557248963247</c:v>
                </c:pt>
                <c:pt idx="9">
                  <c:v>65942.33222460837</c:v>
                </c:pt>
                <c:pt idx="10">
                  <c:v>65006.517804370946</c:v>
                </c:pt>
                <c:pt idx="11">
                  <c:v>64101.788202515068</c:v>
                </c:pt>
                <c:pt idx="12">
                  <c:v>64905.651327820509</c:v>
                </c:pt>
                <c:pt idx="13">
                  <c:v>64554.93903972808</c:v>
                </c:pt>
                <c:pt idx="14">
                  <c:v>64071.21858528164</c:v>
                </c:pt>
                <c:pt idx="15">
                  <c:v>63913.313104017987</c:v>
                </c:pt>
                <c:pt idx="16">
                  <c:v>65638.744971496228</c:v>
                </c:pt>
                <c:pt idx="17">
                  <c:v>66331.420658165211</c:v>
                </c:pt>
                <c:pt idx="18">
                  <c:v>61736.27205778908</c:v>
                </c:pt>
                <c:pt idx="19">
                  <c:v>51166.462832811827</c:v>
                </c:pt>
                <c:pt idx="20">
                  <c:v>54165.723161616697</c:v>
                </c:pt>
                <c:pt idx="21">
                  <c:v>53579.203256906483</c:v>
                </c:pt>
                <c:pt idx="22">
                  <c:v>51480.767408459447</c:v>
                </c:pt>
                <c:pt idx="23">
                  <c:v>53024.400525205325</c:v>
                </c:pt>
                <c:pt idx="24">
                  <c:v>52742.596344650636</c:v>
                </c:pt>
                <c:pt idx="25">
                  <c:v>51116.700254588453</c:v>
                </c:pt>
                <c:pt idx="26">
                  <c:v>50895.893798832316</c:v>
                </c:pt>
                <c:pt idx="27">
                  <c:v>52425.104748162143</c:v>
                </c:pt>
                <c:pt idx="28">
                  <c:v>49595.761403096316</c:v>
                </c:pt>
                <c:pt idx="29">
                  <c:v>46655.182265707226</c:v>
                </c:pt>
                <c:pt idx="30">
                  <c:v>40284.483774418251</c:v>
                </c:pt>
              </c:numCache>
            </c:numRef>
          </c:val>
          <c:extLst>
            <c:ext xmlns:c16="http://schemas.microsoft.com/office/drawing/2014/chart" uri="{C3380CC4-5D6E-409C-BE32-E72D297353CC}">
              <c16:uniqueId val="{00000001-3591-4D50-81B3-5D246EE153F0}"/>
            </c:ext>
          </c:extLst>
        </c:ser>
        <c:ser>
          <c:idx val="2"/>
          <c:order val="2"/>
          <c:tx>
            <c:v>Agriculture</c:v>
          </c:tx>
          <c:spPr>
            <a:solidFill>
              <a:srgbClr val="92D050"/>
            </a:solidFill>
            <a:ln>
              <a:noFill/>
            </a:ln>
            <a:effectLst/>
          </c:spPr>
          <c:invertIfNegative val="0"/>
          <c:val>
            <c:numRef>
              <c:f>'Table10s1 2020 Convention'!$B$28:$AF$28</c:f>
              <c:numCache>
                <c:formatCode>#,##0.00</c:formatCode>
                <c:ptCount val="31"/>
                <c:pt idx="0">
                  <c:v>81195.410966652504</c:v>
                </c:pt>
                <c:pt idx="1">
                  <c:v>80769.982388152042</c:v>
                </c:pt>
                <c:pt idx="2">
                  <c:v>79326.855089335004</c:v>
                </c:pt>
                <c:pt idx="3">
                  <c:v>78317.444833381756</c:v>
                </c:pt>
                <c:pt idx="4">
                  <c:v>77909.690858328162</c:v>
                </c:pt>
                <c:pt idx="5">
                  <c:v>78655.445789645673</c:v>
                </c:pt>
                <c:pt idx="6">
                  <c:v>79086.661628869566</c:v>
                </c:pt>
                <c:pt idx="7">
                  <c:v>79413.030639926379</c:v>
                </c:pt>
                <c:pt idx="8">
                  <c:v>79359.29063310819</c:v>
                </c:pt>
                <c:pt idx="9">
                  <c:v>79823.200512706622</c:v>
                </c:pt>
                <c:pt idx="10">
                  <c:v>81653.869230911514</c:v>
                </c:pt>
                <c:pt idx="11">
                  <c:v>81170.096112126688</c:v>
                </c:pt>
                <c:pt idx="12">
                  <c:v>79803.617443896233</c:v>
                </c:pt>
                <c:pt idx="13">
                  <c:v>77107.217184306792</c:v>
                </c:pt>
                <c:pt idx="14">
                  <c:v>77428.546316253371</c:v>
                </c:pt>
                <c:pt idx="15">
                  <c:v>76349.77115455734</c:v>
                </c:pt>
                <c:pt idx="16">
                  <c:v>75949.852909229958</c:v>
                </c:pt>
                <c:pt idx="17">
                  <c:v>76828.001728756164</c:v>
                </c:pt>
                <c:pt idx="18">
                  <c:v>77560.640037179706</c:v>
                </c:pt>
                <c:pt idx="19">
                  <c:v>76692.450331627886</c:v>
                </c:pt>
                <c:pt idx="20">
                  <c:v>75501.415205492973</c:v>
                </c:pt>
                <c:pt idx="21">
                  <c:v>74774.985811186736</c:v>
                </c:pt>
                <c:pt idx="22">
                  <c:v>74703.996015746525</c:v>
                </c:pt>
                <c:pt idx="23">
                  <c:v>74233.06510608588</c:v>
                </c:pt>
                <c:pt idx="24">
                  <c:v>76185.429081535767</c:v>
                </c:pt>
                <c:pt idx="25">
                  <c:v>75992.051320128521</c:v>
                </c:pt>
                <c:pt idx="26">
                  <c:v>74746.886154772757</c:v>
                </c:pt>
                <c:pt idx="27">
                  <c:v>75093.129400226797</c:v>
                </c:pt>
                <c:pt idx="28">
                  <c:v>73801.996989122767</c:v>
                </c:pt>
                <c:pt idx="29">
                  <c:v>72770.509392292544</c:v>
                </c:pt>
                <c:pt idx="30">
                  <c:v>70645.906290391824</c:v>
                </c:pt>
              </c:numCache>
            </c:numRef>
          </c:val>
          <c:extLst>
            <c:ext xmlns:c16="http://schemas.microsoft.com/office/drawing/2014/chart" uri="{C3380CC4-5D6E-409C-BE32-E72D297353CC}">
              <c16:uniqueId val="{00000002-3591-4D50-81B3-5D246EE153F0}"/>
            </c:ext>
          </c:extLst>
        </c:ser>
        <c:ser>
          <c:idx val="3"/>
          <c:order val="3"/>
          <c:tx>
            <c:v>UTCATF</c:v>
          </c:tx>
          <c:spPr>
            <a:solidFill>
              <a:schemeClr val="accent3">
                <a:lumMod val="75000"/>
              </a:schemeClr>
            </a:solidFill>
            <a:ln>
              <a:noFill/>
            </a:ln>
            <a:effectLst/>
          </c:spPr>
          <c:invertIfNegative val="0"/>
          <c:val>
            <c:numRef>
              <c:f>'Table10s1 2020 Convention'!$B$39:$AF$39</c:f>
              <c:numCache>
                <c:formatCode>#,##0.00</c:formatCode>
                <c:ptCount val="31"/>
                <c:pt idx="0">
                  <c:v>-23790.19036360137</c:v>
                </c:pt>
                <c:pt idx="1">
                  <c:v>-23875.181460386528</c:v>
                </c:pt>
                <c:pt idx="2">
                  <c:v>-21737.214121312834</c:v>
                </c:pt>
                <c:pt idx="3">
                  <c:v>-24800.386420940755</c:v>
                </c:pt>
                <c:pt idx="4">
                  <c:v>-22341.161864384922</c:v>
                </c:pt>
                <c:pt idx="5">
                  <c:v>-24683.274622121269</c:v>
                </c:pt>
                <c:pt idx="6">
                  <c:v>-31071.071611552001</c:v>
                </c:pt>
                <c:pt idx="7">
                  <c:v>-31333.24108615578</c:v>
                </c:pt>
                <c:pt idx="8">
                  <c:v>-33243.549813772683</c:v>
                </c:pt>
                <c:pt idx="9">
                  <c:v>-36535.880521851264</c:v>
                </c:pt>
                <c:pt idx="10">
                  <c:v>-20659.187459565685</c:v>
                </c:pt>
                <c:pt idx="11">
                  <c:v>-32237.746165221808</c:v>
                </c:pt>
                <c:pt idx="12">
                  <c:v>-38406.25220075751</c:v>
                </c:pt>
                <c:pt idx="13">
                  <c:v>-42999.377234013882</c:v>
                </c:pt>
                <c:pt idx="14">
                  <c:v>-45136.448264783176</c:v>
                </c:pt>
                <c:pt idx="15">
                  <c:v>-47296.81111804278</c:v>
                </c:pt>
                <c:pt idx="16">
                  <c:v>-48941.205217524606</c:v>
                </c:pt>
                <c:pt idx="17">
                  <c:v>-49029.016978562307</c:v>
                </c:pt>
                <c:pt idx="18">
                  <c:v>-48984.26294746351</c:v>
                </c:pt>
                <c:pt idx="19">
                  <c:v>-37717.681773546326</c:v>
                </c:pt>
                <c:pt idx="20">
                  <c:v>-38583.46369183193</c:v>
                </c:pt>
                <c:pt idx="21">
                  <c:v>-38358.792332939331</c:v>
                </c:pt>
                <c:pt idx="22">
                  <c:v>-41677.253315461399</c:v>
                </c:pt>
                <c:pt idx="23">
                  <c:v>-44598.462340110062</c:v>
                </c:pt>
                <c:pt idx="24">
                  <c:v>-38092.427539027769</c:v>
                </c:pt>
                <c:pt idx="25">
                  <c:v>-34278.502361098414</c:v>
                </c:pt>
                <c:pt idx="26">
                  <c:v>-25189.286342617179</c:v>
                </c:pt>
                <c:pt idx="27">
                  <c:v>-14634.190893670009</c:v>
                </c:pt>
                <c:pt idx="28">
                  <c:v>-14297.139544809326</c:v>
                </c:pt>
                <c:pt idx="29">
                  <c:v>-10097.240160972891</c:v>
                </c:pt>
                <c:pt idx="30">
                  <c:v>-14621.143415960531</c:v>
                </c:pt>
              </c:numCache>
            </c:numRef>
          </c:val>
          <c:extLst>
            <c:ext xmlns:c16="http://schemas.microsoft.com/office/drawing/2014/chart" uri="{C3380CC4-5D6E-409C-BE32-E72D297353CC}">
              <c16:uniqueId val="{00000003-3591-4D50-81B3-5D246EE153F0}"/>
            </c:ext>
          </c:extLst>
        </c:ser>
        <c:ser>
          <c:idx val="4"/>
          <c:order val="4"/>
          <c:tx>
            <c:v>Déchets</c:v>
          </c:tx>
          <c:spPr>
            <a:solidFill>
              <a:srgbClr val="7030A0"/>
            </a:solidFill>
            <a:ln>
              <a:noFill/>
            </a:ln>
            <a:effectLst/>
          </c:spPr>
          <c:invertIfNegative val="0"/>
          <c:val>
            <c:numRef>
              <c:f>'Table10s1 2020 Convention'!$B$48:$AF$48</c:f>
              <c:numCache>
                <c:formatCode>#,##0.00</c:formatCode>
                <c:ptCount val="31"/>
                <c:pt idx="0">
                  <c:v>17422.223889055789</c:v>
                </c:pt>
                <c:pt idx="1">
                  <c:v>18081.947429819582</c:v>
                </c:pt>
                <c:pt idx="2">
                  <c:v>18875.379997070435</c:v>
                </c:pt>
                <c:pt idx="3">
                  <c:v>19658.171117923786</c:v>
                </c:pt>
                <c:pt idx="4">
                  <c:v>20032.830524867379</c:v>
                </c:pt>
                <c:pt idx="5">
                  <c:v>20277.835111994533</c:v>
                </c:pt>
                <c:pt idx="6">
                  <c:v>20351.465930662533</c:v>
                </c:pt>
                <c:pt idx="7">
                  <c:v>20339.759487427411</c:v>
                </c:pt>
                <c:pt idx="8">
                  <c:v>20709.622752070707</c:v>
                </c:pt>
                <c:pt idx="9">
                  <c:v>20877.80931185677</c:v>
                </c:pt>
                <c:pt idx="10">
                  <c:v>21240.992186787174</c:v>
                </c:pt>
                <c:pt idx="11">
                  <c:v>21420.831133932377</c:v>
                </c:pt>
                <c:pt idx="12">
                  <c:v>21611.500395140065</c:v>
                </c:pt>
                <c:pt idx="13">
                  <c:v>21747.677334112137</c:v>
                </c:pt>
                <c:pt idx="14">
                  <c:v>21602.332592900977</c:v>
                </c:pt>
                <c:pt idx="15">
                  <c:v>21564.627108274595</c:v>
                </c:pt>
                <c:pt idx="16">
                  <c:v>21593.497785810814</c:v>
                </c:pt>
                <c:pt idx="17">
                  <c:v>21453.023410691439</c:v>
                </c:pt>
                <c:pt idx="18">
                  <c:v>21474.886909845016</c:v>
                </c:pt>
                <c:pt idx="19">
                  <c:v>20862.138520790821</c:v>
                </c:pt>
                <c:pt idx="20">
                  <c:v>20989.048155854362</c:v>
                </c:pt>
                <c:pt idx="21">
                  <c:v>20558.675664233582</c:v>
                </c:pt>
                <c:pt idx="22">
                  <c:v>19880.050098397503</c:v>
                </c:pt>
                <c:pt idx="23">
                  <c:v>19780.442540626249</c:v>
                </c:pt>
                <c:pt idx="24">
                  <c:v>19444.04352003715</c:v>
                </c:pt>
                <c:pt idx="25">
                  <c:v>18187.995562993674</c:v>
                </c:pt>
                <c:pt idx="26">
                  <c:v>18099.386180554888</c:v>
                </c:pt>
                <c:pt idx="27">
                  <c:v>18156.890296700327</c:v>
                </c:pt>
                <c:pt idx="28">
                  <c:v>17897.063201050558</c:v>
                </c:pt>
                <c:pt idx="29">
                  <c:v>18474.578681548381</c:v>
                </c:pt>
                <c:pt idx="30">
                  <c:v>17971.724977449583</c:v>
                </c:pt>
              </c:numCache>
            </c:numRef>
          </c:val>
          <c:extLst>
            <c:ext xmlns:c16="http://schemas.microsoft.com/office/drawing/2014/chart" uri="{C3380CC4-5D6E-409C-BE32-E72D297353CC}">
              <c16:uniqueId val="{00000004-3591-4D50-81B3-5D246EE153F0}"/>
            </c:ext>
          </c:extLst>
        </c:ser>
        <c:dLbls>
          <c:showLegendKey val="0"/>
          <c:showVal val="0"/>
          <c:showCatName val="0"/>
          <c:showSerName val="0"/>
          <c:showPercent val="0"/>
          <c:showBubbleSize val="0"/>
        </c:dLbls>
        <c:gapWidth val="219"/>
        <c:overlap val="100"/>
        <c:axId val="2026340607"/>
        <c:axId val="2026342271"/>
      </c:barChart>
      <c:catAx>
        <c:axId val="2026340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6342271"/>
        <c:crossesAt val="-30000"/>
        <c:auto val="1"/>
        <c:lblAlgn val="ctr"/>
        <c:lblOffset val="100"/>
        <c:tickLblSkip val="2"/>
        <c:noMultiLvlLbl val="0"/>
      </c:catAx>
      <c:valAx>
        <c:axId val="20263422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ktCO2eq</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6340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baseline="0">
                <a:effectLst/>
              </a:rPr>
              <a:t>Emissions excluding LULUCF, Kyoto scope</a:t>
            </a:r>
            <a:endParaRPr lang="fr-FR"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5"/>
          <c:order val="0"/>
          <c:tx>
            <c:strRef>
              <c:f>Feuil1!$B$37</c:f>
              <c:strCache>
                <c:ptCount val="1"/>
                <c:pt idx="0">
                  <c:v>Historique</c:v>
                </c:pt>
              </c:strCache>
            </c:strRef>
          </c:tx>
          <c:spPr>
            <a:ln w="19050" cap="rnd">
              <a:solidFill>
                <a:schemeClr val="accent1"/>
              </a:solidFill>
              <a:round/>
            </a:ln>
            <a:effectLst/>
          </c:spPr>
          <c:marker>
            <c:symbol val="none"/>
          </c:marker>
          <c:xVal>
            <c:numRef>
              <c:f>Feuil1!$B$40:$AE$40</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xVal>
          <c:yVal>
            <c:numRef>
              <c:f>Feuil1!$B$41:$AE$41</c:f>
              <c:numCache>
                <c:formatCode>0.00</c:formatCode>
                <c:ptCount val="30"/>
                <c:pt idx="0">
                  <c:v>544.08640504911114</c:v>
                </c:pt>
                <c:pt idx="1">
                  <c:v>570.96202802198366</c:v>
                </c:pt>
                <c:pt idx="2">
                  <c:v>558.76148139002271</c:v>
                </c:pt>
                <c:pt idx="3">
                  <c:v>538.60700659237534</c:v>
                </c:pt>
                <c:pt idx="4">
                  <c:v>531.22591024468818</c:v>
                </c:pt>
                <c:pt idx="5">
                  <c:v>536.47553370364858</c:v>
                </c:pt>
                <c:pt idx="6">
                  <c:v>553.48594359310732</c:v>
                </c:pt>
                <c:pt idx="7">
                  <c:v>545.92267050468718</c:v>
                </c:pt>
                <c:pt idx="8">
                  <c:v>560.38615043782738</c:v>
                </c:pt>
                <c:pt idx="9">
                  <c:v>554.86711994159316</c:v>
                </c:pt>
                <c:pt idx="10">
                  <c:v>549.00516597447393</c:v>
                </c:pt>
                <c:pt idx="11">
                  <c:v>554.19313177749154</c:v>
                </c:pt>
                <c:pt idx="12">
                  <c:v>548.6097419832895</c:v>
                </c:pt>
                <c:pt idx="13">
                  <c:v>551.64616316215995</c:v>
                </c:pt>
                <c:pt idx="14">
                  <c:v>550.62067427753834</c:v>
                </c:pt>
                <c:pt idx="15">
                  <c:v>551.39112523150402</c:v>
                </c:pt>
                <c:pt idx="16">
                  <c:v>540.90781148848509</c:v>
                </c:pt>
                <c:pt idx="17">
                  <c:v>531.57397496341889</c:v>
                </c:pt>
                <c:pt idx="18">
                  <c:v>526.06065166725898</c:v>
                </c:pt>
                <c:pt idx="19">
                  <c:v>503.43502484599236</c:v>
                </c:pt>
                <c:pt idx="20">
                  <c:v>507.46801065307523</c:v>
                </c:pt>
                <c:pt idx="21">
                  <c:v>483.26382111423646</c:v>
                </c:pt>
                <c:pt idx="22">
                  <c:v>484.76589626947793</c:v>
                </c:pt>
                <c:pt idx="23">
                  <c:v>485.60533033086369</c:v>
                </c:pt>
                <c:pt idx="24">
                  <c:v>454.61367943939558</c:v>
                </c:pt>
                <c:pt idx="25">
                  <c:v>457.92374571373034</c:v>
                </c:pt>
                <c:pt idx="26">
                  <c:v>459.32885856765569</c:v>
                </c:pt>
                <c:pt idx="27">
                  <c:v>462.59121677460394</c:v>
                </c:pt>
                <c:pt idx="28">
                  <c:v>443.32135981431094</c:v>
                </c:pt>
                <c:pt idx="29">
                  <c:v>434.53977351930041</c:v>
                </c:pt>
              </c:numCache>
            </c:numRef>
          </c:yVal>
          <c:smooth val="0"/>
          <c:extLst>
            <c:ext xmlns:c16="http://schemas.microsoft.com/office/drawing/2014/chart" uri="{C3380CC4-5D6E-409C-BE32-E72D297353CC}">
              <c16:uniqueId val="{00000000-FC85-4F39-8B29-BA9B38E910B8}"/>
            </c:ext>
          </c:extLst>
        </c:ser>
        <c:ser>
          <c:idx val="2"/>
          <c:order val="3"/>
          <c:tx>
            <c:strRef>
              <c:f>Feuil1!$B$8</c:f>
              <c:strCache>
                <c:ptCount val="1"/>
                <c:pt idx="0">
                  <c:v>AME 2021</c:v>
                </c:pt>
              </c:strCache>
            </c:strRef>
          </c:tx>
          <c:spPr>
            <a:ln w="19050" cap="rnd">
              <a:solidFill>
                <a:schemeClr val="accent2"/>
              </a:solidFill>
              <a:round/>
            </a:ln>
            <a:effectLst/>
          </c:spPr>
          <c:marker>
            <c:symbol val="none"/>
          </c:marker>
          <c:xVal>
            <c:numRef>
              <c:f>Feuil1!$D$5:$K$5</c:f>
              <c:numCache>
                <c:formatCode>General</c:formatCode>
                <c:ptCount val="8"/>
                <c:pt idx="0">
                  <c:v>2019</c:v>
                </c:pt>
                <c:pt idx="1">
                  <c:v>2020</c:v>
                </c:pt>
                <c:pt idx="2">
                  <c:v>2025</c:v>
                </c:pt>
                <c:pt idx="3">
                  <c:v>2030</c:v>
                </c:pt>
                <c:pt idx="4">
                  <c:v>2035</c:v>
                </c:pt>
                <c:pt idx="5">
                  <c:v>2040</c:v>
                </c:pt>
                <c:pt idx="6">
                  <c:v>2045</c:v>
                </c:pt>
                <c:pt idx="7">
                  <c:v>2050</c:v>
                </c:pt>
              </c:numCache>
            </c:numRef>
          </c:xVal>
          <c:yVal>
            <c:numRef>
              <c:f>Feuil1!$D$8:$K$8</c:f>
              <c:numCache>
                <c:formatCode>General</c:formatCode>
                <c:ptCount val="8"/>
                <c:pt idx="0">
                  <c:v>435.99862392302089</c:v>
                </c:pt>
                <c:pt idx="1">
                  <c:v>398.67635445806309</c:v>
                </c:pt>
                <c:pt idx="2">
                  <c:v>391.78846839189674</c:v>
                </c:pt>
                <c:pt idx="3">
                  <c:v>366.868028052792</c:v>
                </c:pt>
                <c:pt idx="4">
                  <c:v>354.37127993244144</c:v>
                </c:pt>
                <c:pt idx="5">
                  <c:v>341.30837616422247</c:v>
                </c:pt>
                <c:pt idx="6">
                  <c:v>335.75300362113018</c:v>
                </c:pt>
                <c:pt idx="7">
                  <c:v>329.65294392142027</c:v>
                </c:pt>
              </c:numCache>
            </c:numRef>
          </c:yVal>
          <c:smooth val="0"/>
          <c:extLst>
            <c:ext xmlns:c16="http://schemas.microsoft.com/office/drawing/2014/chart" uri="{C3380CC4-5D6E-409C-BE32-E72D297353CC}">
              <c16:uniqueId val="{00000001-FC85-4F39-8B29-BA9B38E910B8}"/>
            </c:ext>
          </c:extLst>
        </c:ser>
        <c:ser>
          <c:idx val="3"/>
          <c:order val="4"/>
          <c:tx>
            <c:strRef>
              <c:f>Feuil1!$B$9</c:f>
              <c:strCache>
                <c:ptCount val="1"/>
                <c:pt idx="0">
                  <c:v>AME 2018</c:v>
                </c:pt>
              </c:strCache>
            </c:strRef>
          </c:tx>
          <c:spPr>
            <a:ln w="19050" cap="rnd">
              <a:solidFill>
                <a:schemeClr val="accent3"/>
              </a:solidFill>
              <a:prstDash val="sysDash"/>
              <a:round/>
            </a:ln>
            <a:effectLst/>
          </c:spPr>
          <c:marker>
            <c:symbol val="none"/>
          </c:marker>
          <c:xVal>
            <c:numRef>
              <c:f>Feuil1!$C$5:$K$5</c:f>
              <c:numCache>
                <c:formatCode>General</c:formatCode>
                <c:ptCount val="9"/>
                <c:pt idx="0">
                  <c:v>2015</c:v>
                </c:pt>
                <c:pt idx="1">
                  <c:v>2019</c:v>
                </c:pt>
                <c:pt idx="2">
                  <c:v>2020</c:v>
                </c:pt>
                <c:pt idx="3">
                  <c:v>2025</c:v>
                </c:pt>
                <c:pt idx="4">
                  <c:v>2030</c:v>
                </c:pt>
                <c:pt idx="5">
                  <c:v>2035</c:v>
                </c:pt>
                <c:pt idx="6">
                  <c:v>2040</c:v>
                </c:pt>
                <c:pt idx="7">
                  <c:v>2045</c:v>
                </c:pt>
                <c:pt idx="8">
                  <c:v>2050</c:v>
                </c:pt>
              </c:numCache>
            </c:numRef>
          </c:xVal>
          <c:yVal>
            <c:numRef>
              <c:f>Feuil1!$C$9:$K$9</c:f>
              <c:numCache>
                <c:formatCode>0</c:formatCode>
                <c:ptCount val="9"/>
                <c:pt idx="0" formatCode="General">
                  <c:v>458.06</c:v>
                </c:pt>
                <c:pt idx="1">
                  <c:v>461.92667063409959</c:v>
                </c:pt>
                <c:pt idx="2">
                  <c:v>461.34423984830323</c:v>
                </c:pt>
                <c:pt idx="3">
                  <c:v>434.44156850991612</c:v>
                </c:pt>
                <c:pt idx="4">
                  <c:v>416.45147252204612</c:v>
                </c:pt>
                <c:pt idx="5">
                  <c:v>406.20611511207682</c:v>
                </c:pt>
                <c:pt idx="6">
                  <c:v>395.96075770210757</c:v>
                </c:pt>
                <c:pt idx="7">
                  <c:v>385.71540029213827</c:v>
                </c:pt>
                <c:pt idx="8">
                  <c:v>375.47004288216897</c:v>
                </c:pt>
              </c:numCache>
            </c:numRef>
          </c:yVal>
          <c:smooth val="0"/>
          <c:extLst>
            <c:ext xmlns:c16="http://schemas.microsoft.com/office/drawing/2014/chart" uri="{C3380CC4-5D6E-409C-BE32-E72D297353CC}">
              <c16:uniqueId val="{00000002-FC85-4F39-8B29-BA9B38E910B8}"/>
            </c:ext>
          </c:extLst>
        </c:ser>
        <c:ser>
          <c:idx val="4"/>
          <c:order val="5"/>
          <c:tx>
            <c:strRef>
              <c:f>Feuil1!$B$10</c:f>
              <c:strCache>
                <c:ptCount val="1"/>
                <c:pt idx="0">
                  <c:v>AMS 2018</c:v>
                </c:pt>
              </c:strCache>
            </c:strRef>
          </c:tx>
          <c:spPr>
            <a:ln w="19050" cap="rnd">
              <a:solidFill>
                <a:schemeClr val="accent4"/>
              </a:solidFill>
              <a:round/>
            </a:ln>
            <a:effectLst/>
          </c:spPr>
          <c:marker>
            <c:symbol val="none"/>
          </c:marker>
          <c:xVal>
            <c:numRef>
              <c:f>Feuil1!$C$5:$K$5</c:f>
              <c:numCache>
                <c:formatCode>General</c:formatCode>
                <c:ptCount val="9"/>
                <c:pt idx="0">
                  <c:v>2015</c:v>
                </c:pt>
                <c:pt idx="1">
                  <c:v>2019</c:v>
                </c:pt>
                <c:pt idx="2">
                  <c:v>2020</c:v>
                </c:pt>
                <c:pt idx="3">
                  <c:v>2025</c:v>
                </c:pt>
                <c:pt idx="4">
                  <c:v>2030</c:v>
                </c:pt>
                <c:pt idx="5">
                  <c:v>2035</c:v>
                </c:pt>
                <c:pt idx="6">
                  <c:v>2040</c:v>
                </c:pt>
                <c:pt idx="7">
                  <c:v>2045</c:v>
                </c:pt>
                <c:pt idx="8">
                  <c:v>2050</c:v>
                </c:pt>
              </c:numCache>
            </c:numRef>
          </c:xVal>
          <c:yVal>
            <c:numRef>
              <c:f>Feuil1!$C$10:$K$10</c:f>
              <c:numCache>
                <c:formatCode>General</c:formatCode>
                <c:ptCount val="9"/>
                <c:pt idx="0">
                  <c:v>464</c:v>
                </c:pt>
                <c:pt idx="1">
                  <c:v>443.039446299845</c:v>
                </c:pt>
                <c:pt idx="2">
                  <c:v>436.41988941580001</c:v>
                </c:pt>
                <c:pt idx="3">
                  <c:v>370.32988626425703</c:v>
                </c:pt>
                <c:pt idx="4">
                  <c:v>310.13413489554699</c:v>
                </c:pt>
                <c:pt idx="5">
                  <c:v>248.77767375783901</c:v>
                </c:pt>
                <c:pt idx="6">
                  <c:v>187.42121262013001</c:v>
                </c:pt>
                <c:pt idx="7">
                  <c:v>126.064751482422</c:v>
                </c:pt>
                <c:pt idx="8">
                  <c:v>64.708290344713603</c:v>
                </c:pt>
              </c:numCache>
            </c:numRef>
          </c:yVal>
          <c:smooth val="0"/>
          <c:extLst>
            <c:ext xmlns:c16="http://schemas.microsoft.com/office/drawing/2014/chart" uri="{C3380CC4-5D6E-409C-BE32-E72D297353CC}">
              <c16:uniqueId val="{00000003-FC85-4F39-8B29-BA9B38E910B8}"/>
            </c:ext>
          </c:extLst>
        </c:ser>
        <c:dLbls>
          <c:showLegendKey val="0"/>
          <c:showVal val="0"/>
          <c:showCatName val="0"/>
          <c:showSerName val="0"/>
          <c:showPercent val="0"/>
          <c:showBubbleSize val="0"/>
        </c:dLbls>
        <c:axId val="858766223"/>
        <c:axId val="858778703"/>
        <c:extLst>
          <c:ext xmlns:c15="http://schemas.microsoft.com/office/drawing/2012/chart" uri="{02D57815-91ED-43cb-92C2-25804820EDAC}">
            <c15:filteredScatterSeries>
              <c15:ser>
                <c:idx val="0"/>
                <c:order val="1"/>
                <c:tx>
                  <c:strRef>
                    <c:extLst>
                      <c:ext uri="{02D57815-91ED-43cb-92C2-25804820EDAC}">
                        <c15:formulaRef>
                          <c15:sqref>Feuil1!$B$6</c15:sqref>
                        </c15:formulaRef>
                      </c:ext>
                    </c:extLst>
                    <c:strCache>
                      <c:ptCount val="1"/>
                      <c:pt idx="0">
                        <c:v>AME 2023</c:v>
                      </c:pt>
                    </c:strCache>
                  </c:strRef>
                </c:tx>
                <c:spPr>
                  <a:ln w="19050" cap="rnd">
                    <a:solidFill>
                      <a:schemeClr val="accent1"/>
                    </a:solidFill>
                    <a:round/>
                  </a:ln>
                  <a:effectLst/>
                </c:spPr>
                <c:marker>
                  <c:symbol val="none"/>
                </c:marker>
                <c:xVal>
                  <c:numRef>
                    <c:extLst>
                      <c:ext uri="{02D57815-91ED-43cb-92C2-25804820EDAC}">
                        <c15:formulaRef>
                          <c15:sqref>Feuil1!$D$5:$K$5</c15:sqref>
                        </c15:formulaRef>
                      </c:ext>
                    </c:extLst>
                    <c:numCache>
                      <c:formatCode>General</c:formatCode>
                      <c:ptCount val="8"/>
                      <c:pt idx="0">
                        <c:v>2019</c:v>
                      </c:pt>
                      <c:pt idx="1">
                        <c:v>2020</c:v>
                      </c:pt>
                      <c:pt idx="2">
                        <c:v>2025</c:v>
                      </c:pt>
                      <c:pt idx="3">
                        <c:v>2030</c:v>
                      </c:pt>
                      <c:pt idx="4">
                        <c:v>2035</c:v>
                      </c:pt>
                      <c:pt idx="5">
                        <c:v>2040</c:v>
                      </c:pt>
                      <c:pt idx="6">
                        <c:v>2045</c:v>
                      </c:pt>
                      <c:pt idx="7">
                        <c:v>2050</c:v>
                      </c:pt>
                    </c:numCache>
                  </c:numRef>
                </c:xVal>
                <c:yVal>
                  <c:numRef>
                    <c:extLst>
                      <c:ext uri="{02D57815-91ED-43cb-92C2-25804820EDAC}">
                        <c15:formulaRef>
                          <c15:sqref>Feuil1!$D$6:$K$6</c15:sqref>
                        </c15:formulaRef>
                      </c:ext>
                    </c:extLst>
                    <c:numCache>
                      <c:formatCode>General</c:formatCode>
                      <c:ptCount val="8"/>
                      <c:pt idx="0">
                        <c:v>434.53977351930047</c:v>
                      </c:pt>
                      <c:pt idx="1">
                        <c:v>392.96256817549704</c:v>
                      </c:pt>
                      <c:pt idx="2">
                        <c:v>377.09788602996173</c:v>
                      </c:pt>
                      <c:pt idx="3">
                        <c:v>343.63385358868788</c:v>
                      </c:pt>
                      <c:pt idx="4">
                        <c:v>315.13747104973652</c:v>
                      </c:pt>
                      <c:pt idx="5">
                        <c:v>292.77935612400171</c:v>
                      </c:pt>
                      <c:pt idx="6">
                        <c:v>276.25805690686485</c:v>
                      </c:pt>
                      <c:pt idx="7">
                        <c:v>270.84150851693789</c:v>
                      </c:pt>
                    </c:numCache>
                  </c:numRef>
                </c:yVal>
                <c:smooth val="0"/>
                <c:extLst>
                  <c:ext xmlns:c16="http://schemas.microsoft.com/office/drawing/2014/chart" uri="{C3380CC4-5D6E-409C-BE32-E72D297353CC}">
                    <c16:uniqueId val="{00000004-FC85-4F39-8B29-BA9B38E910B8}"/>
                  </c:ext>
                </c:extLst>
              </c15:ser>
            </c15:filteredScatterSeries>
            <c15:filteredScatterSeries>
              <c15:ser>
                <c:idx val="1"/>
                <c:order val="2"/>
                <c:tx>
                  <c:strRef>
                    <c:extLst xmlns:c15="http://schemas.microsoft.com/office/drawing/2012/chart">
                      <c:ext xmlns:c15="http://schemas.microsoft.com/office/drawing/2012/chart" uri="{02D57815-91ED-43cb-92C2-25804820EDAC}">
                        <c15:formulaRef>
                          <c15:sqref>Feuil1!$B$7</c15:sqref>
                        </c15:formulaRef>
                      </c:ext>
                    </c:extLst>
                    <c:strCache>
                      <c:ptCount val="1"/>
                      <c:pt idx="0">
                        <c:v>AMS 2023 run 1</c:v>
                      </c:pt>
                    </c:strCache>
                  </c:strRef>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Feuil1!$D$5:$K$5</c15:sqref>
                        </c15:formulaRef>
                      </c:ext>
                    </c:extLst>
                    <c:numCache>
                      <c:formatCode>General</c:formatCode>
                      <c:ptCount val="8"/>
                      <c:pt idx="0">
                        <c:v>2019</c:v>
                      </c:pt>
                      <c:pt idx="1">
                        <c:v>2020</c:v>
                      </c:pt>
                      <c:pt idx="2">
                        <c:v>2025</c:v>
                      </c:pt>
                      <c:pt idx="3">
                        <c:v>2030</c:v>
                      </c:pt>
                      <c:pt idx="4">
                        <c:v>2035</c:v>
                      </c:pt>
                      <c:pt idx="5">
                        <c:v>2040</c:v>
                      </c:pt>
                      <c:pt idx="6">
                        <c:v>2045</c:v>
                      </c:pt>
                      <c:pt idx="7">
                        <c:v>2050</c:v>
                      </c:pt>
                    </c:numCache>
                  </c:numRef>
                </c:xVal>
                <c:yVal>
                  <c:numRef>
                    <c:extLst xmlns:c15="http://schemas.microsoft.com/office/drawing/2012/chart">
                      <c:ext xmlns:c15="http://schemas.microsoft.com/office/drawing/2012/chart" uri="{02D57815-91ED-43cb-92C2-25804820EDAC}">
                        <c15:formulaRef>
                          <c15:sqref>Feuil1!$D$7:$K$7</c15:sqref>
                        </c15:formulaRef>
                      </c:ext>
                    </c:extLst>
                    <c:numCache>
                      <c:formatCode>General</c:formatCode>
                      <c:ptCount val="8"/>
                      <c:pt idx="0">
                        <c:v>434.64710333829277</c:v>
                      </c:pt>
                      <c:pt idx="1">
                        <c:v>393</c:v>
                      </c:pt>
                      <c:pt idx="2">
                        <c:v>344.44911670728897</c:v>
                      </c:pt>
                      <c:pt idx="3">
                        <c:v>264.99272560385185</c:v>
                      </c:pt>
                      <c:pt idx="4">
                        <c:v>202.04721000805864</c:v>
                      </c:pt>
                      <c:pt idx="5">
                        <c:v>147.14954133525498</c:v>
                      </c:pt>
                      <c:pt idx="6">
                        <c:v>113.32881193066169</c:v>
                      </c:pt>
                      <c:pt idx="7">
                        <c:v>87.02033564931736</c:v>
                      </c:pt>
                    </c:numCache>
                  </c:numRef>
                </c:yVal>
                <c:smooth val="0"/>
                <c:extLst xmlns:c15="http://schemas.microsoft.com/office/drawing/2012/chart">
                  <c:ext xmlns:c16="http://schemas.microsoft.com/office/drawing/2014/chart" uri="{C3380CC4-5D6E-409C-BE32-E72D297353CC}">
                    <c16:uniqueId val="{00000005-FC85-4F39-8B29-BA9B38E910B8}"/>
                  </c:ext>
                </c:extLst>
              </c15:ser>
            </c15:filteredScatterSeries>
          </c:ext>
        </c:extLst>
      </c:scatterChart>
      <c:valAx>
        <c:axId val="8587662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778703"/>
        <c:crosses val="autoZero"/>
        <c:crossBetween val="midCat"/>
      </c:valAx>
      <c:valAx>
        <c:axId val="858778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0" i="0" baseline="0">
                    <a:effectLst/>
                  </a:rPr>
                  <a:t>MtCO2e</a:t>
                </a:r>
                <a:endParaRPr lang="fr-FR" sz="1000">
                  <a:effectLst/>
                </a:endParaRPr>
              </a:p>
            </c:rich>
          </c:tx>
          <c:layout>
            <c:manualLayout>
              <c:xMode val="edge"/>
              <c:yMode val="edge"/>
              <c:x val="1.9255455712451863E-2"/>
              <c:y val="0.421753986332574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76622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Emissions with LULUCF, Kyoto scope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Feuil1!$A$12</c:f>
              <c:strCache>
                <c:ptCount val="1"/>
                <c:pt idx="0">
                  <c:v>Historique</c:v>
                </c:pt>
              </c:strCache>
            </c:strRef>
          </c:tx>
          <c:spPr>
            <a:ln w="19050" cap="rnd">
              <a:solidFill>
                <a:schemeClr val="accent1"/>
              </a:solidFill>
              <a:round/>
            </a:ln>
            <a:effectLst/>
          </c:spPr>
          <c:marker>
            <c:symbol val="none"/>
          </c:marker>
          <c:xVal>
            <c:numRef>
              <c:f>Feuil1!$B$11:$AL$11</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2025</c:v>
                </c:pt>
                <c:pt idx="32">
                  <c:v>2030</c:v>
                </c:pt>
                <c:pt idx="33">
                  <c:v>2035</c:v>
                </c:pt>
                <c:pt idx="34">
                  <c:v>2040</c:v>
                </c:pt>
                <c:pt idx="35">
                  <c:v>2045</c:v>
                </c:pt>
                <c:pt idx="36">
                  <c:v>2050</c:v>
                </c:pt>
              </c:numCache>
            </c:numRef>
          </c:xVal>
          <c:yVal>
            <c:numRef>
              <c:f>Feuil1!$B$12:$AL$12</c:f>
              <c:numCache>
                <c:formatCode>General</c:formatCode>
                <c:ptCount val="37"/>
                <c:pt idx="0">
                  <c:v>522.1</c:v>
                </c:pt>
                <c:pt idx="1">
                  <c:v>548</c:v>
                </c:pt>
                <c:pt idx="2">
                  <c:v>539.6</c:v>
                </c:pt>
                <c:pt idx="3">
                  <c:v>515.79999999999995</c:v>
                </c:pt>
                <c:pt idx="4">
                  <c:v>510.4</c:v>
                </c:pt>
                <c:pt idx="5">
                  <c:v>513.79999999999995</c:v>
                </c:pt>
                <c:pt idx="6">
                  <c:v>525.79999999999995</c:v>
                </c:pt>
                <c:pt idx="7">
                  <c:v>518.29999999999995</c:v>
                </c:pt>
                <c:pt idx="8">
                  <c:v>529.70000000000005</c:v>
                </c:pt>
                <c:pt idx="9">
                  <c:v>520.29999999999995</c:v>
                </c:pt>
                <c:pt idx="10">
                  <c:v>531</c:v>
                </c:pt>
                <c:pt idx="11">
                  <c:v>524.29999999999995</c:v>
                </c:pt>
                <c:pt idx="12">
                  <c:v>509.2</c:v>
                </c:pt>
                <c:pt idx="13">
                  <c:v>510.7</c:v>
                </c:pt>
                <c:pt idx="14">
                  <c:v>506.4</c:v>
                </c:pt>
                <c:pt idx="15">
                  <c:v>506.5</c:v>
                </c:pt>
                <c:pt idx="16">
                  <c:v>494.4</c:v>
                </c:pt>
                <c:pt idx="17">
                  <c:v>485.1</c:v>
                </c:pt>
                <c:pt idx="18">
                  <c:v>478.1</c:v>
                </c:pt>
                <c:pt idx="19">
                  <c:v>466.5</c:v>
                </c:pt>
                <c:pt idx="20">
                  <c:v>472.3</c:v>
                </c:pt>
                <c:pt idx="21">
                  <c:v>447.8</c:v>
                </c:pt>
                <c:pt idx="22">
                  <c:v>447</c:v>
                </c:pt>
                <c:pt idx="23">
                  <c:v>444.7</c:v>
                </c:pt>
                <c:pt idx="24">
                  <c:v>419.7</c:v>
                </c:pt>
                <c:pt idx="25">
                  <c:v>426.5</c:v>
                </c:pt>
                <c:pt idx="26">
                  <c:v>426.2</c:v>
                </c:pt>
                <c:pt idx="27">
                  <c:v>431.3</c:v>
                </c:pt>
                <c:pt idx="28">
                  <c:v>413.9</c:v>
                </c:pt>
                <c:pt idx="29">
                  <c:v>405.3</c:v>
                </c:pt>
                <c:pt idx="30">
                  <c:v>364.9</c:v>
                </c:pt>
              </c:numCache>
            </c:numRef>
          </c:yVal>
          <c:smooth val="1"/>
          <c:extLst>
            <c:ext xmlns:c16="http://schemas.microsoft.com/office/drawing/2014/chart" uri="{C3380CC4-5D6E-409C-BE32-E72D297353CC}">
              <c16:uniqueId val="{00000000-663E-447E-A9C5-E8F920CA6AA9}"/>
            </c:ext>
          </c:extLst>
        </c:ser>
        <c:ser>
          <c:idx val="1"/>
          <c:order val="1"/>
          <c:tx>
            <c:strRef>
              <c:f>Feuil1!$A$13</c:f>
              <c:strCache>
                <c:ptCount val="1"/>
                <c:pt idx="0">
                  <c:v>AME 2021</c:v>
                </c:pt>
              </c:strCache>
            </c:strRef>
          </c:tx>
          <c:spPr>
            <a:ln w="19050" cap="rnd">
              <a:solidFill>
                <a:schemeClr val="accent2"/>
              </a:solidFill>
              <a:round/>
            </a:ln>
            <a:effectLst/>
          </c:spPr>
          <c:marker>
            <c:symbol val="none"/>
          </c:marker>
          <c:xVal>
            <c:numRef>
              <c:f>Feuil1!$B$11:$AL$11</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2025</c:v>
                </c:pt>
                <c:pt idx="32">
                  <c:v>2030</c:v>
                </c:pt>
                <c:pt idx="33">
                  <c:v>2035</c:v>
                </c:pt>
                <c:pt idx="34">
                  <c:v>2040</c:v>
                </c:pt>
                <c:pt idx="35">
                  <c:v>2045</c:v>
                </c:pt>
                <c:pt idx="36">
                  <c:v>2050</c:v>
                </c:pt>
              </c:numCache>
            </c:numRef>
          </c:xVal>
          <c:yVal>
            <c:numRef>
              <c:f>Feuil1!$B$13:$AL$13</c:f>
              <c:numCache>
                <c:formatCode>General</c:formatCode>
                <c:ptCount val="37"/>
                <c:pt idx="25">
                  <c:v>426.50043226744629</c:v>
                </c:pt>
                <c:pt idx="26">
                  <c:v>426.2</c:v>
                </c:pt>
                <c:pt idx="27">
                  <c:v>431.3</c:v>
                </c:pt>
                <c:pt idx="28">
                  <c:v>413.85654830380076</c:v>
                </c:pt>
                <c:pt idx="29">
                  <c:v>405.26011353185726</c:v>
                </c:pt>
                <c:pt idx="30">
                  <c:v>365.83810838823354</c:v>
                </c:pt>
                <c:pt idx="31">
                  <c:v>363.3494446901102</c:v>
                </c:pt>
                <c:pt idx="32">
                  <c:v>340.61787712910399</c:v>
                </c:pt>
                <c:pt idx="33">
                  <c:v>332.88583206956412</c:v>
                </c:pt>
                <c:pt idx="34">
                  <c:v>321.96914458128549</c:v>
                </c:pt>
                <c:pt idx="35">
                  <c:v>319.68309215016956</c:v>
                </c:pt>
                <c:pt idx="36">
                  <c:v>317.02609314185935</c:v>
                </c:pt>
              </c:numCache>
            </c:numRef>
          </c:yVal>
          <c:smooth val="1"/>
          <c:extLst>
            <c:ext xmlns:c16="http://schemas.microsoft.com/office/drawing/2014/chart" uri="{C3380CC4-5D6E-409C-BE32-E72D297353CC}">
              <c16:uniqueId val="{00000001-663E-447E-A9C5-E8F920CA6AA9}"/>
            </c:ext>
          </c:extLst>
        </c:ser>
        <c:ser>
          <c:idx val="3"/>
          <c:order val="2"/>
          <c:tx>
            <c:strRef>
              <c:f>Feuil1!$A$15</c:f>
              <c:strCache>
                <c:ptCount val="1"/>
                <c:pt idx="0">
                  <c:v>AMS 2018</c:v>
                </c:pt>
              </c:strCache>
            </c:strRef>
          </c:tx>
          <c:spPr>
            <a:ln w="19050" cap="rnd">
              <a:solidFill>
                <a:schemeClr val="accent4"/>
              </a:solidFill>
              <a:round/>
            </a:ln>
            <a:effectLst/>
          </c:spPr>
          <c:marker>
            <c:symbol val="none"/>
          </c:marker>
          <c:xVal>
            <c:numRef>
              <c:f>Feuil1!$B$11:$AL$11</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2025</c:v>
                </c:pt>
                <c:pt idx="32">
                  <c:v>2030</c:v>
                </c:pt>
                <c:pt idx="33">
                  <c:v>2035</c:v>
                </c:pt>
                <c:pt idx="34">
                  <c:v>2040</c:v>
                </c:pt>
                <c:pt idx="35">
                  <c:v>2045</c:v>
                </c:pt>
                <c:pt idx="36">
                  <c:v>2050</c:v>
                </c:pt>
              </c:numCache>
            </c:numRef>
          </c:xVal>
          <c:yVal>
            <c:numRef>
              <c:f>Feuil1!$B$15:$AL$15</c:f>
              <c:numCache>
                <c:formatCode>General</c:formatCode>
                <c:ptCount val="37"/>
                <c:pt idx="25">
                  <c:v>423</c:v>
                </c:pt>
                <c:pt idx="26">
                  <c:v>420</c:v>
                </c:pt>
                <c:pt idx="27">
                  <c:v>416</c:v>
                </c:pt>
                <c:pt idx="28">
                  <c:v>410</c:v>
                </c:pt>
                <c:pt idx="29">
                  <c:v>404</c:v>
                </c:pt>
                <c:pt idx="30">
                  <c:v>397</c:v>
                </c:pt>
                <c:pt idx="31">
                  <c:v>332.65882083722499</c:v>
                </c:pt>
                <c:pt idx="32">
                  <c:v>269.97418729286602</c:v>
                </c:pt>
                <c:pt idx="33">
                  <c:v>201.870785391467</c:v>
                </c:pt>
                <c:pt idx="34">
                  <c:v>133.767383490068</c:v>
                </c:pt>
                <c:pt idx="35">
                  <c:v>65.663981588668904</c:v>
                </c:pt>
                <c:pt idx="36">
                  <c:v>-2.43942031273011</c:v>
                </c:pt>
              </c:numCache>
            </c:numRef>
          </c:yVal>
          <c:smooth val="1"/>
          <c:extLst>
            <c:ext xmlns:c16="http://schemas.microsoft.com/office/drawing/2014/chart" uri="{C3380CC4-5D6E-409C-BE32-E72D297353CC}">
              <c16:uniqueId val="{00000002-663E-447E-A9C5-E8F920CA6AA9}"/>
            </c:ext>
          </c:extLst>
        </c:ser>
        <c:ser>
          <c:idx val="2"/>
          <c:order val="3"/>
          <c:tx>
            <c:strRef>
              <c:f>Feuil1!$A$16</c:f>
              <c:strCache>
                <c:ptCount val="1"/>
                <c:pt idx="0">
                  <c:v>AME 2018</c:v>
                </c:pt>
              </c:strCache>
            </c:strRef>
          </c:tx>
          <c:spPr>
            <a:ln w="19050" cap="rnd">
              <a:solidFill>
                <a:schemeClr val="accent3"/>
              </a:solidFill>
              <a:prstDash val="sysDash"/>
              <a:round/>
            </a:ln>
            <a:effectLst/>
          </c:spPr>
          <c:marker>
            <c:symbol val="none"/>
          </c:marker>
          <c:xVal>
            <c:numRef>
              <c:f>Feuil1!$AA$11:$AL$11</c:f>
              <c:numCache>
                <c:formatCode>General</c:formatCode>
                <c:ptCount val="12"/>
                <c:pt idx="0">
                  <c:v>2015</c:v>
                </c:pt>
                <c:pt idx="1">
                  <c:v>2016</c:v>
                </c:pt>
                <c:pt idx="2">
                  <c:v>2017</c:v>
                </c:pt>
                <c:pt idx="3">
                  <c:v>2018</c:v>
                </c:pt>
                <c:pt idx="4">
                  <c:v>2019</c:v>
                </c:pt>
                <c:pt idx="5">
                  <c:v>2020</c:v>
                </c:pt>
                <c:pt idx="6">
                  <c:v>2025</c:v>
                </c:pt>
                <c:pt idx="7">
                  <c:v>2030</c:v>
                </c:pt>
                <c:pt idx="8">
                  <c:v>2035</c:v>
                </c:pt>
                <c:pt idx="9">
                  <c:v>2040</c:v>
                </c:pt>
                <c:pt idx="10">
                  <c:v>2045</c:v>
                </c:pt>
                <c:pt idx="11">
                  <c:v>2050</c:v>
                </c:pt>
              </c:numCache>
            </c:numRef>
          </c:xVal>
          <c:yVal>
            <c:numRef>
              <c:f>Feuil1!$AA$16:$AL$16</c:f>
              <c:numCache>
                <c:formatCode>General</c:formatCode>
                <c:ptCount val="12"/>
                <c:pt idx="0">
                  <c:v>417.23</c:v>
                </c:pt>
                <c:pt idx="1">
                  <c:v>421.59</c:v>
                </c:pt>
                <c:pt idx="2">
                  <c:v>421.90249999999997</c:v>
                </c:pt>
                <c:pt idx="3">
                  <c:v>422.21499999999997</c:v>
                </c:pt>
                <c:pt idx="4">
                  <c:v>422.52749999999997</c:v>
                </c:pt>
                <c:pt idx="5">
                  <c:v>422.84</c:v>
                </c:pt>
                <c:pt idx="6">
                  <c:v>402.84</c:v>
                </c:pt>
                <c:pt idx="7">
                  <c:v>387.41</c:v>
                </c:pt>
                <c:pt idx="8">
                  <c:v>381.02</c:v>
                </c:pt>
                <c:pt idx="9">
                  <c:v>374.63</c:v>
                </c:pt>
                <c:pt idx="10">
                  <c:v>368.24</c:v>
                </c:pt>
                <c:pt idx="11">
                  <c:v>361.85</c:v>
                </c:pt>
              </c:numCache>
            </c:numRef>
          </c:yVal>
          <c:smooth val="1"/>
          <c:extLst>
            <c:ext xmlns:c16="http://schemas.microsoft.com/office/drawing/2014/chart" uri="{C3380CC4-5D6E-409C-BE32-E72D297353CC}">
              <c16:uniqueId val="{00000003-663E-447E-A9C5-E8F920CA6AA9}"/>
            </c:ext>
          </c:extLst>
        </c:ser>
        <c:dLbls>
          <c:showLegendKey val="0"/>
          <c:showVal val="0"/>
          <c:showCatName val="0"/>
          <c:showSerName val="0"/>
          <c:showPercent val="0"/>
          <c:showBubbleSize val="0"/>
        </c:dLbls>
        <c:axId val="2087189263"/>
        <c:axId val="2087190511"/>
      </c:scatterChart>
      <c:valAx>
        <c:axId val="20871892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190511"/>
        <c:crosses val="autoZero"/>
        <c:crossBetween val="midCat"/>
      </c:valAx>
      <c:valAx>
        <c:axId val="2087190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MtCO2e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18926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AME 21 by sector</a:t>
            </a:r>
          </a:p>
        </c:rich>
      </c:tx>
      <c:overlay val="0"/>
      <c:spPr>
        <a:noFill/>
        <a:ln>
          <a:noFill/>
        </a:ln>
        <a:effectLst/>
      </c:spPr>
    </c:title>
    <c:autoTitleDeleted val="0"/>
    <c:plotArea>
      <c:layout/>
      <c:scatterChart>
        <c:scatterStyle val="smoothMarker"/>
        <c:varyColors val="0"/>
        <c:ser>
          <c:idx val="20"/>
          <c:order val="0"/>
          <c:tx>
            <c:strRef>
              <c:f>Feuil7!$B$5</c:f>
              <c:strCache>
                <c:ptCount val="1"/>
                <c:pt idx="0">
                  <c:v>Energy </c:v>
                </c:pt>
              </c:strCache>
            </c:strRef>
          </c:tx>
          <c:spPr>
            <a:ln>
              <a:solidFill>
                <a:schemeClr val="accent1"/>
              </a:solidFill>
            </a:ln>
          </c:spPr>
          <c:marker>
            <c:symbol val="none"/>
          </c:marker>
          <c:xVal>
            <c:numRef>
              <c:f>Feuil7!$C$4:$I$4</c:f>
              <c:numCache>
                <c:formatCode>General</c:formatCode>
                <c:ptCount val="7"/>
                <c:pt idx="0">
                  <c:v>1990</c:v>
                </c:pt>
                <c:pt idx="1">
                  <c:v>1995</c:v>
                </c:pt>
                <c:pt idx="2">
                  <c:v>2000</c:v>
                </c:pt>
                <c:pt idx="3">
                  <c:v>2005</c:v>
                </c:pt>
                <c:pt idx="4">
                  <c:v>2010</c:v>
                </c:pt>
                <c:pt idx="5">
                  <c:v>2015</c:v>
                </c:pt>
                <c:pt idx="6">
                  <c:v>2019</c:v>
                </c:pt>
              </c:numCache>
            </c:numRef>
          </c:xVal>
          <c:yVal>
            <c:numRef>
              <c:f>Feuil7!$C$5:$I$5</c:f>
              <c:numCache>
                <c:formatCode>General</c:formatCode>
                <c:ptCount val="7"/>
                <c:pt idx="0">
                  <c:v>367272</c:v>
                </c:pt>
                <c:pt idx="1">
                  <c:v>366079</c:v>
                </c:pt>
                <c:pt idx="2">
                  <c:v>381989</c:v>
                </c:pt>
                <c:pt idx="3">
                  <c:v>390391</c:v>
                </c:pt>
                <c:pt idx="4">
                  <c:v>357711</c:v>
                </c:pt>
                <c:pt idx="5">
                  <c:v>313634</c:v>
                </c:pt>
                <c:pt idx="6">
                  <c:v>297313</c:v>
                </c:pt>
              </c:numCache>
            </c:numRef>
          </c:yVal>
          <c:smooth val="1"/>
          <c:extLst>
            <c:ext xmlns:c16="http://schemas.microsoft.com/office/drawing/2014/chart" uri="{C3380CC4-5D6E-409C-BE32-E72D297353CC}">
              <c16:uniqueId val="{00000000-8A03-483E-B72A-6CA4652DD280}"/>
            </c:ext>
          </c:extLst>
        </c:ser>
        <c:ser>
          <c:idx val="21"/>
          <c:order val="1"/>
          <c:tx>
            <c:strRef>
              <c:f>Feuil7!$B$6</c:f>
              <c:strCache>
                <c:ptCount val="1"/>
                <c:pt idx="0">
                  <c:v>Energy (projections)</c:v>
                </c:pt>
              </c:strCache>
            </c:strRef>
          </c:tx>
          <c:spPr>
            <a:ln>
              <a:solidFill>
                <a:schemeClr val="accent1"/>
              </a:solidFill>
              <a:prstDash val="sysDash"/>
            </a:ln>
          </c:spPr>
          <c:marker>
            <c:symbol val="none"/>
          </c:marker>
          <c:xVal>
            <c:numRef>
              <c:f>Feuil7!$I$4:$N$4</c:f>
              <c:numCache>
                <c:formatCode>General</c:formatCode>
                <c:ptCount val="6"/>
                <c:pt idx="0">
                  <c:v>2019</c:v>
                </c:pt>
                <c:pt idx="1">
                  <c:v>2020</c:v>
                </c:pt>
                <c:pt idx="2">
                  <c:v>2025</c:v>
                </c:pt>
                <c:pt idx="3">
                  <c:v>2030</c:v>
                </c:pt>
                <c:pt idx="4">
                  <c:v>2035</c:v>
                </c:pt>
                <c:pt idx="5">
                  <c:v>2050</c:v>
                </c:pt>
              </c:numCache>
            </c:numRef>
          </c:xVal>
          <c:yVal>
            <c:numRef>
              <c:f>Feuil7!$I$6:$N$6</c:f>
              <c:numCache>
                <c:formatCode>General</c:formatCode>
                <c:ptCount val="6"/>
                <c:pt idx="0">
                  <c:v>297313</c:v>
                </c:pt>
                <c:pt idx="1">
                  <c:v>264395</c:v>
                </c:pt>
                <c:pt idx="2">
                  <c:v>261598</c:v>
                </c:pt>
                <c:pt idx="3">
                  <c:v>240639</c:v>
                </c:pt>
                <c:pt idx="4">
                  <c:v>231245</c:v>
                </c:pt>
                <c:pt idx="5">
                  <c:v>211199</c:v>
                </c:pt>
              </c:numCache>
            </c:numRef>
          </c:yVal>
          <c:smooth val="1"/>
          <c:extLst>
            <c:ext xmlns:c16="http://schemas.microsoft.com/office/drawing/2014/chart" uri="{C3380CC4-5D6E-409C-BE32-E72D297353CC}">
              <c16:uniqueId val="{00000001-8A03-483E-B72A-6CA4652DD280}"/>
            </c:ext>
          </c:extLst>
        </c:ser>
        <c:ser>
          <c:idx val="22"/>
          <c:order val="2"/>
          <c:tx>
            <c:strRef>
              <c:f>Feuil7!$B$7</c:f>
              <c:strCache>
                <c:ptCount val="1"/>
                <c:pt idx="0">
                  <c:v>IPPU</c:v>
                </c:pt>
              </c:strCache>
            </c:strRef>
          </c:tx>
          <c:spPr>
            <a:ln>
              <a:solidFill>
                <a:schemeClr val="accent2"/>
              </a:solidFill>
            </a:ln>
          </c:spPr>
          <c:marker>
            <c:symbol val="none"/>
          </c:marker>
          <c:xVal>
            <c:numRef>
              <c:f>Feuil7!$C$4:$I$4</c:f>
              <c:numCache>
                <c:formatCode>General</c:formatCode>
                <c:ptCount val="7"/>
                <c:pt idx="0">
                  <c:v>1990</c:v>
                </c:pt>
                <c:pt idx="1">
                  <c:v>1995</c:v>
                </c:pt>
                <c:pt idx="2">
                  <c:v>2000</c:v>
                </c:pt>
                <c:pt idx="3">
                  <c:v>2005</c:v>
                </c:pt>
                <c:pt idx="4">
                  <c:v>2010</c:v>
                </c:pt>
                <c:pt idx="5">
                  <c:v>2015</c:v>
                </c:pt>
                <c:pt idx="6">
                  <c:v>2019</c:v>
                </c:pt>
              </c:numCache>
            </c:numRef>
          </c:xVal>
          <c:yVal>
            <c:numRef>
              <c:f>Feuil7!$C$7:$I$7</c:f>
              <c:numCache>
                <c:formatCode>General</c:formatCode>
                <c:ptCount val="7"/>
                <c:pt idx="0">
                  <c:v>78729</c:v>
                </c:pt>
                <c:pt idx="1">
                  <c:v>71997</c:v>
                </c:pt>
                <c:pt idx="2">
                  <c:v>64668</c:v>
                </c:pt>
                <c:pt idx="3">
                  <c:v>63620</c:v>
                </c:pt>
                <c:pt idx="4">
                  <c:v>53798</c:v>
                </c:pt>
                <c:pt idx="5">
                  <c:v>50664</c:v>
                </c:pt>
                <c:pt idx="6">
                  <c:v>46564</c:v>
                </c:pt>
              </c:numCache>
            </c:numRef>
          </c:yVal>
          <c:smooth val="1"/>
          <c:extLst>
            <c:ext xmlns:c16="http://schemas.microsoft.com/office/drawing/2014/chart" uri="{C3380CC4-5D6E-409C-BE32-E72D297353CC}">
              <c16:uniqueId val="{00000002-8A03-483E-B72A-6CA4652DD280}"/>
            </c:ext>
          </c:extLst>
        </c:ser>
        <c:ser>
          <c:idx val="0"/>
          <c:order val="3"/>
          <c:tx>
            <c:strRef>
              <c:f>Feuil7!$B$8</c:f>
              <c:strCache>
                <c:ptCount val="1"/>
                <c:pt idx="0">
                  <c:v>IPPU (projections)</c:v>
                </c:pt>
              </c:strCache>
            </c:strRef>
          </c:tx>
          <c:spPr>
            <a:ln>
              <a:solidFill>
                <a:schemeClr val="accent2"/>
              </a:solidFill>
              <a:prstDash val="sysDash"/>
            </a:ln>
          </c:spPr>
          <c:marker>
            <c:symbol val="none"/>
          </c:marker>
          <c:xVal>
            <c:numRef>
              <c:f>Feuil7!$I$4:$N$4</c:f>
              <c:numCache>
                <c:formatCode>General</c:formatCode>
                <c:ptCount val="6"/>
                <c:pt idx="0">
                  <c:v>2019</c:v>
                </c:pt>
                <c:pt idx="1">
                  <c:v>2020</c:v>
                </c:pt>
                <c:pt idx="2">
                  <c:v>2025</c:v>
                </c:pt>
                <c:pt idx="3">
                  <c:v>2030</c:v>
                </c:pt>
                <c:pt idx="4">
                  <c:v>2035</c:v>
                </c:pt>
                <c:pt idx="5">
                  <c:v>2050</c:v>
                </c:pt>
              </c:numCache>
            </c:numRef>
          </c:xVal>
          <c:yVal>
            <c:numRef>
              <c:f>Feuil7!$I$8:$N$8</c:f>
              <c:numCache>
                <c:formatCode>General</c:formatCode>
                <c:ptCount val="6"/>
                <c:pt idx="0">
                  <c:v>46564</c:v>
                </c:pt>
                <c:pt idx="1">
                  <c:v>43717</c:v>
                </c:pt>
                <c:pt idx="2">
                  <c:v>41701</c:v>
                </c:pt>
                <c:pt idx="3">
                  <c:v>39058</c:v>
                </c:pt>
                <c:pt idx="4">
                  <c:v>36794</c:v>
                </c:pt>
                <c:pt idx="5">
                  <c:v>33455</c:v>
                </c:pt>
              </c:numCache>
            </c:numRef>
          </c:yVal>
          <c:smooth val="1"/>
          <c:extLst>
            <c:ext xmlns:c16="http://schemas.microsoft.com/office/drawing/2014/chart" uri="{C3380CC4-5D6E-409C-BE32-E72D297353CC}">
              <c16:uniqueId val="{00000003-8A03-483E-B72A-6CA4652DD280}"/>
            </c:ext>
          </c:extLst>
        </c:ser>
        <c:ser>
          <c:idx val="23"/>
          <c:order val="4"/>
          <c:tx>
            <c:strRef>
              <c:f>Feuil7!$B$9</c:f>
              <c:strCache>
                <c:ptCount val="1"/>
                <c:pt idx="0">
                  <c:v>Agriculture (excluding energy) </c:v>
                </c:pt>
              </c:strCache>
            </c:strRef>
          </c:tx>
          <c:spPr>
            <a:ln>
              <a:solidFill>
                <a:schemeClr val="accent3"/>
              </a:solidFill>
            </a:ln>
          </c:spPr>
          <c:marker>
            <c:symbol val="none"/>
          </c:marker>
          <c:xVal>
            <c:numRef>
              <c:f>Feuil7!$C$4:$I$4</c:f>
              <c:numCache>
                <c:formatCode>General</c:formatCode>
                <c:ptCount val="7"/>
                <c:pt idx="0">
                  <c:v>1990</c:v>
                </c:pt>
                <c:pt idx="1">
                  <c:v>1995</c:v>
                </c:pt>
                <c:pt idx="2">
                  <c:v>2000</c:v>
                </c:pt>
                <c:pt idx="3">
                  <c:v>2005</c:v>
                </c:pt>
                <c:pt idx="4">
                  <c:v>2010</c:v>
                </c:pt>
                <c:pt idx="5">
                  <c:v>2015</c:v>
                </c:pt>
                <c:pt idx="6">
                  <c:v>2019</c:v>
                </c:pt>
              </c:numCache>
            </c:numRef>
          </c:xVal>
          <c:yVal>
            <c:numRef>
              <c:f>Feuil7!$C$9:$I$9</c:f>
              <c:numCache>
                <c:formatCode>General</c:formatCode>
                <c:ptCount val="7"/>
                <c:pt idx="0">
                  <c:v>80803</c:v>
                </c:pt>
                <c:pt idx="1">
                  <c:v>78281</c:v>
                </c:pt>
                <c:pt idx="2">
                  <c:v>81292</c:v>
                </c:pt>
                <c:pt idx="3">
                  <c:v>76018</c:v>
                </c:pt>
                <c:pt idx="4">
                  <c:v>75203</c:v>
                </c:pt>
                <c:pt idx="5">
                  <c:v>75720</c:v>
                </c:pt>
                <c:pt idx="6">
                  <c:v>72498</c:v>
                </c:pt>
              </c:numCache>
            </c:numRef>
          </c:yVal>
          <c:smooth val="1"/>
          <c:extLst>
            <c:ext xmlns:c16="http://schemas.microsoft.com/office/drawing/2014/chart" uri="{C3380CC4-5D6E-409C-BE32-E72D297353CC}">
              <c16:uniqueId val="{00000004-8A03-483E-B72A-6CA4652DD280}"/>
            </c:ext>
          </c:extLst>
        </c:ser>
        <c:ser>
          <c:idx val="1"/>
          <c:order val="5"/>
          <c:tx>
            <c:strRef>
              <c:f>Feuil7!$B$10</c:f>
              <c:strCache>
                <c:ptCount val="1"/>
                <c:pt idx="0">
                  <c:v>Agriculture (projections)</c:v>
                </c:pt>
              </c:strCache>
            </c:strRef>
          </c:tx>
          <c:spPr>
            <a:ln w="19050" cap="rnd">
              <a:solidFill>
                <a:schemeClr val="accent3"/>
              </a:solidFill>
              <a:prstDash val="sysDash"/>
              <a:round/>
            </a:ln>
            <a:effectLst/>
          </c:spPr>
          <c:marker>
            <c:symbol val="none"/>
          </c:marker>
          <c:xVal>
            <c:numRef>
              <c:f>Feuil7!$I$4:$N$4</c:f>
              <c:numCache>
                <c:formatCode>General</c:formatCode>
                <c:ptCount val="6"/>
                <c:pt idx="0">
                  <c:v>2019</c:v>
                </c:pt>
                <c:pt idx="1">
                  <c:v>2020</c:v>
                </c:pt>
                <c:pt idx="2">
                  <c:v>2025</c:v>
                </c:pt>
                <c:pt idx="3">
                  <c:v>2030</c:v>
                </c:pt>
                <c:pt idx="4">
                  <c:v>2035</c:v>
                </c:pt>
                <c:pt idx="5">
                  <c:v>2050</c:v>
                </c:pt>
              </c:numCache>
            </c:numRef>
          </c:xVal>
          <c:yVal>
            <c:numRef>
              <c:f>Feuil7!$I$10:$N$10</c:f>
              <c:numCache>
                <c:formatCode>General</c:formatCode>
                <c:ptCount val="6"/>
                <c:pt idx="0">
                  <c:v>72498</c:v>
                </c:pt>
                <c:pt idx="1">
                  <c:v>73050</c:v>
                </c:pt>
                <c:pt idx="2">
                  <c:v>72080</c:v>
                </c:pt>
                <c:pt idx="3">
                  <c:v>71043</c:v>
                </c:pt>
                <c:pt idx="4">
                  <c:v>70093</c:v>
                </c:pt>
                <c:pt idx="5">
                  <c:v>68253</c:v>
                </c:pt>
              </c:numCache>
            </c:numRef>
          </c:yVal>
          <c:smooth val="1"/>
          <c:extLst>
            <c:ext xmlns:c16="http://schemas.microsoft.com/office/drawing/2014/chart" uri="{C3380CC4-5D6E-409C-BE32-E72D297353CC}">
              <c16:uniqueId val="{00000005-8A03-483E-B72A-6CA4652DD280}"/>
            </c:ext>
          </c:extLst>
        </c:ser>
        <c:ser>
          <c:idx val="24"/>
          <c:order val="6"/>
          <c:tx>
            <c:strRef>
              <c:f>Feuil7!$B$11</c:f>
              <c:strCache>
                <c:ptCount val="1"/>
                <c:pt idx="0">
                  <c:v>LULUCF </c:v>
                </c:pt>
              </c:strCache>
            </c:strRef>
          </c:tx>
          <c:spPr>
            <a:ln>
              <a:solidFill>
                <a:schemeClr val="accent4"/>
              </a:solidFill>
            </a:ln>
          </c:spPr>
          <c:marker>
            <c:symbol val="none"/>
          </c:marker>
          <c:xVal>
            <c:numRef>
              <c:f>Feuil7!$C$4:$I$4</c:f>
              <c:numCache>
                <c:formatCode>General</c:formatCode>
                <c:ptCount val="7"/>
                <c:pt idx="0">
                  <c:v>1990</c:v>
                </c:pt>
                <c:pt idx="1">
                  <c:v>1995</c:v>
                </c:pt>
                <c:pt idx="2">
                  <c:v>2000</c:v>
                </c:pt>
                <c:pt idx="3">
                  <c:v>2005</c:v>
                </c:pt>
                <c:pt idx="4">
                  <c:v>2010</c:v>
                </c:pt>
                <c:pt idx="5">
                  <c:v>2015</c:v>
                </c:pt>
                <c:pt idx="6">
                  <c:v>2019</c:v>
                </c:pt>
              </c:numCache>
            </c:numRef>
          </c:xVal>
          <c:yVal>
            <c:numRef>
              <c:f>Feuil7!$C$11:$I$11</c:f>
              <c:numCache>
                <c:formatCode>General</c:formatCode>
                <c:ptCount val="7"/>
                <c:pt idx="0">
                  <c:v>-23986</c:v>
                </c:pt>
                <c:pt idx="1">
                  <c:v>-24879</c:v>
                </c:pt>
                <c:pt idx="2">
                  <c:v>-19709</c:v>
                </c:pt>
                <c:pt idx="3">
                  <c:v>-47311</c:v>
                </c:pt>
                <c:pt idx="4">
                  <c:v>-38355</c:v>
                </c:pt>
                <c:pt idx="5">
                  <c:v>-34577</c:v>
                </c:pt>
                <c:pt idx="6">
                  <c:v>-12288</c:v>
                </c:pt>
              </c:numCache>
            </c:numRef>
          </c:yVal>
          <c:smooth val="1"/>
          <c:extLst>
            <c:ext xmlns:c16="http://schemas.microsoft.com/office/drawing/2014/chart" uri="{C3380CC4-5D6E-409C-BE32-E72D297353CC}">
              <c16:uniqueId val="{00000006-8A03-483E-B72A-6CA4652DD280}"/>
            </c:ext>
          </c:extLst>
        </c:ser>
        <c:ser>
          <c:idx val="2"/>
          <c:order val="7"/>
          <c:tx>
            <c:strRef>
              <c:f>Feuil7!$B$12</c:f>
              <c:strCache>
                <c:ptCount val="1"/>
                <c:pt idx="0">
                  <c:v>LULUCF (projections)</c:v>
                </c:pt>
              </c:strCache>
            </c:strRef>
          </c:tx>
          <c:spPr>
            <a:ln>
              <a:solidFill>
                <a:schemeClr val="accent4"/>
              </a:solidFill>
              <a:prstDash val="sysDash"/>
            </a:ln>
          </c:spPr>
          <c:marker>
            <c:symbol val="none"/>
          </c:marker>
          <c:xVal>
            <c:numRef>
              <c:f>Feuil7!$I$4:$N$4</c:f>
              <c:numCache>
                <c:formatCode>General</c:formatCode>
                <c:ptCount val="6"/>
                <c:pt idx="0">
                  <c:v>2019</c:v>
                </c:pt>
                <c:pt idx="1">
                  <c:v>2020</c:v>
                </c:pt>
                <c:pt idx="2">
                  <c:v>2025</c:v>
                </c:pt>
                <c:pt idx="3">
                  <c:v>2030</c:v>
                </c:pt>
                <c:pt idx="4">
                  <c:v>2035</c:v>
                </c:pt>
                <c:pt idx="5">
                  <c:v>2050</c:v>
                </c:pt>
              </c:numCache>
            </c:numRef>
          </c:xVal>
          <c:yVal>
            <c:numRef>
              <c:f>Feuil7!$I$12:$N$12</c:f>
              <c:numCache>
                <c:formatCode>General</c:formatCode>
                <c:ptCount val="6"/>
                <c:pt idx="0">
                  <c:v>-12288</c:v>
                </c:pt>
                <c:pt idx="1">
                  <c:v>-32838</c:v>
                </c:pt>
                <c:pt idx="2">
                  <c:v>-28746</c:v>
                </c:pt>
                <c:pt idx="3">
                  <c:v>-26431</c:v>
                </c:pt>
                <c:pt idx="4">
                  <c:v>-21560</c:v>
                </c:pt>
                <c:pt idx="5">
                  <c:v>-12627</c:v>
                </c:pt>
              </c:numCache>
            </c:numRef>
          </c:yVal>
          <c:smooth val="1"/>
          <c:extLst>
            <c:ext xmlns:c16="http://schemas.microsoft.com/office/drawing/2014/chart" uri="{C3380CC4-5D6E-409C-BE32-E72D297353CC}">
              <c16:uniqueId val="{00000007-8A03-483E-B72A-6CA4652DD280}"/>
            </c:ext>
          </c:extLst>
        </c:ser>
        <c:dLbls>
          <c:showLegendKey val="0"/>
          <c:showVal val="0"/>
          <c:showCatName val="0"/>
          <c:showSerName val="0"/>
          <c:showPercent val="0"/>
          <c:showBubbleSize val="0"/>
        </c:dLbls>
        <c:axId val="1424416096"/>
        <c:axId val="1424419424"/>
      </c:scatterChart>
      <c:valAx>
        <c:axId val="1424416096"/>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4419424"/>
        <c:crosses val="autoZero"/>
        <c:crossBetween val="midCat"/>
      </c:valAx>
      <c:valAx>
        <c:axId val="142441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GB" sz="1000" b="0" i="0" u="none" strike="noStrike" baseline="0">
                    <a:effectLst/>
                  </a:rPr>
                  <a:t>ktCO</a:t>
                </a:r>
                <a:r>
                  <a:rPr lang="en-GB" sz="1000" b="0" i="0" u="none" strike="noStrike" baseline="-25000">
                    <a:effectLst/>
                  </a:rPr>
                  <a:t>2e</a:t>
                </a:r>
                <a:endParaRPr lang="fr-F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4416096"/>
        <c:crosses val="autoZero"/>
        <c:crossBetween val="midCat"/>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ln>
      <a:noFill/>
    </a:ln>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AMS</a:t>
            </a:r>
            <a:r>
              <a:rPr lang="fr-FR" baseline="0"/>
              <a:t> 18 by sector</a:t>
            </a:r>
            <a:endParaRPr lang="fr-FR"/>
          </a:p>
        </c:rich>
      </c:tx>
      <c:overlay val="0"/>
      <c:spPr>
        <a:noFill/>
        <a:ln>
          <a:noFill/>
        </a:ln>
        <a:effectLst/>
      </c:spPr>
    </c:title>
    <c:autoTitleDeleted val="0"/>
    <c:plotArea>
      <c:layout/>
      <c:scatterChart>
        <c:scatterStyle val="smoothMarker"/>
        <c:varyColors val="0"/>
        <c:ser>
          <c:idx val="20"/>
          <c:order val="0"/>
          <c:tx>
            <c:strRef>
              <c:f>'Feuil7 (2)'!$B$5</c:f>
              <c:strCache>
                <c:ptCount val="1"/>
                <c:pt idx="0">
                  <c:v>Energy </c:v>
                </c:pt>
              </c:strCache>
            </c:strRef>
          </c:tx>
          <c:spPr>
            <a:ln>
              <a:solidFill>
                <a:schemeClr val="accent1"/>
              </a:solidFill>
            </a:ln>
          </c:spPr>
          <c:marker>
            <c:symbol val="none"/>
          </c:marker>
          <c:xVal>
            <c:numRef>
              <c:f>'Feuil7 (2)'!$C$4:$I$4</c:f>
              <c:numCache>
                <c:formatCode>General</c:formatCode>
                <c:ptCount val="7"/>
                <c:pt idx="0">
                  <c:v>1990</c:v>
                </c:pt>
                <c:pt idx="1">
                  <c:v>1995</c:v>
                </c:pt>
                <c:pt idx="2">
                  <c:v>2000</c:v>
                </c:pt>
                <c:pt idx="3">
                  <c:v>2005</c:v>
                </c:pt>
                <c:pt idx="4">
                  <c:v>2010</c:v>
                </c:pt>
                <c:pt idx="5">
                  <c:v>2015</c:v>
                </c:pt>
                <c:pt idx="6">
                  <c:v>2019</c:v>
                </c:pt>
              </c:numCache>
            </c:numRef>
          </c:xVal>
          <c:yVal>
            <c:numRef>
              <c:f>'Feuil7 (2)'!$C$5:$I$5</c:f>
              <c:numCache>
                <c:formatCode>General</c:formatCode>
                <c:ptCount val="7"/>
                <c:pt idx="0">
                  <c:v>367272</c:v>
                </c:pt>
                <c:pt idx="1">
                  <c:v>366079</c:v>
                </c:pt>
                <c:pt idx="2">
                  <c:v>381989</c:v>
                </c:pt>
                <c:pt idx="3">
                  <c:v>390391</c:v>
                </c:pt>
                <c:pt idx="4">
                  <c:v>357711</c:v>
                </c:pt>
                <c:pt idx="5">
                  <c:v>313634</c:v>
                </c:pt>
                <c:pt idx="6">
                  <c:v>297313</c:v>
                </c:pt>
              </c:numCache>
            </c:numRef>
          </c:yVal>
          <c:smooth val="1"/>
          <c:extLst>
            <c:ext xmlns:c16="http://schemas.microsoft.com/office/drawing/2014/chart" uri="{C3380CC4-5D6E-409C-BE32-E72D297353CC}">
              <c16:uniqueId val="{00000000-0A43-48FD-B522-DF8BDE8534BE}"/>
            </c:ext>
          </c:extLst>
        </c:ser>
        <c:ser>
          <c:idx val="21"/>
          <c:order val="1"/>
          <c:tx>
            <c:strRef>
              <c:f>'Feuil7 (2)'!$B$6</c:f>
              <c:strCache>
                <c:ptCount val="1"/>
                <c:pt idx="0">
                  <c:v>Energy (projections)</c:v>
                </c:pt>
              </c:strCache>
            </c:strRef>
          </c:tx>
          <c:spPr>
            <a:ln>
              <a:solidFill>
                <a:schemeClr val="accent1"/>
              </a:solidFill>
              <a:prstDash val="sysDash"/>
            </a:ln>
          </c:spPr>
          <c:marker>
            <c:symbol val="none"/>
          </c:marker>
          <c:xVal>
            <c:numRef>
              <c:f>'Feuil7 (2)'!$I$4:$N$4</c:f>
              <c:numCache>
                <c:formatCode>General</c:formatCode>
                <c:ptCount val="6"/>
                <c:pt idx="0">
                  <c:v>2019</c:v>
                </c:pt>
                <c:pt idx="1">
                  <c:v>2020</c:v>
                </c:pt>
                <c:pt idx="2">
                  <c:v>2025</c:v>
                </c:pt>
                <c:pt idx="3">
                  <c:v>2030</c:v>
                </c:pt>
                <c:pt idx="4">
                  <c:v>2035</c:v>
                </c:pt>
                <c:pt idx="5">
                  <c:v>2050</c:v>
                </c:pt>
              </c:numCache>
            </c:numRef>
          </c:xVal>
          <c:yVal>
            <c:numRef>
              <c:f>'Feuil7 (2)'!$I$6:$N$6</c:f>
              <c:numCache>
                <c:formatCode>General</c:formatCode>
                <c:ptCount val="6"/>
                <c:pt idx="0">
                  <c:v>297313</c:v>
                </c:pt>
                <c:pt idx="1">
                  <c:v>305017</c:v>
                </c:pt>
                <c:pt idx="2">
                  <c:v>253350</c:v>
                </c:pt>
                <c:pt idx="3">
                  <c:v>203515</c:v>
                </c:pt>
                <c:pt idx="4">
                  <c:v>151385</c:v>
                </c:pt>
                <c:pt idx="5">
                  <c:v>-5007</c:v>
                </c:pt>
              </c:numCache>
            </c:numRef>
          </c:yVal>
          <c:smooth val="1"/>
          <c:extLst>
            <c:ext xmlns:c16="http://schemas.microsoft.com/office/drawing/2014/chart" uri="{C3380CC4-5D6E-409C-BE32-E72D297353CC}">
              <c16:uniqueId val="{00000001-0A43-48FD-B522-DF8BDE8534BE}"/>
            </c:ext>
          </c:extLst>
        </c:ser>
        <c:ser>
          <c:idx val="22"/>
          <c:order val="2"/>
          <c:tx>
            <c:strRef>
              <c:f>'Feuil7 (2)'!$B$7</c:f>
              <c:strCache>
                <c:ptCount val="1"/>
                <c:pt idx="0">
                  <c:v>IPPU</c:v>
                </c:pt>
              </c:strCache>
            </c:strRef>
          </c:tx>
          <c:spPr>
            <a:ln>
              <a:solidFill>
                <a:schemeClr val="accent2"/>
              </a:solidFill>
            </a:ln>
          </c:spPr>
          <c:marker>
            <c:symbol val="none"/>
          </c:marker>
          <c:xVal>
            <c:numRef>
              <c:f>'Feuil7 (2)'!$C$4:$I$4</c:f>
              <c:numCache>
                <c:formatCode>General</c:formatCode>
                <c:ptCount val="7"/>
                <c:pt idx="0">
                  <c:v>1990</c:v>
                </c:pt>
                <c:pt idx="1">
                  <c:v>1995</c:v>
                </c:pt>
                <c:pt idx="2">
                  <c:v>2000</c:v>
                </c:pt>
                <c:pt idx="3">
                  <c:v>2005</c:v>
                </c:pt>
                <c:pt idx="4">
                  <c:v>2010</c:v>
                </c:pt>
                <c:pt idx="5">
                  <c:v>2015</c:v>
                </c:pt>
                <c:pt idx="6">
                  <c:v>2019</c:v>
                </c:pt>
              </c:numCache>
            </c:numRef>
          </c:xVal>
          <c:yVal>
            <c:numRef>
              <c:f>'Feuil7 (2)'!$C$7:$I$7</c:f>
              <c:numCache>
                <c:formatCode>General</c:formatCode>
                <c:ptCount val="7"/>
                <c:pt idx="0">
                  <c:v>78729</c:v>
                </c:pt>
                <c:pt idx="1">
                  <c:v>71997</c:v>
                </c:pt>
                <c:pt idx="2">
                  <c:v>64668</c:v>
                </c:pt>
                <c:pt idx="3">
                  <c:v>63620</c:v>
                </c:pt>
                <c:pt idx="4">
                  <c:v>53798</c:v>
                </c:pt>
                <c:pt idx="5">
                  <c:v>50664</c:v>
                </c:pt>
                <c:pt idx="6">
                  <c:v>46564</c:v>
                </c:pt>
              </c:numCache>
            </c:numRef>
          </c:yVal>
          <c:smooth val="1"/>
          <c:extLst>
            <c:ext xmlns:c16="http://schemas.microsoft.com/office/drawing/2014/chart" uri="{C3380CC4-5D6E-409C-BE32-E72D297353CC}">
              <c16:uniqueId val="{00000002-0A43-48FD-B522-DF8BDE8534BE}"/>
            </c:ext>
          </c:extLst>
        </c:ser>
        <c:ser>
          <c:idx val="0"/>
          <c:order val="3"/>
          <c:tx>
            <c:strRef>
              <c:f>'Feuil7 (2)'!$B$8</c:f>
              <c:strCache>
                <c:ptCount val="1"/>
                <c:pt idx="0">
                  <c:v>IPPU (projections)</c:v>
                </c:pt>
              </c:strCache>
            </c:strRef>
          </c:tx>
          <c:spPr>
            <a:ln>
              <a:solidFill>
                <a:schemeClr val="accent2"/>
              </a:solidFill>
              <a:prstDash val="sysDash"/>
            </a:ln>
          </c:spPr>
          <c:marker>
            <c:symbol val="none"/>
          </c:marker>
          <c:xVal>
            <c:numRef>
              <c:f>'Feuil7 (2)'!$I$4:$N$4</c:f>
              <c:numCache>
                <c:formatCode>General</c:formatCode>
                <c:ptCount val="6"/>
                <c:pt idx="0">
                  <c:v>2019</c:v>
                </c:pt>
                <c:pt idx="1">
                  <c:v>2020</c:v>
                </c:pt>
                <c:pt idx="2">
                  <c:v>2025</c:v>
                </c:pt>
                <c:pt idx="3">
                  <c:v>2030</c:v>
                </c:pt>
                <c:pt idx="4">
                  <c:v>2035</c:v>
                </c:pt>
                <c:pt idx="5">
                  <c:v>2050</c:v>
                </c:pt>
              </c:numCache>
            </c:numRef>
          </c:xVal>
          <c:yVal>
            <c:numRef>
              <c:f>'Feuil7 (2)'!$I$8:$N$8</c:f>
              <c:numCache>
                <c:formatCode>General</c:formatCode>
                <c:ptCount val="6"/>
                <c:pt idx="0">
                  <c:v>46564</c:v>
                </c:pt>
                <c:pt idx="1">
                  <c:v>41371</c:v>
                </c:pt>
                <c:pt idx="2">
                  <c:v>32979</c:v>
                </c:pt>
                <c:pt idx="3">
                  <c:v>27368</c:v>
                </c:pt>
                <c:pt idx="4">
                  <c:v>24409</c:v>
                </c:pt>
                <c:pt idx="5">
                  <c:v>15534</c:v>
                </c:pt>
              </c:numCache>
            </c:numRef>
          </c:yVal>
          <c:smooth val="1"/>
          <c:extLst>
            <c:ext xmlns:c16="http://schemas.microsoft.com/office/drawing/2014/chart" uri="{C3380CC4-5D6E-409C-BE32-E72D297353CC}">
              <c16:uniqueId val="{00000003-0A43-48FD-B522-DF8BDE8534BE}"/>
            </c:ext>
          </c:extLst>
        </c:ser>
        <c:ser>
          <c:idx val="23"/>
          <c:order val="4"/>
          <c:tx>
            <c:strRef>
              <c:f>'Feuil7 (2)'!$B$9</c:f>
              <c:strCache>
                <c:ptCount val="1"/>
                <c:pt idx="0">
                  <c:v>Agriculture (excluding energy) </c:v>
                </c:pt>
              </c:strCache>
            </c:strRef>
          </c:tx>
          <c:spPr>
            <a:ln>
              <a:solidFill>
                <a:schemeClr val="accent3"/>
              </a:solidFill>
            </a:ln>
          </c:spPr>
          <c:marker>
            <c:symbol val="none"/>
          </c:marker>
          <c:xVal>
            <c:numRef>
              <c:f>'Feuil7 (2)'!$C$4:$I$4</c:f>
              <c:numCache>
                <c:formatCode>General</c:formatCode>
                <c:ptCount val="7"/>
                <c:pt idx="0">
                  <c:v>1990</c:v>
                </c:pt>
                <c:pt idx="1">
                  <c:v>1995</c:v>
                </c:pt>
                <c:pt idx="2">
                  <c:v>2000</c:v>
                </c:pt>
                <c:pt idx="3">
                  <c:v>2005</c:v>
                </c:pt>
                <c:pt idx="4">
                  <c:v>2010</c:v>
                </c:pt>
                <c:pt idx="5">
                  <c:v>2015</c:v>
                </c:pt>
                <c:pt idx="6">
                  <c:v>2019</c:v>
                </c:pt>
              </c:numCache>
            </c:numRef>
          </c:xVal>
          <c:yVal>
            <c:numRef>
              <c:f>'Feuil7 (2)'!$C$9:$I$9</c:f>
              <c:numCache>
                <c:formatCode>General</c:formatCode>
                <c:ptCount val="7"/>
                <c:pt idx="0">
                  <c:v>80803</c:v>
                </c:pt>
                <c:pt idx="1">
                  <c:v>78281</c:v>
                </c:pt>
                <c:pt idx="2">
                  <c:v>81292</c:v>
                </c:pt>
                <c:pt idx="3">
                  <c:v>76018</c:v>
                </c:pt>
                <c:pt idx="4">
                  <c:v>75203</c:v>
                </c:pt>
                <c:pt idx="5">
                  <c:v>75720</c:v>
                </c:pt>
                <c:pt idx="6">
                  <c:v>72498</c:v>
                </c:pt>
              </c:numCache>
            </c:numRef>
          </c:yVal>
          <c:smooth val="1"/>
          <c:extLst>
            <c:ext xmlns:c16="http://schemas.microsoft.com/office/drawing/2014/chart" uri="{C3380CC4-5D6E-409C-BE32-E72D297353CC}">
              <c16:uniqueId val="{00000004-0A43-48FD-B522-DF8BDE8534BE}"/>
            </c:ext>
          </c:extLst>
        </c:ser>
        <c:ser>
          <c:idx val="1"/>
          <c:order val="5"/>
          <c:tx>
            <c:strRef>
              <c:f>'Feuil7 (2)'!$B$10</c:f>
              <c:strCache>
                <c:ptCount val="1"/>
                <c:pt idx="0">
                  <c:v>Agriculture (projections)</c:v>
                </c:pt>
              </c:strCache>
            </c:strRef>
          </c:tx>
          <c:spPr>
            <a:ln w="19050" cap="rnd">
              <a:solidFill>
                <a:schemeClr val="accent3"/>
              </a:solidFill>
              <a:prstDash val="sysDash"/>
              <a:round/>
            </a:ln>
            <a:effectLst/>
          </c:spPr>
          <c:marker>
            <c:symbol val="none"/>
          </c:marker>
          <c:xVal>
            <c:numRef>
              <c:f>'Feuil7 (2)'!$I$4:$N$4</c:f>
              <c:numCache>
                <c:formatCode>General</c:formatCode>
                <c:ptCount val="6"/>
                <c:pt idx="0">
                  <c:v>2019</c:v>
                </c:pt>
                <c:pt idx="1">
                  <c:v>2020</c:v>
                </c:pt>
                <c:pt idx="2">
                  <c:v>2025</c:v>
                </c:pt>
                <c:pt idx="3">
                  <c:v>2030</c:v>
                </c:pt>
                <c:pt idx="4">
                  <c:v>2035</c:v>
                </c:pt>
                <c:pt idx="5">
                  <c:v>2050</c:v>
                </c:pt>
              </c:numCache>
            </c:numRef>
          </c:xVal>
          <c:yVal>
            <c:numRef>
              <c:f>'Feuil7 (2)'!$I$10:$N$10</c:f>
              <c:numCache>
                <c:formatCode>General</c:formatCode>
                <c:ptCount val="6"/>
                <c:pt idx="0">
                  <c:v>72498</c:v>
                </c:pt>
                <c:pt idx="1">
                  <c:v>73646</c:v>
                </c:pt>
                <c:pt idx="2">
                  <c:v>69007</c:v>
                </c:pt>
                <c:pt idx="3">
                  <c:v>65227</c:v>
                </c:pt>
                <c:pt idx="4">
                  <c:v>62117</c:v>
                </c:pt>
                <c:pt idx="5">
                  <c:v>47831</c:v>
                </c:pt>
              </c:numCache>
            </c:numRef>
          </c:yVal>
          <c:smooth val="1"/>
          <c:extLst>
            <c:ext xmlns:c16="http://schemas.microsoft.com/office/drawing/2014/chart" uri="{C3380CC4-5D6E-409C-BE32-E72D297353CC}">
              <c16:uniqueId val="{00000005-0A43-48FD-B522-DF8BDE8534BE}"/>
            </c:ext>
          </c:extLst>
        </c:ser>
        <c:ser>
          <c:idx val="24"/>
          <c:order val="6"/>
          <c:tx>
            <c:strRef>
              <c:f>'Feuil7 (2)'!$B$11</c:f>
              <c:strCache>
                <c:ptCount val="1"/>
                <c:pt idx="0">
                  <c:v>LULUCF </c:v>
                </c:pt>
              </c:strCache>
            </c:strRef>
          </c:tx>
          <c:spPr>
            <a:ln>
              <a:solidFill>
                <a:schemeClr val="accent4"/>
              </a:solidFill>
            </a:ln>
          </c:spPr>
          <c:marker>
            <c:symbol val="none"/>
          </c:marker>
          <c:xVal>
            <c:numRef>
              <c:f>'Feuil7 (2)'!$C$4:$I$4</c:f>
              <c:numCache>
                <c:formatCode>General</c:formatCode>
                <c:ptCount val="7"/>
                <c:pt idx="0">
                  <c:v>1990</c:v>
                </c:pt>
                <c:pt idx="1">
                  <c:v>1995</c:v>
                </c:pt>
                <c:pt idx="2">
                  <c:v>2000</c:v>
                </c:pt>
                <c:pt idx="3">
                  <c:v>2005</c:v>
                </c:pt>
                <c:pt idx="4">
                  <c:v>2010</c:v>
                </c:pt>
                <c:pt idx="5">
                  <c:v>2015</c:v>
                </c:pt>
                <c:pt idx="6">
                  <c:v>2019</c:v>
                </c:pt>
              </c:numCache>
            </c:numRef>
          </c:xVal>
          <c:yVal>
            <c:numRef>
              <c:f>'Feuil7 (2)'!$C$11:$I$11</c:f>
              <c:numCache>
                <c:formatCode>General</c:formatCode>
                <c:ptCount val="7"/>
                <c:pt idx="0">
                  <c:v>-23986</c:v>
                </c:pt>
                <c:pt idx="1">
                  <c:v>-24879</c:v>
                </c:pt>
                <c:pt idx="2">
                  <c:v>-19709</c:v>
                </c:pt>
                <c:pt idx="3">
                  <c:v>-47311</c:v>
                </c:pt>
                <c:pt idx="4">
                  <c:v>-38355</c:v>
                </c:pt>
                <c:pt idx="5">
                  <c:v>-34577</c:v>
                </c:pt>
                <c:pt idx="6">
                  <c:v>-12288</c:v>
                </c:pt>
              </c:numCache>
            </c:numRef>
          </c:yVal>
          <c:smooth val="1"/>
          <c:extLst>
            <c:ext xmlns:c16="http://schemas.microsoft.com/office/drawing/2014/chart" uri="{C3380CC4-5D6E-409C-BE32-E72D297353CC}">
              <c16:uniqueId val="{00000006-0A43-48FD-B522-DF8BDE8534BE}"/>
            </c:ext>
          </c:extLst>
        </c:ser>
        <c:ser>
          <c:idx val="2"/>
          <c:order val="7"/>
          <c:tx>
            <c:strRef>
              <c:f>'Feuil7 (2)'!$B$12</c:f>
              <c:strCache>
                <c:ptCount val="1"/>
                <c:pt idx="0">
                  <c:v>LULUCF (projections)</c:v>
                </c:pt>
              </c:strCache>
            </c:strRef>
          </c:tx>
          <c:spPr>
            <a:ln>
              <a:solidFill>
                <a:schemeClr val="accent4"/>
              </a:solidFill>
              <a:prstDash val="sysDash"/>
            </a:ln>
          </c:spPr>
          <c:marker>
            <c:symbol val="none"/>
          </c:marker>
          <c:xVal>
            <c:numRef>
              <c:f>'Feuil7 (2)'!$I$4:$N$4</c:f>
              <c:numCache>
                <c:formatCode>General</c:formatCode>
                <c:ptCount val="6"/>
                <c:pt idx="0">
                  <c:v>2019</c:v>
                </c:pt>
                <c:pt idx="1">
                  <c:v>2020</c:v>
                </c:pt>
                <c:pt idx="2">
                  <c:v>2025</c:v>
                </c:pt>
                <c:pt idx="3">
                  <c:v>2030</c:v>
                </c:pt>
                <c:pt idx="4">
                  <c:v>2035</c:v>
                </c:pt>
                <c:pt idx="5">
                  <c:v>2050</c:v>
                </c:pt>
              </c:numCache>
            </c:numRef>
          </c:xVal>
          <c:yVal>
            <c:numRef>
              <c:f>'Feuil7 (2)'!$I$12:$N$12</c:f>
              <c:numCache>
                <c:formatCode>General</c:formatCode>
                <c:ptCount val="6"/>
                <c:pt idx="0">
                  <c:v>-12288</c:v>
                </c:pt>
                <c:pt idx="1">
                  <c:v>-38995</c:v>
                </c:pt>
                <c:pt idx="2">
                  <c:v>-37671</c:v>
                </c:pt>
                <c:pt idx="3">
                  <c:v>-40160</c:v>
                </c:pt>
                <c:pt idx="4">
                  <c:v>-45205</c:v>
                </c:pt>
                <c:pt idx="5">
                  <c:v>-67148</c:v>
                </c:pt>
              </c:numCache>
            </c:numRef>
          </c:yVal>
          <c:smooth val="1"/>
          <c:extLst>
            <c:ext xmlns:c16="http://schemas.microsoft.com/office/drawing/2014/chart" uri="{C3380CC4-5D6E-409C-BE32-E72D297353CC}">
              <c16:uniqueId val="{00000007-0A43-48FD-B522-DF8BDE8534BE}"/>
            </c:ext>
          </c:extLst>
        </c:ser>
        <c:ser>
          <c:idx val="3"/>
          <c:order val="8"/>
          <c:tx>
            <c:strRef>
              <c:f>'Feuil7 (2)'!$B$13</c:f>
              <c:strCache>
                <c:ptCount val="1"/>
                <c:pt idx="0">
                  <c:v>Waste </c:v>
                </c:pt>
              </c:strCache>
            </c:strRef>
          </c:tx>
          <c:spPr>
            <a:ln>
              <a:solidFill>
                <a:schemeClr val="accent6"/>
              </a:solidFill>
            </a:ln>
          </c:spPr>
          <c:marker>
            <c:symbol val="none"/>
          </c:marker>
          <c:xVal>
            <c:numRef>
              <c:f>'Feuil7 (2)'!$C$4:$I$4</c:f>
              <c:numCache>
                <c:formatCode>General</c:formatCode>
                <c:ptCount val="7"/>
                <c:pt idx="0">
                  <c:v>1990</c:v>
                </c:pt>
                <c:pt idx="1">
                  <c:v>1995</c:v>
                </c:pt>
                <c:pt idx="2">
                  <c:v>2000</c:v>
                </c:pt>
                <c:pt idx="3">
                  <c:v>2005</c:v>
                </c:pt>
                <c:pt idx="4">
                  <c:v>2010</c:v>
                </c:pt>
                <c:pt idx="5">
                  <c:v>2015</c:v>
                </c:pt>
                <c:pt idx="6">
                  <c:v>2019</c:v>
                </c:pt>
              </c:numCache>
            </c:numRef>
          </c:xVal>
          <c:yVal>
            <c:numRef>
              <c:f>'Feuil7 (2)'!$C$13:$I$13</c:f>
              <c:numCache>
                <c:formatCode>General</c:formatCode>
                <c:ptCount val="7"/>
                <c:pt idx="0">
                  <c:v>17283</c:v>
                </c:pt>
                <c:pt idx="1">
                  <c:v>20118</c:v>
                </c:pt>
                <c:pt idx="2">
                  <c:v>21056</c:v>
                </c:pt>
                <c:pt idx="3">
                  <c:v>21362</c:v>
                </c:pt>
                <c:pt idx="4">
                  <c:v>20756</c:v>
                </c:pt>
                <c:pt idx="5">
                  <c:v>17905</c:v>
                </c:pt>
                <c:pt idx="6">
                  <c:v>18165</c:v>
                </c:pt>
              </c:numCache>
            </c:numRef>
          </c:yVal>
          <c:smooth val="1"/>
          <c:extLst>
            <c:ext xmlns:c16="http://schemas.microsoft.com/office/drawing/2014/chart" uri="{C3380CC4-5D6E-409C-BE32-E72D297353CC}">
              <c16:uniqueId val="{00000008-0A43-48FD-B522-DF8BDE8534BE}"/>
            </c:ext>
          </c:extLst>
        </c:ser>
        <c:ser>
          <c:idx val="4"/>
          <c:order val="9"/>
          <c:tx>
            <c:strRef>
              <c:f>'Feuil7 (2)'!$B$14</c:f>
              <c:strCache>
                <c:ptCount val="1"/>
                <c:pt idx="0">
                  <c:v>Waste (projections)</c:v>
                </c:pt>
              </c:strCache>
            </c:strRef>
          </c:tx>
          <c:spPr>
            <a:ln>
              <a:prstDash val="sysDash"/>
            </a:ln>
          </c:spPr>
          <c:marker>
            <c:symbol val="none"/>
          </c:marker>
          <c:xVal>
            <c:numRef>
              <c:f>'Feuil7 (2)'!$I$4:$N$4</c:f>
              <c:numCache>
                <c:formatCode>General</c:formatCode>
                <c:ptCount val="6"/>
                <c:pt idx="0">
                  <c:v>2019</c:v>
                </c:pt>
                <c:pt idx="1">
                  <c:v>2020</c:v>
                </c:pt>
                <c:pt idx="2">
                  <c:v>2025</c:v>
                </c:pt>
                <c:pt idx="3">
                  <c:v>2030</c:v>
                </c:pt>
                <c:pt idx="4">
                  <c:v>2035</c:v>
                </c:pt>
                <c:pt idx="5">
                  <c:v>2050</c:v>
                </c:pt>
              </c:numCache>
            </c:numRef>
          </c:xVal>
          <c:yVal>
            <c:numRef>
              <c:f>'Feuil7 (2)'!$I$14:$N$14</c:f>
              <c:numCache>
                <c:formatCode>General</c:formatCode>
                <c:ptCount val="6"/>
                <c:pt idx="0">
                  <c:v>18165</c:v>
                </c:pt>
                <c:pt idx="1">
                  <c:v>14345</c:v>
                </c:pt>
                <c:pt idx="2">
                  <c:v>12325</c:v>
                </c:pt>
                <c:pt idx="3">
                  <c:v>10983</c:v>
                </c:pt>
                <c:pt idx="4">
                  <c:v>9786</c:v>
                </c:pt>
                <c:pt idx="5">
                  <c:v>6193</c:v>
                </c:pt>
              </c:numCache>
            </c:numRef>
          </c:yVal>
          <c:smooth val="1"/>
          <c:extLst>
            <c:ext xmlns:c16="http://schemas.microsoft.com/office/drawing/2014/chart" uri="{C3380CC4-5D6E-409C-BE32-E72D297353CC}">
              <c16:uniqueId val="{00000009-0A43-48FD-B522-DF8BDE8534BE}"/>
            </c:ext>
          </c:extLst>
        </c:ser>
        <c:dLbls>
          <c:showLegendKey val="0"/>
          <c:showVal val="0"/>
          <c:showCatName val="0"/>
          <c:showSerName val="0"/>
          <c:showPercent val="0"/>
          <c:showBubbleSize val="0"/>
        </c:dLbls>
        <c:axId val="1424416096"/>
        <c:axId val="1424419424"/>
      </c:scatterChart>
      <c:valAx>
        <c:axId val="1424416096"/>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4419424"/>
        <c:crosses val="autoZero"/>
        <c:crossBetween val="midCat"/>
      </c:valAx>
      <c:valAx>
        <c:axId val="142441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GB" sz="1000" b="0" i="0" u="none" strike="noStrike" baseline="0">
                    <a:effectLst/>
                  </a:rPr>
                  <a:t>ktCO</a:t>
                </a:r>
                <a:r>
                  <a:rPr lang="en-GB" sz="1000" b="0" i="0" u="none" strike="noStrike" baseline="-25000">
                    <a:effectLst/>
                  </a:rPr>
                  <a:t>2e</a:t>
                </a:r>
                <a:endParaRPr lang="fr-F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4416096"/>
        <c:crosses val="autoZero"/>
        <c:crossBetween val="midCat"/>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ln>
      <a:noFill/>
    </a:ln>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AME 2021 by Energy sector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Feuil9!$C$5</c:f>
              <c:strCache>
                <c:ptCount val="1"/>
                <c:pt idx="0">
                  <c:v>Energy industry </c:v>
                </c:pt>
              </c:strCache>
            </c:strRef>
          </c:tx>
          <c:spPr>
            <a:ln w="19050" cap="rnd">
              <a:solidFill>
                <a:schemeClr val="accent1"/>
              </a:solidFill>
              <a:round/>
            </a:ln>
            <a:effectLst/>
          </c:spPr>
          <c:marker>
            <c:symbol val="none"/>
          </c:marker>
          <c:xVal>
            <c:numRef>
              <c:f>Feuil9!$D$4:$O$4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Feuil9!$D$5:$O$5</c:f>
              <c:numCache>
                <c:formatCode>General</c:formatCode>
                <c:ptCount val="12"/>
                <c:pt idx="0">
                  <c:v>66338</c:v>
                </c:pt>
                <c:pt idx="1">
                  <c:v>55802</c:v>
                </c:pt>
                <c:pt idx="2">
                  <c:v>62526</c:v>
                </c:pt>
                <c:pt idx="3">
                  <c:v>66972</c:v>
                </c:pt>
                <c:pt idx="4">
                  <c:v>60134</c:v>
                </c:pt>
                <c:pt idx="5">
                  <c:v>44988</c:v>
                </c:pt>
                <c:pt idx="6">
                  <c:v>41680</c:v>
                </c:pt>
                <c:pt idx="7">
                  <c:v>49721</c:v>
                </c:pt>
                <c:pt idx="8">
                  <c:v>49450</c:v>
                </c:pt>
                <c:pt idx="9">
                  <c:v>48836</c:v>
                </c:pt>
                <c:pt idx="10">
                  <c:v>48946</c:v>
                </c:pt>
                <c:pt idx="11">
                  <c:v>30247</c:v>
                </c:pt>
              </c:numCache>
            </c:numRef>
          </c:yVal>
          <c:smooth val="0"/>
          <c:extLst>
            <c:ext xmlns:c16="http://schemas.microsoft.com/office/drawing/2014/chart" uri="{C3380CC4-5D6E-409C-BE32-E72D297353CC}">
              <c16:uniqueId val="{00000000-3A11-48AE-8425-9B571D6F8914}"/>
            </c:ext>
          </c:extLst>
        </c:ser>
        <c:ser>
          <c:idx val="1"/>
          <c:order val="1"/>
          <c:tx>
            <c:strRef>
              <c:f>Feuil9!$C$6</c:f>
              <c:strCache>
                <c:ptCount val="1"/>
                <c:pt idx="0">
                  <c:v>Manufacturing and construction </c:v>
                </c:pt>
              </c:strCache>
            </c:strRef>
          </c:tx>
          <c:spPr>
            <a:ln w="19050" cap="rnd">
              <a:solidFill>
                <a:schemeClr val="accent2"/>
              </a:solidFill>
              <a:round/>
            </a:ln>
            <a:effectLst/>
          </c:spPr>
          <c:marker>
            <c:symbol val="none"/>
          </c:marker>
          <c:xVal>
            <c:numRef>
              <c:f>Feuil9!$D$4:$O$4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Feuil9!$D$6:$O$6</c:f>
              <c:numCache>
                <c:formatCode>General</c:formatCode>
                <c:ptCount val="12"/>
                <c:pt idx="0">
                  <c:v>76164</c:v>
                </c:pt>
                <c:pt idx="1">
                  <c:v>80423</c:v>
                </c:pt>
                <c:pt idx="2">
                  <c:v>75532</c:v>
                </c:pt>
                <c:pt idx="3">
                  <c:v>71990</c:v>
                </c:pt>
                <c:pt idx="4">
                  <c:v>62105</c:v>
                </c:pt>
                <c:pt idx="5">
                  <c:v>51963</c:v>
                </c:pt>
                <c:pt idx="6">
                  <c:v>48031</c:v>
                </c:pt>
                <c:pt idx="7">
                  <c:v>47344</c:v>
                </c:pt>
                <c:pt idx="8">
                  <c:v>49895</c:v>
                </c:pt>
                <c:pt idx="9">
                  <c:v>48956</c:v>
                </c:pt>
                <c:pt idx="10">
                  <c:v>49242</c:v>
                </c:pt>
                <c:pt idx="11">
                  <c:v>50182</c:v>
                </c:pt>
              </c:numCache>
            </c:numRef>
          </c:yVal>
          <c:smooth val="0"/>
          <c:extLst>
            <c:ext xmlns:c16="http://schemas.microsoft.com/office/drawing/2014/chart" uri="{C3380CC4-5D6E-409C-BE32-E72D297353CC}">
              <c16:uniqueId val="{00000001-3A11-48AE-8425-9B571D6F8914}"/>
            </c:ext>
          </c:extLst>
        </c:ser>
        <c:ser>
          <c:idx val="2"/>
          <c:order val="2"/>
          <c:tx>
            <c:strRef>
              <c:f>Feuil9!$C$7</c:f>
              <c:strCache>
                <c:ptCount val="1"/>
                <c:pt idx="0">
                  <c:v>Transport </c:v>
                </c:pt>
              </c:strCache>
            </c:strRef>
          </c:tx>
          <c:spPr>
            <a:ln w="19050" cap="rnd">
              <a:solidFill>
                <a:schemeClr val="accent3"/>
              </a:solidFill>
              <a:round/>
            </a:ln>
            <a:effectLst/>
          </c:spPr>
          <c:marker>
            <c:symbol val="none"/>
          </c:marker>
          <c:xVal>
            <c:numRef>
              <c:f>Feuil9!$D$4:$O$4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Feuil9!$D$7:$O$7</c:f>
              <c:numCache>
                <c:formatCode>General</c:formatCode>
                <c:ptCount val="12"/>
                <c:pt idx="0">
                  <c:v>122293</c:v>
                </c:pt>
                <c:pt idx="1">
                  <c:v>132329</c:v>
                </c:pt>
                <c:pt idx="2">
                  <c:v>141051</c:v>
                </c:pt>
                <c:pt idx="3">
                  <c:v>142041</c:v>
                </c:pt>
                <c:pt idx="4">
                  <c:v>133750</c:v>
                </c:pt>
                <c:pt idx="5">
                  <c:v>133744</c:v>
                </c:pt>
                <c:pt idx="6">
                  <c:v>131725</c:v>
                </c:pt>
                <c:pt idx="7">
                  <c:v>104084</c:v>
                </c:pt>
                <c:pt idx="8">
                  <c:v>114627</c:v>
                </c:pt>
                <c:pt idx="9">
                  <c:v>102181</c:v>
                </c:pt>
                <c:pt idx="10">
                  <c:v>96593</c:v>
                </c:pt>
                <c:pt idx="11">
                  <c:v>83729</c:v>
                </c:pt>
              </c:numCache>
            </c:numRef>
          </c:yVal>
          <c:smooth val="0"/>
          <c:extLst>
            <c:ext xmlns:c16="http://schemas.microsoft.com/office/drawing/2014/chart" uri="{C3380CC4-5D6E-409C-BE32-E72D297353CC}">
              <c16:uniqueId val="{00000002-3A11-48AE-8425-9B571D6F8914}"/>
            </c:ext>
          </c:extLst>
        </c:ser>
        <c:ser>
          <c:idx val="3"/>
          <c:order val="3"/>
          <c:tx>
            <c:strRef>
              <c:f>Feuil9!$C$8</c:f>
              <c:strCache>
                <c:ptCount val="1"/>
                <c:pt idx="0">
                  <c:v>Other sectors </c:v>
                </c:pt>
              </c:strCache>
            </c:strRef>
          </c:tx>
          <c:spPr>
            <a:ln w="19050" cap="rnd">
              <a:solidFill>
                <a:schemeClr val="accent4"/>
              </a:solidFill>
              <a:round/>
            </a:ln>
            <a:effectLst/>
          </c:spPr>
          <c:marker>
            <c:symbol val="none"/>
          </c:marker>
          <c:xVal>
            <c:numRef>
              <c:f>Feuil9!$D$4:$O$4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Feuil9!$D$8:$O$8</c:f>
              <c:numCache>
                <c:formatCode>General</c:formatCode>
                <c:ptCount val="12"/>
                <c:pt idx="0">
                  <c:v>102477</c:v>
                </c:pt>
                <c:pt idx="1">
                  <c:v>97525</c:v>
                </c:pt>
                <c:pt idx="2">
                  <c:v>102881</c:v>
                </c:pt>
                <c:pt idx="3">
                  <c:v>109388</c:v>
                </c:pt>
                <c:pt idx="4">
                  <c:v>101722</c:v>
                </c:pt>
                <c:pt idx="5">
                  <c:v>82940</c:v>
                </c:pt>
                <c:pt idx="6">
                  <c:v>75877</c:v>
                </c:pt>
                <c:pt idx="7">
                  <c:v>73985</c:v>
                </c:pt>
                <c:pt idx="8">
                  <c:v>67291</c:v>
                </c:pt>
                <c:pt idx="9">
                  <c:v>60718</c:v>
                </c:pt>
                <c:pt idx="10">
                  <c:v>57402</c:v>
                </c:pt>
                <c:pt idx="11">
                  <c:v>47041</c:v>
                </c:pt>
              </c:numCache>
            </c:numRef>
          </c:yVal>
          <c:smooth val="0"/>
          <c:extLst>
            <c:ext xmlns:c16="http://schemas.microsoft.com/office/drawing/2014/chart" uri="{C3380CC4-5D6E-409C-BE32-E72D297353CC}">
              <c16:uniqueId val="{00000003-3A11-48AE-8425-9B571D6F8914}"/>
            </c:ext>
          </c:extLst>
        </c:ser>
        <c:dLbls>
          <c:showLegendKey val="0"/>
          <c:showVal val="0"/>
          <c:showCatName val="0"/>
          <c:showSerName val="0"/>
          <c:showPercent val="0"/>
          <c:showBubbleSize val="0"/>
        </c:dLbls>
        <c:axId val="560246367"/>
        <c:axId val="560246783"/>
      </c:scatterChart>
      <c:valAx>
        <c:axId val="560246367"/>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246783"/>
        <c:crosses val="autoZero"/>
        <c:crossBetween val="midCat"/>
      </c:valAx>
      <c:valAx>
        <c:axId val="5602467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baseline="0">
                    <a:effectLst/>
                  </a:rPr>
                  <a:t>KtCO</a:t>
                </a:r>
                <a:r>
                  <a:rPr lang="en-GB" sz="1000" b="0" i="0" u="none" strike="noStrike" baseline="-25000">
                    <a:effectLst/>
                  </a:rPr>
                  <a:t>2e</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24636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AMS 2018 by Energy sector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'Feuil9 (2)'!$C$5</c:f>
              <c:strCache>
                <c:ptCount val="1"/>
                <c:pt idx="0">
                  <c:v>Energy industry </c:v>
                </c:pt>
              </c:strCache>
            </c:strRef>
          </c:tx>
          <c:spPr>
            <a:ln w="19050" cap="rnd">
              <a:solidFill>
                <a:schemeClr val="accent1"/>
              </a:solidFill>
              <a:round/>
            </a:ln>
            <a:effectLst/>
          </c:spPr>
          <c:marker>
            <c:symbol val="none"/>
          </c:marker>
          <c:xVal>
            <c:numRef>
              <c:f>'Feuil9 (2)'!$D$4:$O$4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 (2)'!$D$5:$O$5</c:f>
              <c:numCache>
                <c:formatCode>General</c:formatCode>
                <c:ptCount val="12"/>
                <c:pt idx="0" formatCode="_(* #,##0.00_);_(* \(#,##0.00\);_(* &quot;-&quot;??_);_(@_)">
                  <c:v>66338</c:v>
                </c:pt>
                <c:pt idx="1">
                  <c:v>55802</c:v>
                </c:pt>
                <c:pt idx="2">
                  <c:v>62526</c:v>
                </c:pt>
                <c:pt idx="3">
                  <c:v>66972</c:v>
                </c:pt>
                <c:pt idx="4">
                  <c:v>60134</c:v>
                </c:pt>
                <c:pt idx="5">
                  <c:v>44988</c:v>
                </c:pt>
                <c:pt idx="6">
                  <c:v>41680</c:v>
                </c:pt>
                <c:pt idx="7">
                  <c:v>51390</c:v>
                </c:pt>
                <c:pt idx="8">
                  <c:v>35549</c:v>
                </c:pt>
                <c:pt idx="9">
                  <c:v>30007</c:v>
                </c:pt>
                <c:pt idx="10">
                  <c:v>19242</c:v>
                </c:pt>
                <c:pt idx="11">
                  <c:v>-13050</c:v>
                </c:pt>
              </c:numCache>
            </c:numRef>
          </c:yVal>
          <c:smooth val="0"/>
          <c:extLst>
            <c:ext xmlns:c16="http://schemas.microsoft.com/office/drawing/2014/chart" uri="{C3380CC4-5D6E-409C-BE32-E72D297353CC}">
              <c16:uniqueId val="{00000000-0EE2-4AC9-8C90-6804877B4FB8}"/>
            </c:ext>
          </c:extLst>
        </c:ser>
        <c:ser>
          <c:idx val="1"/>
          <c:order val="1"/>
          <c:tx>
            <c:strRef>
              <c:f>'Feuil9 (2)'!$C$6</c:f>
              <c:strCache>
                <c:ptCount val="1"/>
                <c:pt idx="0">
                  <c:v>Manufacturing and construction </c:v>
                </c:pt>
              </c:strCache>
            </c:strRef>
          </c:tx>
          <c:spPr>
            <a:ln w="19050" cap="rnd">
              <a:solidFill>
                <a:schemeClr val="accent2"/>
              </a:solidFill>
              <a:round/>
            </a:ln>
            <a:effectLst/>
          </c:spPr>
          <c:marker>
            <c:symbol val="none"/>
          </c:marker>
          <c:xVal>
            <c:numRef>
              <c:f>'Feuil9 (2)'!$D$4:$O$4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 (2)'!$D$6:$O$6</c:f>
              <c:numCache>
                <c:formatCode>General</c:formatCode>
                <c:ptCount val="12"/>
                <c:pt idx="0">
                  <c:v>76164</c:v>
                </c:pt>
                <c:pt idx="1">
                  <c:v>80423</c:v>
                </c:pt>
                <c:pt idx="2">
                  <c:v>75532</c:v>
                </c:pt>
                <c:pt idx="3">
                  <c:v>71990</c:v>
                </c:pt>
                <c:pt idx="4">
                  <c:v>62105</c:v>
                </c:pt>
                <c:pt idx="5">
                  <c:v>51963</c:v>
                </c:pt>
                <c:pt idx="6">
                  <c:v>48031</c:v>
                </c:pt>
                <c:pt idx="7">
                  <c:v>43570</c:v>
                </c:pt>
                <c:pt idx="8">
                  <c:v>38146</c:v>
                </c:pt>
                <c:pt idx="9">
                  <c:v>30122</c:v>
                </c:pt>
                <c:pt idx="10">
                  <c:v>23105</c:v>
                </c:pt>
                <c:pt idx="11">
                  <c:v>2056</c:v>
                </c:pt>
              </c:numCache>
            </c:numRef>
          </c:yVal>
          <c:smooth val="0"/>
          <c:extLst>
            <c:ext xmlns:c16="http://schemas.microsoft.com/office/drawing/2014/chart" uri="{C3380CC4-5D6E-409C-BE32-E72D297353CC}">
              <c16:uniqueId val="{00000001-0EE2-4AC9-8C90-6804877B4FB8}"/>
            </c:ext>
          </c:extLst>
        </c:ser>
        <c:ser>
          <c:idx val="2"/>
          <c:order val="2"/>
          <c:tx>
            <c:strRef>
              <c:f>'Feuil9 (2)'!$C$7</c:f>
              <c:strCache>
                <c:ptCount val="1"/>
                <c:pt idx="0">
                  <c:v>Transport </c:v>
                </c:pt>
              </c:strCache>
            </c:strRef>
          </c:tx>
          <c:spPr>
            <a:ln w="19050" cap="rnd">
              <a:solidFill>
                <a:schemeClr val="accent3"/>
              </a:solidFill>
              <a:round/>
            </a:ln>
            <a:effectLst/>
          </c:spPr>
          <c:marker>
            <c:symbol val="none"/>
          </c:marker>
          <c:xVal>
            <c:numRef>
              <c:f>'Feuil9 (2)'!$D$4:$O$4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 (2)'!$D$7:$O$7</c:f>
              <c:numCache>
                <c:formatCode>General</c:formatCode>
                <c:ptCount val="12"/>
                <c:pt idx="0">
                  <c:v>122293</c:v>
                </c:pt>
                <c:pt idx="1">
                  <c:v>132329</c:v>
                </c:pt>
                <c:pt idx="2">
                  <c:v>141051</c:v>
                </c:pt>
                <c:pt idx="3">
                  <c:v>142041</c:v>
                </c:pt>
                <c:pt idx="4">
                  <c:v>133750</c:v>
                </c:pt>
                <c:pt idx="5">
                  <c:v>133744</c:v>
                </c:pt>
                <c:pt idx="6">
                  <c:v>131725</c:v>
                </c:pt>
                <c:pt idx="7">
                  <c:v>126491</c:v>
                </c:pt>
                <c:pt idx="8">
                  <c:v>110958</c:v>
                </c:pt>
                <c:pt idx="9">
                  <c:v>94288</c:v>
                </c:pt>
                <c:pt idx="10">
                  <c:v>71522</c:v>
                </c:pt>
                <c:pt idx="11">
                  <c:v>3221</c:v>
                </c:pt>
              </c:numCache>
            </c:numRef>
          </c:yVal>
          <c:smooth val="0"/>
          <c:extLst>
            <c:ext xmlns:c16="http://schemas.microsoft.com/office/drawing/2014/chart" uri="{C3380CC4-5D6E-409C-BE32-E72D297353CC}">
              <c16:uniqueId val="{00000002-0EE2-4AC9-8C90-6804877B4FB8}"/>
            </c:ext>
          </c:extLst>
        </c:ser>
        <c:ser>
          <c:idx val="3"/>
          <c:order val="3"/>
          <c:tx>
            <c:strRef>
              <c:f>'Feuil9 (2)'!$C$8</c:f>
              <c:strCache>
                <c:ptCount val="1"/>
                <c:pt idx="0">
                  <c:v>Other sectors </c:v>
                </c:pt>
              </c:strCache>
            </c:strRef>
          </c:tx>
          <c:spPr>
            <a:ln w="19050" cap="rnd">
              <a:solidFill>
                <a:schemeClr val="accent4"/>
              </a:solidFill>
              <a:round/>
            </a:ln>
            <a:effectLst/>
          </c:spPr>
          <c:marker>
            <c:symbol val="none"/>
          </c:marker>
          <c:xVal>
            <c:numRef>
              <c:f>'Feuil9 (2)'!$D$4:$O$4</c:f>
              <c:numCache>
                <c:formatCode>General</c:formatCode>
                <c:ptCount val="12"/>
                <c:pt idx="0">
                  <c:v>1990</c:v>
                </c:pt>
                <c:pt idx="1">
                  <c:v>1995</c:v>
                </c:pt>
                <c:pt idx="2">
                  <c:v>2000</c:v>
                </c:pt>
                <c:pt idx="3">
                  <c:v>2005</c:v>
                </c:pt>
                <c:pt idx="4">
                  <c:v>2010</c:v>
                </c:pt>
                <c:pt idx="5">
                  <c:v>2015</c:v>
                </c:pt>
                <c:pt idx="6">
                  <c:v>2019</c:v>
                </c:pt>
                <c:pt idx="7">
                  <c:v>2020</c:v>
                </c:pt>
                <c:pt idx="8">
                  <c:v>2025</c:v>
                </c:pt>
                <c:pt idx="9">
                  <c:v>2030</c:v>
                </c:pt>
                <c:pt idx="10">
                  <c:v>2035</c:v>
                </c:pt>
                <c:pt idx="11">
                  <c:v>2050</c:v>
                </c:pt>
              </c:numCache>
            </c:numRef>
          </c:xVal>
          <c:yVal>
            <c:numRef>
              <c:f>'Feuil9 (2)'!$D$8:$O$8</c:f>
              <c:numCache>
                <c:formatCode>General</c:formatCode>
                <c:ptCount val="12"/>
                <c:pt idx="0">
                  <c:v>102477</c:v>
                </c:pt>
                <c:pt idx="1">
                  <c:v>97525</c:v>
                </c:pt>
                <c:pt idx="2">
                  <c:v>102881</c:v>
                </c:pt>
                <c:pt idx="3">
                  <c:v>109388</c:v>
                </c:pt>
                <c:pt idx="4">
                  <c:v>101722</c:v>
                </c:pt>
                <c:pt idx="5">
                  <c:v>82940</c:v>
                </c:pt>
                <c:pt idx="6">
                  <c:v>75877</c:v>
                </c:pt>
                <c:pt idx="7">
                  <c:v>83566</c:v>
                </c:pt>
                <c:pt idx="8">
                  <c:v>68697</c:v>
                </c:pt>
                <c:pt idx="9">
                  <c:v>49099</c:v>
                </c:pt>
                <c:pt idx="10">
                  <c:v>37516</c:v>
                </c:pt>
                <c:pt idx="11">
                  <c:v>2766</c:v>
                </c:pt>
              </c:numCache>
            </c:numRef>
          </c:yVal>
          <c:smooth val="0"/>
          <c:extLst>
            <c:ext xmlns:c16="http://schemas.microsoft.com/office/drawing/2014/chart" uri="{C3380CC4-5D6E-409C-BE32-E72D297353CC}">
              <c16:uniqueId val="{00000003-0EE2-4AC9-8C90-6804877B4FB8}"/>
            </c:ext>
          </c:extLst>
        </c:ser>
        <c:dLbls>
          <c:showLegendKey val="0"/>
          <c:showVal val="0"/>
          <c:showCatName val="0"/>
          <c:showSerName val="0"/>
          <c:showPercent val="0"/>
          <c:showBubbleSize val="0"/>
        </c:dLbls>
        <c:axId val="560246367"/>
        <c:axId val="560246783"/>
      </c:scatterChart>
      <c:valAx>
        <c:axId val="560246367"/>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246783"/>
        <c:crosses val="autoZero"/>
        <c:crossBetween val="midCat"/>
      </c:valAx>
      <c:valAx>
        <c:axId val="5602467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baseline="0">
                    <a:effectLst/>
                  </a:rPr>
                  <a:t>KtCO</a:t>
                </a:r>
                <a:r>
                  <a:rPr lang="en-GB" sz="1000" b="0" i="0" u="none" strike="noStrike" baseline="-25000">
                    <a:effectLst/>
                  </a:rPr>
                  <a:t>2e</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24636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AME21</a:t>
            </a:r>
            <a:r>
              <a:rPr lang="fr-FR" baseline="0"/>
              <a:t> excluding LULUCF</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131950802661295"/>
          <c:y val="0.17155110819480898"/>
          <c:w val="0.86383553073307695"/>
          <c:h val="0.50301326917468647"/>
        </c:manualLayout>
      </c:layout>
      <c:scatterChart>
        <c:scatterStyle val="lineMarker"/>
        <c:varyColors val="0"/>
        <c:ser>
          <c:idx val="0"/>
          <c:order val="0"/>
          <c:tx>
            <c:strRef>
              <c:f>Feuil11!$B$5</c:f>
              <c:strCache>
                <c:ptCount val="1"/>
                <c:pt idx="0">
                  <c:v>CO2 excluding LULUCF </c:v>
                </c:pt>
              </c:strCache>
            </c:strRef>
          </c:tx>
          <c:spPr>
            <a:ln w="19050" cap="rnd">
              <a:solidFill>
                <a:schemeClr val="accent1"/>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Feuil11!$C$5:$I$5</c:f>
              <c:numCache>
                <c:formatCode>General</c:formatCode>
                <c:ptCount val="7"/>
                <c:pt idx="0">
                  <c:v>398425</c:v>
                </c:pt>
                <c:pt idx="1">
                  <c:v>392916</c:v>
                </c:pt>
                <c:pt idx="2">
                  <c:v>414788</c:v>
                </c:pt>
                <c:pt idx="3">
                  <c:v>425444</c:v>
                </c:pt>
                <c:pt idx="4">
                  <c:v>386872</c:v>
                </c:pt>
                <c:pt idx="5">
                  <c:v>341631</c:v>
                </c:pt>
                <c:pt idx="6">
                  <c:v>326725</c:v>
                </c:pt>
              </c:numCache>
            </c:numRef>
          </c:yVal>
          <c:smooth val="0"/>
          <c:extLst>
            <c:ext xmlns:c16="http://schemas.microsoft.com/office/drawing/2014/chart" uri="{C3380CC4-5D6E-409C-BE32-E72D297353CC}">
              <c16:uniqueId val="{00000000-4927-4464-A124-CCDE5067C239}"/>
            </c:ext>
          </c:extLst>
        </c:ser>
        <c:ser>
          <c:idx val="1"/>
          <c:order val="1"/>
          <c:tx>
            <c:strRef>
              <c:f>Feuil11!$B$7</c:f>
              <c:strCache>
                <c:ptCount val="1"/>
                <c:pt idx="0">
                  <c:v>CH4 excluding LULUCF </c:v>
                </c:pt>
              </c:strCache>
            </c:strRef>
          </c:tx>
          <c:spPr>
            <a:ln w="19050" cap="rnd">
              <a:solidFill>
                <a:schemeClr val="accent2"/>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Feuil11!$C$7:$I$7</c:f>
              <c:numCache>
                <c:formatCode>General</c:formatCode>
                <c:ptCount val="7"/>
                <c:pt idx="0">
                  <c:v>69161</c:v>
                </c:pt>
                <c:pt idx="1">
                  <c:v>70383</c:v>
                </c:pt>
                <c:pt idx="2">
                  <c:v>68603</c:v>
                </c:pt>
                <c:pt idx="3">
                  <c:v>63632</c:v>
                </c:pt>
                <c:pt idx="4">
                  <c:v>61663</c:v>
                </c:pt>
                <c:pt idx="5">
                  <c:v>57862</c:v>
                </c:pt>
                <c:pt idx="6">
                  <c:v>55740</c:v>
                </c:pt>
              </c:numCache>
            </c:numRef>
          </c:yVal>
          <c:smooth val="0"/>
          <c:extLst>
            <c:ext xmlns:c16="http://schemas.microsoft.com/office/drawing/2014/chart" uri="{C3380CC4-5D6E-409C-BE32-E72D297353CC}">
              <c16:uniqueId val="{00000001-4927-4464-A124-CCDE5067C239}"/>
            </c:ext>
          </c:extLst>
        </c:ser>
        <c:ser>
          <c:idx val="2"/>
          <c:order val="2"/>
          <c:tx>
            <c:strRef>
              <c:f>Feuil11!$B$9</c:f>
              <c:strCache>
                <c:ptCount val="1"/>
                <c:pt idx="0">
                  <c:v>N2O excluding LULUCF </c:v>
                </c:pt>
              </c:strCache>
            </c:strRef>
          </c:tx>
          <c:spPr>
            <a:ln w="19050" cap="rnd">
              <a:solidFill>
                <a:schemeClr val="accent3"/>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Feuil11!$C$9:$I$9</c:f>
              <c:numCache>
                <c:formatCode>General</c:formatCode>
                <c:ptCount val="7"/>
                <c:pt idx="0">
                  <c:v>64725</c:v>
                </c:pt>
                <c:pt idx="1">
                  <c:v>65937</c:v>
                </c:pt>
                <c:pt idx="2">
                  <c:v>53681</c:v>
                </c:pt>
                <c:pt idx="3">
                  <c:v>46307</c:v>
                </c:pt>
                <c:pt idx="4">
                  <c:v>40478</c:v>
                </c:pt>
                <c:pt idx="5">
                  <c:v>39895</c:v>
                </c:pt>
                <c:pt idx="6">
                  <c:v>38071</c:v>
                </c:pt>
              </c:numCache>
            </c:numRef>
          </c:yVal>
          <c:smooth val="0"/>
          <c:extLst>
            <c:ext xmlns:c16="http://schemas.microsoft.com/office/drawing/2014/chart" uri="{C3380CC4-5D6E-409C-BE32-E72D297353CC}">
              <c16:uniqueId val="{00000002-4927-4464-A124-CCDE5067C239}"/>
            </c:ext>
          </c:extLst>
        </c:ser>
        <c:ser>
          <c:idx val="3"/>
          <c:order val="3"/>
          <c:tx>
            <c:strRef>
              <c:f>Feuil11!$B$11</c:f>
              <c:strCache>
                <c:ptCount val="1"/>
                <c:pt idx="0">
                  <c:v>HFCs </c:v>
                </c:pt>
              </c:strCache>
            </c:strRef>
          </c:tx>
          <c:spPr>
            <a:ln w="19050" cap="rnd">
              <a:solidFill>
                <a:schemeClr val="accent4"/>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Feuil11!$C$11:$I$11</c:f>
              <c:numCache>
                <c:formatCode>General</c:formatCode>
                <c:ptCount val="7"/>
                <c:pt idx="0">
                  <c:v>4402</c:v>
                </c:pt>
                <c:pt idx="1">
                  <c:v>1702</c:v>
                </c:pt>
                <c:pt idx="2">
                  <c:v>6736</c:v>
                </c:pt>
                <c:pt idx="3">
                  <c:v>12862</c:v>
                </c:pt>
                <c:pt idx="4">
                  <c:v>16930</c:v>
                </c:pt>
                <c:pt idx="5">
                  <c:v>17494</c:v>
                </c:pt>
                <c:pt idx="6">
                  <c:v>12992</c:v>
                </c:pt>
              </c:numCache>
            </c:numRef>
          </c:yVal>
          <c:smooth val="0"/>
          <c:extLst>
            <c:ext xmlns:c16="http://schemas.microsoft.com/office/drawing/2014/chart" uri="{C3380CC4-5D6E-409C-BE32-E72D297353CC}">
              <c16:uniqueId val="{00000003-4927-4464-A124-CCDE5067C239}"/>
            </c:ext>
          </c:extLst>
        </c:ser>
        <c:ser>
          <c:idx val="4"/>
          <c:order val="4"/>
          <c:tx>
            <c:strRef>
              <c:f>Feuil11!$B$13</c:f>
              <c:strCache>
                <c:ptCount val="1"/>
                <c:pt idx="0">
                  <c:v>PFCs </c:v>
                </c:pt>
              </c:strCache>
            </c:strRef>
          </c:tx>
          <c:spPr>
            <a:ln w="19050" cap="rnd">
              <a:solidFill>
                <a:schemeClr val="accent5"/>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Feuil11!$C$13:$I$13</c:f>
              <c:numCache>
                <c:formatCode>General</c:formatCode>
                <c:ptCount val="7"/>
                <c:pt idx="0">
                  <c:v>5202</c:v>
                </c:pt>
                <c:pt idx="1">
                  <c:v>3065</c:v>
                </c:pt>
                <c:pt idx="2">
                  <c:v>2997</c:v>
                </c:pt>
                <c:pt idx="3">
                  <c:v>1760</c:v>
                </c:pt>
                <c:pt idx="4">
                  <c:v>617</c:v>
                </c:pt>
                <c:pt idx="5">
                  <c:v>537</c:v>
                </c:pt>
                <c:pt idx="6">
                  <c:v>615</c:v>
                </c:pt>
              </c:numCache>
            </c:numRef>
          </c:yVal>
          <c:smooth val="0"/>
          <c:extLst>
            <c:ext xmlns:c16="http://schemas.microsoft.com/office/drawing/2014/chart" uri="{C3380CC4-5D6E-409C-BE32-E72D297353CC}">
              <c16:uniqueId val="{00000004-4927-4464-A124-CCDE5067C239}"/>
            </c:ext>
          </c:extLst>
        </c:ser>
        <c:ser>
          <c:idx val="5"/>
          <c:order val="5"/>
          <c:tx>
            <c:strRef>
              <c:f>Feuil11!$B$15</c:f>
              <c:strCache>
                <c:ptCount val="1"/>
                <c:pt idx="0">
                  <c:v>SF6 </c:v>
                </c:pt>
              </c:strCache>
            </c:strRef>
          </c:tx>
          <c:spPr>
            <a:ln w="19050" cap="rnd">
              <a:solidFill>
                <a:schemeClr val="accent6"/>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Feuil11!$C$15:$I$15</c:f>
              <c:numCache>
                <c:formatCode>General</c:formatCode>
                <c:ptCount val="7"/>
                <c:pt idx="0">
                  <c:v>2155</c:v>
                </c:pt>
                <c:pt idx="1">
                  <c:v>2467</c:v>
                </c:pt>
                <c:pt idx="2">
                  <c:v>2180</c:v>
                </c:pt>
                <c:pt idx="3">
                  <c:v>1355</c:v>
                </c:pt>
                <c:pt idx="4">
                  <c:v>875</c:v>
                </c:pt>
                <c:pt idx="5">
                  <c:v>498</c:v>
                </c:pt>
                <c:pt idx="6">
                  <c:v>385</c:v>
                </c:pt>
              </c:numCache>
            </c:numRef>
          </c:yVal>
          <c:smooth val="0"/>
          <c:extLst>
            <c:ext xmlns:c16="http://schemas.microsoft.com/office/drawing/2014/chart" uri="{C3380CC4-5D6E-409C-BE32-E72D297353CC}">
              <c16:uniqueId val="{00000005-4927-4464-A124-CCDE5067C239}"/>
            </c:ext>
          </c:extLst>
        </c:ser>
        <c:ser>
          <c:idx val="6"/>
          <c:order val="6"/>
          <c:tx>
            <c:strRef>
              <c:f>Feuil11!$B$17</c:f>
              <c:strCache>
                <c:ptCount val="1"/>
                <c:pt idx="0">
                  <c:v>NF3 </c:v>
                </c:pt>
              </c:strCache>
            </c:strRef>
          </c:tx>
          <c:spPr>
            <a:ln w="19050" cap="rnd">
              <a:solidFill>
                <a:schemeClr val="accent1">
                  <a:lumMod val="60000"/>
                </a:schemeClr>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Feuil11!$C$17:$I$17</c:f>
              <c:numCache>
                <c:formatCode>General</c:formatCode>
                <c:ptCount val="7"/>
                <c:pt idx="0">
                  <c:v>16</c:v>
                </c:pt>
                <c:pt idx="1">
                  <c:v>6</c:v>
                </c:pt>
                <c:pt idx="2">
                  <c:v>20</c:v>
                </c:pt>
                <c:pt idx="3">
                  <c:v>31</c:v>
                </c:pt>
                <c:pt idx="4">
                  <c:v>32</c:v>
                </c:pt>
                <c:pt idx="5">
                  <c:v>6</c:v>
                </c:pt>
                <c:pt idx="6">
                  <c:v>10</c:v>
                </c:pt>
              </c:numCache>
            </c:numRef>
          </c:yVal>
          <c:smooth val="0"/>
          <c:extLst>
            <c:ext xmlns:c16="http://schemas.microsoft.com/office/drawing/2014/chart" uri="{C3380CC4-5D6E-409C-BE32-E72D297353CC}">
              <c16:uniqueId val="{00000006-4927-4464-A124-CCDE5067C239}"/>
            </c:ext>
          </c:extLst>
        </c:ser>
        <c:ser>
          <c:idx val="7"/>
          <c:order val="7"/>
          <c:tx>
            <c:strRef>
              <c:f>Feuil11!$B$6</c:f>
              <c:strCache>
                <c:ptCount val="1"/>
                <c:pt idx="0">
                  <c:v>CO2 excluding LULUCF (projections)</c:v>
                </c:pt>
              </c:strCache>
            </c:strRef>
          </c:tx>
          <c:spPr>
            <a:ln w="19050" cap="rnd">
              <a:solidFill>
                <a:schemeClr val="accent1"/>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Feuil11!$I$6:$N$6</c:f>
              <c:numCache>
                <c:formatCode>General</c:formatCode>
                <c:ptCount val="6"/>
                <c:pt idx="0">
                  <c:v>326725</c:v>
                </c:pt>
                <c:pt idx="1">
                  <c:v>291487</c:v>
                </c:pt>
                <c:pt idx="2">
                  <c:v>292205</c:v>
                </c:pt>
                <c:pt idx="3">
                  <c:v>272039</c:v>
                </c:pt>
                <c:pt idx="4">
                  <c:v>262355</c:v>
                </c:pt>
                <c:pt idx="5">
                  <c:v>241265</c:v>
                </c:pt>
              </c:numCache>
            </c:numRef>
          </c:yVal>
          <c:smooth val="0"/>
          <c:extLst>
            <c:ext xmlns:c16="http://schemas.microsoft.com/office/drawing/2014/chart" uri="{C3380CC4-5D6E-409C-BE32-E72D297353CC}">
              <c16:uniqueId val="{00000007-4927-4464-A124-CCDE5067C239}"/>
            </c:ext>
          </c:extLst>
        </c:ser>
        <c:ser>
          <c:idx val="8"/>
          <c:order val="8"/>
          <c:tx>
            <c:strRef>
              <c:f>Feuil11!$B$8</c:f>
              <c:strCache>
                <c:ptCount val="1"/>
                <c:pt idx="0">
                  <c:v>CH4 excluding LULUCF (projections)</c:v>
                </c:pt>
              </c:strCache>
            </c:strRef>
          </c:tx>
          <c:spPr>
            <a:ln w="19050" cap="rnd">
              <a:solidFill>
                <a:schemeClr val="accent2"/>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Feuil11!$I$8:$N$8</c:f>
              <c:numCache>
                <c:formatCode>General</c:formatCode>
                <c:ptCount val="6"/>
                <c:pt idx="0">
                  <c:v>55740</c:v>
                </c:pt>
                <c:pt idx="1">
                  <c:v>55161</c:v>
                </c:pt>
                <c:pt idx="2">
                  <c:v>53575</c:v>
                </c:pt>
                <c:pt idx="3">
                  <c:v>52448</c:v>
                </c:pt>
                <c:pt idx="4">
                  <c:v>51718</c:v>
                </c:pt>
                <c:pt idx="5">
                  <c:v>51049</c:v>
                </c:pt>
              </c:numCache>
            </c:numRef>
          </c:yVal>
          <c:smooth val="0"/>
          <c:extLst>
            <c:ext xmlns:c16="http://schemas.microsoft.com/office/drawing/2014/chart" uri="{C3380CC4-5D6E-409C-BE32-E72D297353CC}">
              <c16:uniqueId val="{00000008-4927-4464-A124-CCDE5067C239}"/>
            </c:ext>
          </c:extLst>
        </c:ser>
        <c:ser>
          <c:idx val="9"/>
          <c:order val="9"/>
          <c:tx>
            <c:strRef>
              <c:f>Feuil11!$B$10</c:f>
              <c:strCache>
                <c:ptCount val="1"/>
                <c:pt idx="0">
                  <c:v>N2O excluding LULUCF (projections)</c:v>
                </c:pt>
              </c:strCache>
            </c:strRef>
          </c:tx>
          <c:spPr>
            <a:ln w="19050" cap="rnd">
              <a:solidFill>
                <a:schemeClr val="accent3"/>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Feuil11!$I$10:$N$10</c:f>
              <c:numCache>
                <c:formatCode>General</c:formatCode>
                <c:ptCount val="6"/>
                <c:pt idx="0">
                  <c:v>38071</c:v>
                </c:pt>
                <c:pt idx="1">
                  <c:v>38446</c:v>
                </c:pt>
                <c:pt idx="2">
                  <c:v>37839</c:v>
                </c:pt>
                <c:pt idx="3">
                  <c:v>36921</c:v>
                </c:pt>
                <c:pt idx="4">
                  <c:v>36417</c:v>
                </c:pt>
                <c:pt idx="5">
                  <c:v>35003</c:v>
                </c:pt>
              </c:numCache>
            </c:numRef>
          </c:yVal>
          <c:smooth val="0"/>
          <c:extLst>
            <c:ext xmlns:c16="http://schemas.microsoft.com/office/drawing/2014/chart" uri="{C3380CC4-5D6E-409C-BE32-E72D297353CC}">
              <c16:uniqueId val="{00000009-4927-4464-A124-CCDE5067C239}"/>
            </c:ext>
          </c:extLst>
        </c:ser>
        <c:ser>
          <c:idx val="10"/>
          <c:order val="10"/>
          <c:tx>
            <c:strRef>
              <c:f>Feuil11!$B$12</c:f>
              <c:strCache>
                <c:ptCount val="1"/>
                <c:pt idx="0">
                  <c:v>HFCs (projections)</c:v>
                </c:pt>
              </c:strCache>
            </c:strRef>
          </c:tx>
          <c:spPr>
            <a:ln w="19050" cap="rnd">
              <a:solidFill>
                <a:schemeClr val="accent4"/>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Feuil11!$I$12:$N$12</c:f>
              <c:numCache>
                <c:formatCode>General</c:formatCode>
                <c:ptCount val="6"/>
                <c:pt idx="0">
                  <c:v>12992</c:v>
                </c:pt>
                <c:pt idx="1">
                  <c:v>12721</c:v>
                </c:pt>
                <c:pt idx="2">
                  <c:v>7816</c:v>
                </c:pt>
                <c:pt idx="3">
                  <c:v>5052</c:v>
                </c:pt>
                <c:pt idx="4">
                  <c:v>3427</c:v>
                </c:pt>
                <c:pt idx="5">
                  <c:v>1830</c:v>
                </c:pt>
              </c:numCache>
            </c:numRef>
          </c:yVal>
          <c:smooth val="0"/>
          <c:extLst>
            <c:ext xmlns:c16="http://schemas.microsoft.com/office/drawing/2014/chart" uri="{C3380CC4-5D6E-409C-BE32-E72D297353CC}">
              <c16:uniqueId val="{0000000A-4927-4464-A124-CCDE5067C239}"/>
            </c:ext>
          </c:extLst>
        </c:ser>
        <c:ser>
          <c:idx val="11"/>
          <c:order val="11"/>
          <c:tx>
            <c:strRef>
              <c:f>Feuil11!$B$14</c:f>
              <c:strCache>
                <c:ptCount val="1"/>
                <c:pt idx="0">
                  <c:v>PFCs (projections)</c:v>
                </c:pt>
              </c:strCache>
            </c:strRef>
          </c:tx>
          <c:spPr>
            <a:ln w="19050" cap="rnd">
              <a:solidFill>
                <a:schemeClr val="accent6">
                  <a:lumMod val="60000"/>
                </a:schemeClr>
              </a:solidFill>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Feuil11!$I$14:$N$14</c:f>
              <c:numCache>
                <c:formatCode>General</c:formatCode>
                <c:ptCount val="6"/>
                <c:pt idx="0">
                  <c:v>615</c:v>
                </c:pt>
                <c:pt idx="1">
                  <c:v>462</c:v>
                </c:pt>
                <c:pt idx="2">
                  <c:v>290</c:v>
                </c:pt>
                <c:pt idx="3">
                  <c:v>217</c:v>
                </c:pt>
                <c:pt idx="4">
                  <c:v>156</c:v>
                </c:pt>
                <c:pt idx="5">
                  <c:v>130</c:v>
                </c:pt>
              </c:numCache>
            </c:numRef>
          </c:yVal>
          <c:smooth val="0"/>
          <c:extLst>
            <c:ext xmlns:c16="http://schemas.microsoft.com/office/drawing/2014/chart" uri="{C3380CC4-5D6E-409C-BE32-E72D297353CC}">
              <c16:uniqueId val="{0000000B-4927-4464-A124-CCDE5067C239}"/>
            </c:ext>
          </c:extLst>
        </c:ser>
        <c:ser>
          <c:idx val="12"/>
          <c:order val="12"/>
          <c:tx>
            <c:strRef>
              <c:f>Feuil11!$B$16</c:f>
              <c:strCache>
                <c:ptCount val="1"/>
                <c:pt idx="0">
                  <c:v>SF6 (projections)</c:v>
                </c:pt>
              </c:strCache>
            </c:strRef>
          </c:tx>
          <c:spPr>
            <a:ln w="19050" cap="rnd">
              <a:solidFill>
                <a:schemeClr val="accent1">
                  <a:lumMod val="80000"/>
                  <a:lumOff val="20000"/>
                </a:schemeClr>
              </a:solidFill>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Feuil11!$I$16:$N$16</c:f>
              <c:numCache>
                <c:formatCode>General</c:formatCode>
                <c:ptCount val="6"/>
                <c:pt idx="0">
                  <c:v>385</c:v>
                </c:pt>
                <c:pt idx="1">
                  <c:v>387</c:v>
                </c:pt>
                <c:pt idx="2">
                  <c:v>358</c:v>
                </c:pt>
                <c:pt idx="3">
                  <c:v>359</c:v>
                </c:pt>
                <c:pt idx="4">
                  <c:v>360</c:v>
                </c:pt>
                <c:pt idx="5">
                  <c:v>363</c:v>
                </c:pt>
              </c:numCache>
            </c:numRef>
          </c:yVal>
          <c:smooth val="0"/>
          <c:extLst>
            <c:ext xmlns:c16="http://schemas.microsoft.com/office/drawing/2014/chart" uri="{C3380CC4-5D6E-409C-BE32-E72D297353CC}">
              <c16:uniqueId val="{0000000C-4927-4464-A124-CCDE5067C239}"/>
            </c:ext>
          </c:extLst>
        </c:ser>
        <c:ser>
          <c:idx val="13"/>
          <c:order val="13"/>
          <c:tx>
            <c:strRef>
              <c:f>Feuil11!$B$18</c:f>
              <c:strCache>
                <c:ptCount val="1"/>
                <c:pt idx="0">
                  <c:v>NF3 (projections)</c:v>
                </c:pt>
              </c:strCache>
            </c:strRef>
          </c:tx>
          <c:spPr>
            <a:ln w="19050" cap="rnd">
              <a:solidFill>
                <a:schemeClr val="accent2">
                  <a:lumMod val="80000"/>
                  <a:lumOff val="20000"/>
                </a:schemeClr>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Feuil11!$I$18:$N$18</c:f>
              <c:numCache>
                <c:formatCode>General</c:formatCode>
                <c:ptCount val="6"/>
                <c:pt idx="0">
                  <c:v>10</c:v>
                </c:pt>
                <c:pt idx="1">
                  <c:v>9</c:v>
                </c:pt>
                <c:pt idx="2">
                  <c:v>10</c:v>
                </c:pt>
                <c:pt idx="3">
                  <c:v>10</c:v>
                </c:pt>
                <c:pt idx="4">
                  <c:v>10</c:v>
                </c:pt>
                <c:pt idx="5">
                  <c:v>10</c:v>
                </c:pt>
              </c:numCache>
            </c:numRef>
          </c:yVal>
          <c:smooth val="0"/>
          <c:extLst>
            <c:ext xmlns:c16="http://schemas.microsoft.com/office/drawing/2014/chart" uri="{C3380CC4-5D6E-409C-BE32-E72D297353CC}">
              <c16:uniqueId val="{0000000D-4927-4464-A124-CCDE5067C239}"/>
            </c:ext>
          </c:extLst>
        </c:ser>
        <c:dLbls>
          <c:showLegendKey val="0"/>
          <c:showVal val="0"/>
          <c:showCatName val="0"/>
          <c:showSerName val="0"/>
          <c:showPercent val="0"/>
          <c:showBubbleSize val="0"/>
        </c:dLbls>
        <c:axId val="563831263"/>
        <c:axId val="563830015"/>
      </c:scatterChart>
      <c:valAx>
        <c:axId val="563831263"/>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0015"/>
        <c:crosses val="autoZero"/>
        <c:crossBetween val="midCat"/>
      </c:valAx>
      <c:valAx>
        <c:axId val="563830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baseline="0">
                    <a:effectLst/>
                  </a:rPr>
                  <a:t>ktCO</a:t>
                </a:r>
                <a:r>
                  <a:rPr lang="en-GB" sz="1000" b="0" i="0" u="none" strike="noStrike" baseline="-25000">
                    <a:effectLst/>
                  </a:rPr>
                  <a:t>2e</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1263"/>
        <c:crosses val="autoZero"/>
        <c:crossBetween val="midCat"/>
      </c:valAx>
      <c:spPr>
        <a:noFill/>
        <a:ln>
          <a:noFill/>
        </a:ln>
        <a:effectLst/>
      </c:spPr>
    </c:plotArea>
    <c:legend>
      <c:legendPos val="b"/>
      <c:layout>
        <c:manualLayout>
          <c:xMode val="edge"/>
          <c:yMode val="edge"/>
          <c:x val="0"/>
          <c:y val="0.76626166520851557"/>
          <c:w val="1"/>
          <c:h val="0.2059605570137065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AME21</a:t>
            </a:r>
            <a:r>
              <a:rPr lang="fr-FR" baseline="0"/>
              <a:t> including LULUCF</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0259398018796"/>
          <c:y val="0.17155110819480898"/>
          <c:w val="0.81802244729489459"/>
          <c:h val="0.51227252843394577"/>
        </c:manualLayout>
      </c:layout>
      <c:scatterChart>
        <c:scatterStyle val="lineMarker"/>
        <c:varyColors val="0"/>
        <c:ser>
          <c:idx val="0"/>
          <c:order val="0"/>
          <c:tx>
            <c:strRef>
              <c:f>'Feuil11 (2)'!$B$5</c:f>
              <c:strCache>
                <c:ptCount val="1"/>
                <c:pt idx="0">
                  <c:v>CO2 including LULUCF </c:v>
                </c:pt>
              </c:strCache>
            </c:strRef>
          </c:tx>
          <c:spPr>
            <a:ln w="19050" cap="rnd">
              <a:solidFill>
                <a:schemeClr val="accent1"/>
              </a:solidFill>
              <a:round/>
            </a:ln>
            <a:effectLst/>
          </c:spPr>
          <c:marker>
            <c:symbol val="none"/>
          </c:marker>
          <c:xVal>
            <c:numRef>
              <c:f>'Feuil11 (2)'!$C$4:$I$4</c:f>
              <c:numCache>
                <c:formatCode>General</c:formatCode>
                <c:ptCount val="7"/>
                <c:pt idx="0">
                  <c:v>1990</c:v>
                </c:pt>
                <c:pt idx="1">
                  <c:v>1995</c:v>
                </c:pt>
                <c:pt idx="2">
                  <c:v>2000</c:v>
                </c:pt>
                <c:pt idx="3">
                  <c:v>2005</c:v>
                </c:pt>
                <c:pt idx="4">
                  <c:v>2010</c:v>
                </c:pt>
                <c:pt idx="5">
                  <c:v>2015</c:v>
                </c:pt>
                <c:pt idx="6">
                  <c:v>2019</c:v>
                </c:pt>
              </c:numCache>
            </c:numRef>
          </c:xVal>
          <c:yVal>
            <c:numRef>
              <c:f>'Feuil11 (2)'!$C$5:$I$5</c:f>
              <c:numCache>
                <c:formatCode>General</c:formatCode>
                <c:ptCount val="7"/>
                <c:pt idx="0">
                  <c:v>370280</c:v>
                </c:pt>
                <c:pt idx="1">
                  <c:v>361121</c:v>
                </c:pt>
                <c:pt idx="2">
                  <c:v>390194</c:v>
                </c:pt>
                <c:pt idx="3">
                  <c:v>373972</c:v>
                </c:pt>
                <c:pt idx="4">
                  <c:v>344171</c:v>
                </c:pt>
                <c:pt idx="5">
                  <c:v>303032</c:v>
                </c:pt>
                <c:pt idx="6">
                  <c:v>310432</c:v>
                </c:pt>
              </c:numCache>
            </c:numRef>
          </c:yVal>
          <c:smooth val="0"/>
          <c:extLst>
            <c:ext xmlns:c16="http://schemas.microsoft.com/office/drawing/2014/chart" uri="{C3380CC4-5D6E-409C-BE32-E72D297353CC}">
              <c16:uniqueId val="{00000000-7883-4D7C-BE75-87B79A8C713B}"/>
            </c:ext>
          </c:extLst>
        </c:ser>
        <c:ser>
          <c:idx val="1"/>
          <c:order val="1"/>
          <c:tx>
            <c:strRef>
              <c:f>'Feuil11 (2)'!$B$7</c:f>
              <c:strCache>
                <c:ptCount val="1"/>
                <c:pt idx="0">
                  <c:v>CH4 including LULUCF </c:v>
                </c:pt>
              </c:strCache>
            </c:strRef>
          </c:tx>
          <c:spPr>
            <a:ln w="19050" cap="rnd">
              <a:solidFill>
                <a:schemeClr val="accent2"/>
              </a:solidFill>
              <a:round/>
            </a:ln>
            <a:effectLst/>
          </c:spPr>
          <c:marker>
            <c:symbol val="none"/>
          </c:marker>
          <c:xVal>
            <c:numRef>
              <c:f>'Feuil11 (2)'!$C$4:$I$4</c:f>
              <c:numCache>
                <c:formatCode>General</c:formatCode>
                <c:ptCount val="7"/>
                <c:pt idx="0">
                  <c:v>1990</c:v>
                </c:pt>
                <c:pt idx="1">
                  <c:v>1995</c:v>
                </c:pt>
                <c:pt idx="2">
                  <c:v>2000</c:v>
                </c:pt>
                <c:pt idx="3">
                  <c:v>2005</c:v>
                </c:pt>
                <c:pt idx="4">
                  <c:v>2010</c:v>
                </c:pt>
                <c:pt idx="5">
                  <c:v>2015</c:v>
                </c:pt>
                <c:pt idx="6">
                  <c:v>2019</c:v>
                </c:pt>
              </c:numCache>
            </c:numRef>
          </c:xVal>
          <c:yVal>
            <c:numRef>
              <c:f>'Feuil11 (2)'!$C$7:$I$7</c:f>
              <c:numCache>
                <c:formatCode>General</c:formatCode>
                <c:ptCount val="7"/>
                <c:pt idx="0">
                  <c:v>70094</c:v>
                </c:pt>
                <c:pt idx="1">
                  <c:v>74053</c:v>
                </c:pt>
                <c:pt idx="2">
                  <c:v>70296</c:v>
                </c:pt>
                <c:pt idx="3">
                  <c:v>64820</c:v>
                </c:pt>
                <c:pt idx="4">
                  <c:v>62793</c:v>
                </c:pt>
                <c:pt idx="5">
                  <c:v>58940</c:v>
                </c:pt>
                <c:pt idx="6">
                  <c:v>56877</c:v>
                </c:pt>
              </c:numCache>
            </c:numRef>
          </c:yVal>
          <c:smooth val="0"/>
          <c:extLst>
            <c:ext xmlns:c16="http://schemas.microsoft.com/office/drawing/2014/chart" uri="{C3380CC4-5D6E-409C-BE32-E72D297353CC}">
              <c16:uniqueId val="{00000001-7883-4D7C-BE75-87B79A8C713B}"/>
            </c:ext>
          </c:extLst>
        </c:ser>
        <c:ser>
          <c:idx val="2"/>
          <c:order val="2"/>
          <c:tx>
            <c:strRef>
              <c:f>'Feuil11 (2)'!$B$9</c:f>
              <c:strCache>
                <c:ptCount val="1"/>
                <c:pt idx="0">
                  <c:v>N2O including LULUCF </c:v>
                </c:pt>
              </c:strCache>
            </c:strRef>
          </c:tx>
          <c:spPr>
            <a:ln w="19050" cap="rnd">
              <a:solidFill>
                <a:schemeClr val="accent3"/>
              </a:solidFill>
              <a:round/>
            </a:ln>
            <a:effectLst/>
          </c:spPr>
          <c:marker>
            <c:symbol val="none"/>
          </c:marker>
          <c:xVal>
            <c:numRef>
              <c:f>'Feuil11 (2)'!$C$4:$I$4</c:f>
              <c:numCache>
                <c:formatCode>General</c:formatCode>
                <c:ptCount val="7"/>
                <c:pt idx="0">
                  <c:v>1990</c:v>
                </c:pt>
                <c:pt idx="1">
                  <c:v>1995</c:v>
                </c:pt>
                <c:pt idx="2">
                  <c:v>2000</c:v>
                </c:pt>
                <c:pt idx="3">
                  <c:v>2005</c:v>
                </c:pt>
                <c:pt idx="4">
                  <c:v>2010</c:v>
                </c:pt>
                <c:pt idx="5">
                  <c:v>2015</c:v>
                </c:pt>
                <c:pt idx="6">
                  <c:v>2019</c:v>
                </c:pt>
              </c:numCache>
            </c:numRef>
          </c:xVal>
          <c:yVal>
            <c:numRef>
              <c:f>'Feuil11 (2)'!$C$9:$I$9</c:f>
              <c:numCache>
                <c:formatCode>General</c:formatCode>
                <c:ptCount val="7"/>
                <c:pt idx="0">
                  <c:v>67951</c:v>
                </c:pt>
                <c:pt idx="1">
                  <c:v>69183</c:v>
                </c:pt>
                <c:pt idx="2">
                  <c:v>56873</c:v>
                </c:pt>
                <c:pt idx="3">
                  <c:v>49279</c:v>
                </c:pt>
                <c:pt idx="4">
                  <c:v>43694</c:v>
                </c:pt>
                <c:pt idx="5">
                  <c:v>42840</c:v>
                </c:pt>
                <c:pt idx="6">
                  <c:v>40939</c:v>
                </c:pt>
              </c:numCache>
            </c:numRef>
          </c:yVal>
          <c:smooth val="0"/>
          <c:extLst>
            <c:ext xmlns:c16="http://schemas.microsoft.com/office/drawing/2014/chart" uri="{C3380CC4-5D6E-409C-BE32-E72D297353CC}">
              <c16:uniqueId val="{00000002-7883-4D7C-BE75-87B79A8C713B}"/>
            </c:ext>
          </c:extLst>
        </c:ser>
        <c:ser>
          <c:idx val="3"/>
          <c:order val="3"/>
          <c:tx>
            <c:strRef>
              <c:f>'Feuil11 (2)'!$B$11</c:f>
              <c:strCache>
                <c:ptCount val="1"/>
                <c:pt idx="0">
                  <c:v>HFCs </c:v>
                </c:pt>
              </c:strCache>
            </c:strRef>
          </c:tx>
          <c:spPr>
            <a:ln w="19050" cap="rnd">
              <a:solidFill>
                <a:schemeClr val="accent4"/>
              </a:solidFill>
              <a:round/>
            </a:ln>
            <a:effectLst/>
          </c:spPr>
          <c:marker>
            <c:symbol val="none"/>
          </c:marker>
          <c:xVal>
            <c:numRef>
              <c:f>'Feuil11 (2)'!$C$4:$I$4</c:f>
              <c:numCache>
                <c:formatCode>General</c:formatCode>
                <c:ptCount val="7"/>
                <c:pt idx="0">
                  <c:v>1990</c:v>
                </c:pt>
                <c:pt idx="1">
                  <c:v>1995</c:v>
                </c:pt>
                <c:pt idx="2">
                  <c:v>2000</c:v>
                </c:pt>
                <c:pt idx="3">
                  <c:v>2005</c:v>
                </c:pt>
                <c:pt idx="4">
                  <c:v>2010</c:v>
                </c:pt>
                <c:pt idx="5">
                  <c:v>2015</c:v>
                </c:pt>
                <c:pt idx="6">
                  <c:v>2019</c:v>
                </c:pt>
              </c:numCache>
            </c:numRef>
          </c:xVal>
          <c:yVal>
            <c:numRef>
              <c:f>'Feuil11 (2)'!$C$11:$I$11</c:f>
              <c:numCache>
                <c:formatCode>General</c:formatCode>
                <c:ptCount val="7"/>
                <c:pt idx="0">
                  <c:v>4402</c:v>
                </c:pt>
                <c:pt idx="1">
                  <c:v>1702</c:v>
                </c:pt>
                <c:pt idx="2">
                  <c:v>6736</c:v>
                </c:pt>
                <c:pt idx="3">
                  <c:v>12862</c:v>
                </c:pt>
                <c:pt idx="4">
                  <c:v>16930</c:v>
                </c:pt>
                <c:pt idx="5">
                  <c:v>17494</c:v>
                </c:pt>
                <c:pt idx="6">
                  <c:v>12992</c:v>
                </c:pt>
              </c:numCache>
            </c:numRef>
          </c:yVal>
          <c:smooth val="0"/>
          <c:extLst>
            <c:ext xmlns:c16="http://schemas.microsoft.com/office/drawing/2014/chart" uri="{C3380CC4-5D6E-409C-BE32-E72D297353CC}">
              <c16:uniqueId val="{00000003-7883-4D7C-BE75-87B79A8C713B}"/>
            </c:ext>
          </c:extLst>
        </c:ser>
        <c:ser>
          <c:idx val="4"/>
          <c:order val="4"/>
          <c:tx>
            <c:strRef>
              <c:f>'Feuil11 (2)'!$B$13</c:f>
              <c:strCache>
                <c:ptCount val="1"/>
                <c:pt idx="0">
                  <c:v>PFCs </c:v>
                </c:pt>
              </c:strCache>
            </c:strRef>
          </c:tx>
          <c:spPr>
            <a:ln w="19050" cap="rnd">
              <a:solidFill>
                <a:schemeClr val="accent5"/>
              </a:solidFill>
              <a:round/>
            </a:ln>
            <a:effectLst/>
          </c:spPr>
          <c:marker>
            <c:symbol val="none"/>
          </c:marker>
          <c:xVal>
            <c:numRef>
              <c:f>'Feuil11 (2)'!$C$4:$I$4</c:f>
              <c:numCache>
                <c:formatCode>General</c:formatCode>
                <c:ptCount val="7"/>
                <c:pt idx="0">
                  <c:v>1990</c:v>
                </c:pt>
                <c:pt idx="1">
                  <c:v>1995</c:v>
                </c:pt>
                <c:pt idx="2">
                  <c:v>2000</c:v>
                </c:pt>
                <c:pt idx="3">
                  <c:v>2005</c:v>
                </c:pt>
                <c:pt idx="4">
                  <c:v>2010</c:v>
                </c:pt>
                <c:pt idx="5">
                  <c:v>2015</c:v>
                </c:pt>
                <c:pt idx="6">
                  <c:v>2019</c:v>
                </c:pt>
              </c:numCache>
            </c:numRef>
          </c:xVal>
          <c:yVal>
            <c:numRef>
              <c:f>'Feuil11 (2)'!$C$13:$I$13</c:f>
              <c:numCache>
                <c:formatCode>General</c:formatCode>
                <c:ptCount val="7"/>
                <c:pt idx="0">
                  <c:v>5202</c:v>
                </c:pt>
                <c:pt idx="1">
                  <c:v>3065</c:v>
                </c:pt>
                <c:pt idx="2">
                  <c:v>2997</c:v>
                </c:pt>
                <c:pt idx="3">
                  <c:v>1760</c:v>
                </c:pt>
                <c:pt idx="4">
                  <c:v>617</c:v>
                </c:pt>
                <c:pt idx="5">
                  <c:v>537</c:v>
                </c:pt>
                <c:pt idx="6">
                  <c:v>615</c:v>
                </c:pt>
              </c:numCache>
            </c:numRef>
          </c:yVal>
          <c:smooth val="0"/>
          <c:extLst>
            <c:ext xmlns:c16="http://schemas.microsoft.com/office/drawing/2014/chart" uri="{C3380CC4-5D6E-409C-BE32-E72D297353CC}">
              <c16:uniqueId val="{00000004-7883-4D7C-BE75-87B79A8C713B}"/>
            </c:ext>
          </c:extLst>
        </c:ser>
        <c:ser>
          <c:idx val="5"/>
          <c:order val="5"/>
          <c:tx>
            <c:strRef>
              <c:f>'Feuil11 (2)'!$B$15</c:f>
              <c:strCache>
                <c:ptCount val="1"/>
                <c:pt idx="0">
                  <c:v>SF6 </c:v>
                </c:pt>
              </c:strCache>
            </c:strRef>
          </c:tx>
          <c:spPr>
            <a:ln w="19050" cap="rnd">
              <a:solidFill>
                <a:schemeClr val="accent6"/>
              </a:solidFill>
              <a:round/>
            </a:ln>
            <a:effectLst/>
          </c:spPr>
          <c:marker>
            <c:symbol val="none"/>
          </c:marker>
          <c:xVal>
            <c:numRef>
              <c:f>'Feuil11 (2)'!$C$4:$I$4</c:f>
              <c:numCache>
                <c:formatCode>General</c:formatCode>
                <c:ptCount val="7"/>
                <c:pt idx="0">
                  <c:v>1990</c:v>
                </c:pt>
                <c:pt idx="1">
                  <c:v>1995</c:v>
                </c:pt>
                <c:pt idx="2">
                  <c:v>2000</c:v>
                </c:pt>
                <c:pt idx="3">
                  <c:v>2005</c:v>
                </c:pt>
                <c:pt idx="4">
                  <c:v>2010</c:v>
                </c:pt>
                <c:pt idx="5">
                  <c:v>2015</c:v>
                </c:pt>
                <c:pt idx="6">
                  <c:v>2019</c:v>
                </c:pt>
              </c:numCache>
            </c:numRef>
          </c:xVal>
          <c:yVal>
            <c:numRef>
              <c:f>'Feuil11 (2)'!$C$15:$I$15</c:f>
              <c:numCache>
                <c:formatCode>General</c:formatCode>
                <c:ptCount val="7"/>
                <c:pt idx="0">
                  <c:v>2155</c:v>
                </c:pt>
                <c:pt idx="1">
                  <c:v>2467</c:v>
                </c:pt>
                <c:pt idx="2">
                  <c:v>2180</c:v>
                </c:pt>
                <c:pt idx="3">
                  <c:v>1355</c:v>
                </c:pt>
                <c:pt idx="4">
                  <c:v>875</c:v>
                </c:pt>
                <c:pt idx="5">
                  <c:v>498</c:v>
                </c:pt>
                <c:pt idx="6">
                  <c:v>385</c:v>
                </c:pt>
              </c:numCache>
            </c:numRef>
          </c:yVal>
          <c:smooth val="0"/>
          <c:extLst>
            <c:ext xmlns:c16="http://schemas.microsoft.com/office/drawing/2014/chart" uri="{C3380CC4-5D6E-409C-BE32-E72D297353CC}">
              <c16:uniqueId val="{00000005-7883-4D7C-BE75-87B79A8C713B}"/>
            </c:ext>
          </c:extLst>
        </c:ser>
        <c:ser>
          <c:idx val="6"/>
          <c:order val="6"/>
          <c:tx>
            <c:strRef>
              <c:f>'Feuil11 (2)'!$B$17</c:f>
              <c:strCache>
                <c:ptCount val="1"/>
                <c:pt idx="0">
                  <c:v>NF3 </c:v>
                </c:pt>
              </c:strCache>
            </c:strRef>
          </c:tx>
          <c:spPr>
            <a:ln w="19050" cap="rnd">
              <a:solidFill>
                <a:schemeClr val="accent1">
                  <a:lumMod val="60000"/>
                </a:schemeClr>
              </a:solidFill>
              <a:round/>
            </a:ln>
            <a:effectLst/>
          </c:spPr>
          <c:marker>
            <c:symbol val="none"/>
          </c:marker>
          <c:xVal>
            <c:numRef>
              <c:f>'Feuil11 (2)'!$C$4:$I$4</c:f>
              <c:numCache>
                <c:formatCode>General</c:formatCode>
                <c:ptCount val="7"/>
                <c:pt idx="0">
                  <c:v>1990</c:v>
                </c:pt>
                <c:pt idx="1">
                  <c:v>1995</c:v>
                </c:pt>
                <c:pt idx="2">
                  <c:v>2000</c:v>
                </c:pt>
                <c:pt idx="3">
                  <c:v>2005</c:v>
                </c:pt>
                <c:pt idx="4">
                  <c:v>2010</c:v>
                </c:pt>
                <c:pt idx="5">
                  <c:v>2015</c:v>
                </c:pt>
                <c:pt idx="6">
                  <c:v>2019</c:v>
                </c:pt>
              </c:numCache>
            </c:numRef>
          </c:xVal>
          <c:yVal>
            <c:numRef>
              <c:f>'Feuil11 (2)'!$C$17:$I$17</c:f>
              <c:numCache>
                <c:formatCode>General</c:formatCode>
                <c:ptCount val="7"/>
                <c:pt idx="0">
                  <c:v>16</c:v>
                </c:pt>
                <c:pt idx="1">
                  <c:v>6</c:v>
                </c:pt>
                <c:pt idx="2">
                  <c:v>20</c:v>
                </c:pt>
                <c:pt idx="3">
                  <c:v>31</c:v>
                </c:pt>
                <c:pt idx="4">
                  <c:v>32</c:v>
                </c:pt>
                <c:pt idx="5">
                  <c:v>6</c:v>
                </c:pt>
                <c:pt idx="6">
                  <c:v>10</c:v>
                </c:pt>
              </c:numCache>
            </c:numRef>
          </c:yVal>
          <c:smooth val="0"/>
          <c:extLst>
            <c:ext xmlns:c16="http://schemas.microsoft.com/office/drawing/2014/chart" uri="{C3380CC4-5D6E-409C-BE32-E72D297353CC}">
              <c16:uniqueId val="{00000006-7883-4D7C-BE75-87B79A8C713B}"/>
            </c:ext>
          </c:extLst>
        </c:ser>
        <c:ser>
          <c:idx val="7"/>
          <c:order val="7"/>
          <c:tx>
            <c:strRef>
              <c:f>'Feuil11 (2)'!$B$6</c:f>
              <c:strCache>
                <c:ptCount val="1"/>
                <c:pt idx="0">
                  <c:v>CO2 including LULUCF (projections)</c:v>
                </c:pt>
              </c:strCache>
            </c:strRef>
          </c:tx>
          <c:spPr>
            <a:ln w="19050" cap="rnd">
              <a:solidFill>
                <a:schemeClr val="accent1"/>
              </a:solidFill>
              <a:prstDash val="sysDash"/>
              <a:round/>
            </a:ln>
            <a:effectLst/>
          </c:spPr>
          <c:marker>
            <c:symbol val="none"/>
          </c:marker>
          <c:xVal>
            <c:numRef>
              <c:f>'Feuil11 (2)'!$I$4:$N$4</c:f>
              <c:numCache>
                <c:formatCode>General</c:formatCode>
                <c:ptCount val="6"/>
                <c:pt idx="0">
                  <c:v>2019</c:v>
                </c:pt>
                <c:pt idx="1">
                  <c:v>2020</c:v>
                </c:pt>
                <c:pt idx="2">
                  <c:v>2025</c:v>
                </c:pt>
                <c:pt idx="3">
                  <c:v>2030</c:v>
                </c:pt>
                <c:pt idx="4">
                  <c:v>2035</c:v>
                </c:pt>
                <c:pt idx="5">
                  <c:v>2050</c:v>
                </c:pt>
              </c:numCache>
            </c:numRef>
          </c:xVal>
          <c:yVal>
            <c:numRef>
              <c:f>'Feuil11 (2)'!$I$6:$N$6</c:f>
              <c:numCache>
                <c:formatCode>General</c:formatCode>
                <c:ptCount val="6"/>
                <c:pt idx="0">
                  <c:v>310432</c:v>
                </c:pt>
                <c:pt idx="1">
                  <c:v>254402</c:v>
                </c:pt>
                <c:pt idx="2">
                  <c:v>259213</c:v>
                </c:pt>
                <c:pt idx="3">
                  <c:v>241362</c:v>
                </c:pt>
                <c:pt idx="4">
                  <c:v>236549</c:v>
                </c:pt>
                <c:pt idx="5">
                  <c:v>224391</c:v>
                </c:pt>
              </c:numCache>
            </c:numRef>
          </c:yVal>
          <c:smooth val="0"/>
          <c:extLst>
            <c:ext xmlns:c16="http://schemas.microsoft.com/office/drawing/2014/chart" uri="{C3380CC4-5D6E-409C-BE32-E72D297353CC}">
              <c16:uniqueId val="{00000007-7883-4D7C-BE75-87B79A8C713B}"/>
            </c:ext>
          </c:extLst>
        </c:ser>
        <c:ser>
          <c:idx val="8"/>
          <c:order val="8"/>
          <c:tx>
            <c:strRef>
              <c:f>'Feuil11 (2)'!$B$8</c:f>
              <c:strCache>
                <c:ptCount val="1"/>
                <c:pt idx="0">
                  <c:v>CH4 including LULUCF (projections)</c:v>
                </c:pt>
              </c:strCache>
            </c:strRef>
          </c:tx>
          <c:spPr>
            <a:ln w="19050" cap="rnd">
              <a:solidFill>
                <a:schemeClr val="accent2"/>
              </a:solidFill>
              <a:prstDash val="sysDash"/>
              <a:round/>
            </a:ln>
            <a:effectLst/>
          </c:spPr>
          <c:marker>
            <c:symbol val="none"/>
          </c:marker>
          <c:xVal>
            <c:numRef>
              <c:f>'Feuil11 (2)'!$I$4:$N$4</c:f>
              <c:numCache>
                <c:formatCode>General</c:formatCode>
                <c:ptCount val="6"/>
                <c:pt idx="0">
                  <c:v>2019</c:v>
                </c:pt>
                <c:pt idx="1">
                  <c:v>2020</c:v>
                </c:pt>
                <c:pt idx="2">
                  <c:v>2025</c:v>
                </c:pt>
                <c:pt idx="3">
                  <c:v>2030</c:v>
                </c:pt>
                <c:pt idx="4">
                  <c:v>2035</c:v>
                </c:pt>
                <c:pt idx="5">
                  <c:v>2050</c:v>
                </c:pt>
              </c:numCache>
            </c:numRef>
          </c:xVal>
          <c:yVal>
            <c:numRef>
              <c:f>'Feuil11 (2)'!$I$8:$N$8</c:f>
              <c:numCache>
                <c:formatCode>General</c:formatCode>
                <c:ptCount val="6"/>
                <c:pt idx="0">
                  <c:v>56877</c:v>
                </c:pt>
                <c:pt idx="1">
                  <c:v>56289</c:v>
                </c:pt>
                <c:pt idx="2">
                  <c:v>54702</c:v>
                </c:pt>
                <c:pt idx="3">
                  <c:v>53575</c:v>
                </c:pt>
                <c:pt idx="4">
                  <c:v>52845</c:v>
                </c:pt>
                <c:pt idx="5">
                  <c:v>52176</c:v>
                </c:pt>
              </c:numCache>
            </c:numRef>
          </c:yVal>
          <c:smooth val="0"/>
          <c:extLst>
            <c:ext xmlns:c16="http://schemas.microsoft.com/office/drawing/2014/chart" uri="{C3380CC4-5D6E-409C-BE32-E72D297353CC}">
              <c16:uniqueId val="{00000008-7883-4D7C-BE75-87B79A8C713B}"/>
            </c:ext>
          </c:extLst>
        </c:ser>
        <c:ser>
          <c:idx val="9"/>
          <c:order val="9"/>
          <c:tx>
            <c:strRef>
              <c:f>'Feuil11 (2)'!$B$10</c:f>
              <c:strCache>
                <c:ptCount val="1"/>
                <c:pt idx="0">
                  <c:v>N2O including LULUCF (projections)</c:v>
                </c:pt>
              </c:strCache>
            </c:strRef>
          </c:tx>
          <c:spPr>
            <a:ln w="19050" cap="rnd">
              <a:solidFill>
                <a:schemeClr val="accent3"/>
              </a:solidFill>
              <a:prstDash val="sysDash"/>
              <a:round/>
            </a:ln>
            <a:effectLst/>
          </c:spPr>
          <c:marker>
            <c:symbol val="none"/>
          </c:marker>
          <c:xVal>
            <c:numRef>
              <c:f>'Feuil11 (2)'!$I$4:$N$4</c:f>
              <c:numCache>
                <c:formatCode>General</c:formatCode>
                <c:ptCount val="6"/>
                <c:pt idx="0">
                  <c:v>2019</c:v>
                </c:pt>
                <c:pt idx="1">
                  <c:v>2020</c:v>
                </c:pt>
                <c:pt idx="2">
                  <c:v>2025</c:v>
                </c:pt>
                <c:pt idx="3">
                  <c:v>2030</c:v>
                </c:pt>
                <c:pt idx="4">
                  <c:v>2035</c:v>
                </c:pt>
                <c:pt idx="5">
                  <c:v>2050</c:v>
                </c:pt>
              </c:numCache>
            </c:numRef>
          </c:xVal>
          <c:yVal>
            <c:numRef>
              <c:f>'Feuil11 (2)'!$I$10:$N$10</c:f>
              <c:numCache>
                <c:formatCode>General</c:formatCode>
                <c:ptCount val="6"/>
                <c:pt idx="0">
                  <c:v>40939</c:v>
                </c:pt>
                <c:pt idx="1">
                  <c:v>41566</c:v>
                </c:pt>
                <c:pt idx="2">
                  <c:v>40958</c:v>
                </c:pt>
                <c:pt idx="3">
                  <c:v>40040</c:v>
                </c:pt>
                <c:pt idx="4">
                  <c:v>39537</c:v>
                </c:pt>
                <c:pt idx="5">
                  <c:v>38123</c:v>
                </c:pt>
              </c:numCache>
            </c:numRef>
          </c:yVal>
          <c:smooth val="0"/>
          <c:extLst>
            <c:ext xmlns:c16="http://schemas.microsoft.com/office/drawing/2014/chart" uri="{C3380CC4-5D6E-409C-BE32-E72D297353CC}">
              <c16:uniqueId val="{00000009-7883-4D7C-BE75-87B79A8C713B}"/>
            </c:ext>
          </c:extLst>
        </c:ser>
        <c:ser>
          <c:idx val="10"/>
          <c:order val="10"/>
          <c:tx>
            <c:strRef>
              <c:f>'Feuil11 (2)'!$B$12</c:f>
              <c:strCache>
                <c:ptCount val="1"/>
                <c:pt idx="0">
                  <c:v>HFCs (projections)</c:v>
                </c:pt>
              </c:strCache>
            </c:strRef>
          </c:tx>
          <c:spPr>
            <a:ln w="19050" cap="rnd">
              <a:solidFill>
                <a:schemeClr val="accent4"/>
              </a:solidFill>
              <a:prstDash val="sysDash"/>
              <a:round/>
            </a:ln>
            <a:effectLst/>
          </c:spPr>
          <c:marker>
            <c:symbol val="none"/>
          </c:marker>
          <c:xVal>
            <c:numRef>
              <c:f>'Feuil11 (2)'!$I$4:$N$4</c:f>
              <c:numCache>
                <c:formatCode>General</c:formatCode>
                <c:ptCount val="6"/>
                <c:pt idx="0">
                  <c:v>2019</c:v>
                </c:pt>
                <c:pt idx="1">
                  <c:v>2020</c:v>
                </c:pt>
                <c:pt idx="2">
                  <c:v>2025</c:v>
                </c:pt>
                <c:pt idx="3">
                  <c:v>2030</c:v>
                </c:pt>
                <c:pt idx="4">
                  <c:v>2035</c:v>
                </c:pt>
                <c:pt idx="5">
                  <c:v>2050</c:v>
                </c:pt>
              </c:numCache>
            </c:numRef>
          </c:xVal>
          <c:yVal>
            <c:numRef>
              <c:f>'Feuil11 (2)'!$I$12:$N$12</c:f>
              <c:numCache>
                <c:formatCode>General</c:formatCode>
                <c:ptCount val="6"/>
                <c:pt idx="0">
                  <c:v>12992</c:v>
                </c:pt>
                <c:pt idx="1">
                  <c:v>12721</c:v>
                </c:pt>
                <c:pt idx="2">
                  <c:v>7816</c:v>
                </c:pt>
                <c:pt idx="3">
                  <c:v>5052</c:v>
                </c:pt>
                <c:pt idx="4">
                  <c:v>3427</c:v>
                </c:pt>
                <c:pt idx="5">
                  <c:v>1830</c:v>
                </c:pt>
              </c:numCache>
            </c:numRef>
          </c:yVal>
          <c:smooth val="0"/>
          <c:extLst>
            <c:ext xmlns:c16="http://schemas.microsoft.com/office/drawing/2014/chart" uri="{C3380CC4-5D6E-409C-BE32-E72D297353CC}">
              <c16:uniqueId val="{0000000A-7883-4D7C-BE75-87B79A8C713B}"/>
            </c:ext>
          </c:extLst>
        </c:ser>
        <c:ser>
          <c:idx val="11"/>
          <c:order val="11"/>
          <c:tx>
            <c:strRef>
              <c:f>'Feuil11 (2)'!$B$14</c:f>
              <c:strCache>
                <c:ptCount val="1"/>
                <c:pt idx="0">
                  <c:v>PFCs (projections)</c:v>
                </c:pt>
              </c:strCache>
            </c:strRef>
          </c:tx>
          <c:spPr>
            <a:ln w="19050" cap="rnd">
              <a:solidFill>
                <a:schemeClr val="accent6">
                  <a:lumMod val="60000"/>
                </a:schemeClr>
              </a:solidFill>
              <a:round/>
            </a:ln>
            <a:effectLst/>
          </c:spPr>
          <c:marker>
            <c:symbol val="none"/>
          </c:marker>
          <c:xVal>
            <c:numRef>
              <c:f>'Feuil11 (2)'!$I$4:$N$4</c:f>
              <c:numCache>
                <c:formatCode>General</c:formatCode>
                <c:ptCount val="6"/>
                <c:pt idx="0">
                  <c:v>2019</c:v>
                </c:pt>
                <c:pt idx="1">
                  <c:v>2020</c:v>
                </c:pt>
                <c:pt idx="2">
                  <c:v>2025</c:v>
                </c:pt>
                <c:pt idx="3">
                  <c:v>2030</c:v>
                </c:pt>
                <c:pt idx="4">
                  <c:v>2035</c:v>
                </c:pt>
                <c:pt idx="5">
                  <c:v>2050</c:v>
                </c:pt>
              </c:numCache>
            </c:numRef>
          </c:xVal>
          <c:yVal>
            <c:numRef>
              <c:f>'Feuil11 (2)'!$I$14:$N$14</c:f>
              <c:numCache>
                <c:formatCode>General</c:formatCode>
                <c:ptCount val="6"/>
                <c:pt idx="0">
                  <c:v>615</c:v>
                </c:pt>
                <c:pt idx="1">
                  <c:v>462</c:v>
                </c:pt>
                <c:pt idx="2">
                  <c:v>290</c:v>
                </c:pt>
                <c:pt idx="3">
                  <c:v>217</c:v>
                </c:pt>
                <c:pt idx="4">
                  <c:v>156</c:v>
                </c:pt>
                <c:pt idx="5">
                  <c:v>130</c:v>
                </c:pt>
              </c:numCache>
            </c:numRef>
          </c:yVal>
          <c:smooth val="0"/>
          <c:extLst>
            <c:ext xmlns:c16="http://schemas.microsoft.com/office/drawing/2014/chart" uri="{C3380CC4-5D6E-409C-BE32-E72D297353CC}">
              <c16:uniqueId val="{0000000B-7883-4D7C-BE75-87B79A8C713B}"/>
            </c:ext>
          </c:extLst>
        </c:ser>
        <c:ser>
          <c:idx val="12"/>
          <c:order val="12"/>
          <c:tx>
            <c:strRef>
              <c:f>'Feuil11 (2)'!$B$16</c:f>
              <c:strCache>
                <c:ptCount val="1"/>
                <c:pt idx="0">
                  <c:v>SF6 (projections)</c:v>
                </c:pt>
              </c:strCache>
            </c:strRef>
          </c:tx>
          <c:spPr>
            <a:ln w="19050" cap="rnd">
              <a:solidFill>
                <a:schemeClr val="accent1">
                  <a:lumMod val="80000"/>
                  <a:lumOff val="20000"/>
                </a:schemeClr>
              </a:solidFill>
              <a:round/>
            </a:ln>
            <a:effectLst/>
          </c:spPr>
          <c:marker>
            <c:symbol val="none"/>
          </c:marker>
          <c:xVal>
            <c:numRef>
              <c:f>'Feuil11 (2)'!$I$4:$N$4</c:f>
              <c:numCache>
                <c:formatCode>General</c:formatCode>
                <c:ptCount val="6"/>
                <c:pt idx="0">
                  <c:v>2019</c:v>
                </c:pt>
                <c:pt idx="1">
                  <c:v>2020</c:v>
                </c:pt>
                <c:pt idx="2">
                  <c:v>2025</c:v>
                </c:pt>
                <c:pt idx="3">
                  <c:v>2030</c:v>
                </c:pt>
                <c:pt idx="4">
                  <c:v>2035</c:v>
                </c:pt>
                <c:pt idx="5">
                  <c:v>2050</c:v>
                </c:pt>
              </c:numCache>
            </c:numRef>
          </c:xVal>
          <c:yVal>
            <c:numRef>
              <c:f>'Feuil11 (2)'!$I$16:$N$16</c:f>
              <c:numCache>
                <c:formatCode>General</c:formatCode>
                <c:ptCount val="6"/>
                <c:pt idx="0">
                  <c:v>385</c:v>
                </c:pt>
                <c:pt idx="1">
                  <c:v>387</c:v>
                </c:pt>
                <c:pt idx="2">
                  <c:v>358</c:v>
                </c:pt>
                <c:pt idx="3">
                  <c:v>359</c:v>
                </c:pt>
                <c:pt idx="4">
                  <c:v>360</c:v>
                </c:pt>
                <c:pt idx="5">
                  <c:v>363</c:v>
                </c:pt>
              </c:numCache>
            </c:numRef>
          </c:yVal>
          <c:smooth val="0"/>
          <c:extLst>
            <c:ext xmlns:c16="http://schemas.microsoft.com/office/drawing/2014/chart" uri="{C3380CC4-5D6E-409C-BE32-E72D297353CC}">
              <c16:uniqueId val="{0000000C-7883-4D7C-BE75-87B79A8C713B}"/>
            </c:ext>
          </c:extLst>
        </c:ser>
        <c:ser>
          <c:idx val="13"/>
          <c:order val="13"/>
          <c:tx>
            <c:strRef>
              <c:f>'Feuil11 (2)'!$B$18</c:f>
              <c:strCache>
                <c:ptCount val="1"/>
                <c:pt idx="0">
                  <c:v>NF3 (projections)</c:v>
                </c:pt>
              </c:strCache>
            </c:strRef>
          </c:tx>
          <c:spPr>
            <a:ln w="19050" cap="rnd">
              <a:solidFill>
                <a:schemeClr val="accent5"/>
              </a:solidFill>
              <a:prstDash val="sysDash"/>
              <a:round/>
            </a:ln>
            <a:effectLst/>
          </c:spPr>
          <c:marker>
            <c:symbol val="none"/>
          </c:marker>
          <c:xVal>
            <c:numRef>
              <c:f>'Feuil11 (2)'!$I$4:$N$4</c:f>
              <c:numCache>
                <c:formatCode>General</c:formatCode>
                <c:ptCount val="6"/>
                <c:pt idx="0">
                  <c:v>2019</c:v>
                </c:pt>
                <c:pt idx="1">
                  <c:v>2020</c:v>
                </c:pt>
                <c:pt idx="2">
                  <c:v>2025</c:v>
                </c:pt>
                <c:pt idx="3">
                  <c:v>2030</c:v>
                </c:pt>
                <c:pt idx="4">
                  <c:v>2035</c:v>
                </c:pt>
                <c:pt idx="5">
                  <c:v>2050</c:v>
                </c:pt>
              </c:numCache>
            </c:numRef>
          </c:xVal>
          <c:yVal>
            <c:numRef>
              <c:f>'Feuil11 (2)'!$I$18:$N$18</c:f>
              <c:numCache>
                <c:formatCode>General</c:formatCode>
                <c:ptCount val="6"/>
                <c:pt idx="0">
                  <c:v>10</c:v>
                </c:pt>
                <c:pt idx="1">
                  <c:v>9</c:v>
                </c:pt>
                <c:pt idx="2">
                  <c:v>10</c:v>
                </c:pt>
                <c:pt idx="3">
                  <c:v>10</c:v>
                </c:pt>
                <c:pt idx="4">
                  <c:v>10</c:v>
                </c:pt>
                <c:pt idx="5">
                  <c:v>10</c:v>
                </c:pt>
              </c:numCache>
            </c:numRef>
          </c:yVal>
          <c:smooth val="0"/>
          <c:extLst>
            <c:ext xmlns:c16="http://schemas.microsoft.com/office/drawing/2014/chart" uri="{C3380CC4-5D6E-409C-BE32-E72D297353CC}">
              <c16:uniqueId val="{0000000D-7883-4D7C-BE75-87B79A8C713B}"/>
            </c:ext>
          </c:extLst>
        </c:ser>
        <c:dLbls>
          <c:showLegendKey val="0"/>
          <c:showVal val="0"/>
          <c:showCatName val="0"/>
          <c:showSerName val="0"/>
          <c:showPercent val="0"/>
          <c:showBubbleSize val="0"/>
        </c:dLbls>
        <c:axId val="563831263"/>
        <c:axId val="563830015"/>
      </c:scatterChart>
      <c:valAx>
        <c:axId val="563831263"/>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0015"/>
        <c:crosses val="autoZero"/>
        <c:crossBetween val="midCat"/>
      </c:valAx>
      <c:valAx>
        <c:axId val="563830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baseline="0">
                    <a:effectLst/>
                  </a:rPr>
                  <a:t>ktCO</a:t>
                </a:r>
                <a:r>
                  <a:rPr lang="en-GB" sz="1000" b="0" i="0" u="none" strike="noStrike" baseline="-25000">
                    <a:effectLst/>
                  </a:rPr>
                  <a:t>2e</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1263"/>
        <c:crosses val="autoZero"/>
        <c:crossBetween val="midCat"/>
      </c:valAx>
      <c:spPr>
        <a:noFill/>
        <a:ln>
          <a:noFill/>
        </a:ln>
        <a:effectLst/>
      </c:spPr>
    </c:plotArea>
    <c:legend>
      <c:legendPos val="b"/>
      <c:layout>
        <c:manualLayout>
          <c:xMode val="edge"/>
          <c:yMode val="edge"/>
          <c:x val="0"/>
          <c:y val="0.77299832312627592"/>
          <c:w val="1"/>
          <c:h val="0.1992238990959463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AMS18</a:t>
            </a:r>
            <a:r>
              <a:rPr lang="fr-FR" baseline="0"/>
              <a:t> excluding LULUCF</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711369145149666"/>
          <c:y val="0.13267110408191457"/>
          <c:w val="0.8192251829726972"/>
          <c:h val="0.57626518489700063"/>
        </c:manualLayout>
      </c:layout>
      <c:scatterChart>
        <c:scatterStyle val="lineMarker"/>
        <c:varyColors val="0"/>
        <c:ser>
          <c:idx val="0"/>
          <c:order val="0"/>
          <c:tx>
            <c:strRef>
              <c:f>'Feuil11 (3)'!$B$5</c:f>
              <c:strCache>
                <c:ptCount val="1"/>
                <c:pt idx="0">
                  <c:v>CO2 excluding LULUCF </c:v>
                </c:pt>
              </c:strCache>
            </c:strRef>
          </c:tx>
          <c:spPr>
            <a:ln w="19050" cap="rnd">
              <a:solidFill>
                <a:schemeClr val="accent1"/>
              </a:solidFill>
              <a:round/>
            </a:ln>
            <a:effectLst/>
          </c:spPr>
          <c:marker>
            <c:symbol val="none"/>
          </c:marker>
          <c:xVal>
            <c:numRef>
              <c:f>'Feuil11 (3)'!$C$4:$I$4</c:f>
              <c:numCache>
                <c:formatCode>General</c:formatCode>
                <c:ptCount val="7"/>
                <c:pt idx="0">
                  <c:v>1990</c:v>
                </c:pt>
                <c:pt idx="1">
                  <c:v>1995</c:v>
                </c:pt>
                <c:pt idx="2">
                  <c:v>2000</c:v>
                </c:pt>
                <c:pt idx="3">
                  <c:v>2005</c:v>
                </c:pt>
                <c:pt idx="4">
                  <c:v>2010</c:v>
                </c:pt>
                <c:pt idx="5">
                  <c:v>2015</c:v>
                </c:pt>
                <c:pt idx="6">
                  <c:v>2019</c:v>
                </c:pt>
              </c:numCache>
            </c:numRef>
          </c:xVal>
          <c:yVal>
            <c:numRef>
              <c:f>'Feuil11 (3)'!$C$5:$I$5</c:f>
              <c:numCache>
                <c:formatCode>General</c:formatCode>
                <c:ptCount val="7"/>
                <c:pt idx="0">
                  <c:v>398425</c:v>
                </c:pt>
                <c:pt idx="1">
                  <c:v>392916</c:v>
                </c:pt>
                <c:pt idx="2">
                  <c:v>414788</c:v>
                </c:pt>
                <c:pt idx="3">
                  <c:v>425444</c:v>
                </c:pt>
                <c:pt idx="4">
                  <c:v>386872</c:v>
                </c:pt>
                <c:pt idx="5">
                  <c:v>341631</c:v>
                </c:pt>
                <c:pt idx="6">
                  <c:v>326725</c:v>
                </c:pt>
              </c:numCache>
            </c:numRef>
          </c:yVal>
          <c:smooth val="0"/>
          <c:extLst>
            <c:ext xmlns:c16="http://schemas.microsoft.com/office/drawing/2014/chart" uri="{C3380CC4-5D6E-409C-BE32-E72D297353CC}">
              <c16:uniqueId val="{00000000-E078-4A41-8C3D-A50A10B49B70}"/>
            </c:ext>
          </c:extLst>
        </c:ser>
        <c:ser>
          <c:idx val="1"/>
          <c:order val="1"/>
          <c:tx>
            <c:strRef>
              <c:f>'Feuil11 (3)'!$B$7</c:f>
              <c:strCache>
                <c:ptCount val="1"/>
                <c:pt idx="0">
                  <c:v>CH4 excluding LULUCF </c:v>
                </c:pt>
              </c:strCache>
            </c:strRef>
          </c:tx>
          <c:spPr>
            <a:ln w="19050" cap="rnd">
              <a:solidFill>
                <a:schemeClr val="accent2"/>
              </a:solidFill>
              <a:round/>
            </a:ln>
            <a:effectLst/>
          </c:spPr>
          <c:marker>
            <c:symbol val="none"/>
          </c:marker>
          <c:xVal>
            <c:numRef>
              <c:f>'Feuil11 (3)'!$C$4:$I$4</c:f>
              <c:numCache>
                <c:formatCode>General</c:formatCode>
                <c:ptCount val="7"/>
                <c:pt idx="0">
                  <c:v>1990</c:v>
                </c:pt>
                <c:pt idx="1">
                  <c:v>1995</c:v>
                </c:pt>
                <c:pt idx="2">
                  <c:v>2000</c:v>
                </c:pt>
                <c:pt idx="3">
                  <c:v>2005</c:v>
                </c:pt>
                <c:pt idx="4">
                  <c:v>2010</c:v>
                </c:pt>
                <c:pt idx="5">
                  <c:v>2015</c:v>
                </c:pt>
                <c:pt idx="6">
                  <c:v>2019</c:v>
                </c:pt>
              </c:numCache>
            </c:numRef>
          </c:xVal>
          <c:yVal>
            <c:numRef>
              <c:f>'Feuil11 (3)'!$C$7:$I$7</c:f>
              <c:numCache>
                <c:formatCode>General</c:formatCode>
                <c:ptCount val="7"/>
                <c:pt idx="0">
                  <c:v>69161</c:v>
                </c:pt>
                <c:pt idx="1">
                  <c:v>70383</c:v>
                </c:pt>
                <c:pt idx="2">
                  <c:v>68603</c:v>
                </c:pt>
                <c:pt idx="3">
                  <c:v>63632</c:v>
                </c:pt>
                <c:pt idx="4">
                  <c:v>61663</c:v>
                </c:pt>
                <c:pt idx="5">
                  <c:v>57862</c:v>
                </c:pt>
                <c:pt idx="6">
                  <c:v>55740</c:v>
                </c:pt>
              </c:numCache>
            </c:numRef>
          </c:yVal>
          <c:smooth val="0"/>
          <c:extLst>
            <c:ext xmlns:c16="http://schemas.microsoft.com/office/drawing/2014/chart" uri="{C3380CC4-5D6E-409C-BE32-E72D297353CC}">
              <c16:uniqueId val="{00000001-E078-4A41-8C3D-A50A10B49B70}"/>
            </c:ext>
          </c:extLst>
        </c:ser>
        <c:ser>
          <c:idx val="2"/>
          <c:order val="2"/>
          <c:tx>
            <c:strRef>
              <c:f>'Feuil11 (3)'!$B$9</c:f>
              <c:strCache>
                <c:ptCount val="1"/>
                <c:pt idx="0">
                  <c:v>N2O excluding LULUCF </c:v>
                </c:pt>
              </c:strCache>
            </c:strRef>
          </c:tx>
          <c:spPr>
            <a:ln w="19050" cap="rnd">
              <a:solidFill>
                <a:schemeClr val="accent3"/>
              </a:solidFill>
              <a:round/>
            </a:ln>
            <a:effectLst/>
          </c:spPr>
          <c:marker>
            <c:symbol val="none"/>
          </c:marker>
          <c:xVal>
            <c:numRef>
              <c:f>'Feuil11 (3)'!$C$4:$I$4</c:f>
              <c:numCache>
                <c:formatCode>General</c:formatCode>
                <c:ptCount val="7"/>
                <c:pt idx="0">
                  <c:v>1990</c:v>
                </c:pt>
                <c:pt idx="1">
                  <c:v>1995</c:v>
                </c:pt>
                <c:pt idx="2">
                  <c:v>2000</c:v>
                </c:pt>
                <c:pt idx="3">
                  <c:v>2005</c:v>
                </c:pt>
                <c:pt idx="4">
                  <c:v>2010</c:v>
                </c:pt>
                <c:pt idx="5">
                  <c:v>2015</c:v>
                </c:pt>
                <c:pt idx="6">
                  <c:v>2019</c:v>
                </c:pt>
              </c:numCache>
            </c:numRef>
          </c:xVal>
          <c:yVal>
            <c:numRef>
              <c:f>'Feuil11 (3)'!$C$9:$I$9</c:f>
              <c:numCache>
                <c:formatCode>General</c:formatCode>
                <c:ptCount val="7"/>
                <c:pt idx="0">
                  <c:v>64725</c:v>
                </c:pt>
                <c:pt idx="1">
                  <c:v>65937</c:v>
                </c:pt>
                <c:pt idx="2">
                  <c:v>53681</c:v>
                </c:pt>
                <c:pt idx="3">
                  <c:v>46307</c:v>
                </c:pt>
                <c:pt idx="4">
                  <c:v>40478</c:v>
                </c:pt>
                <c:pt idx="5">
                  <c:v>39895</c:v>
                </c:pt>
                <c:pt idx="6">
                  <c:v>38071</c:v>
                </c:pt>
              </c:numCache>
            </c:numRef>
          </c:yVal>
          <c:smooth val="0"/>
          <c:extLst>
            <c:ext xmlns:c16="http://schemas.microsoft.com/office/drawing/2014/chart" uri="{C3380CC4-5D6E-409C-BE32-E72D297353CC}">
              <c16:uniqueId val="{00000002-E078-4A41-8C3D-A50A10B49B70}"/>
            </c:ext>
          </c:extLst>
        </c:ser>
        <c:ser>
          <c:idx val="3"/>
          <c:order val="3"/>
          <c:tx>
            <c:strRef>
              <c:f>'Feuil11 (3)'!$B$11</c:f>
              <c:strCache>
                <c:ptCount val="1"/>
                <c:pt idx="0">
                  <c:v>HFCs </c:v>
                </c:pt>
              </c:strCache>
            </c:strRef>
          </c:tx>
          <c:spPr>
            <a:ln w="19050" cap="rnd">
              <a:solidFill>
                <a:schemeClr val="accent4"/>
              </a:solidFill>
              <a:round/>
            </a:ln>
            <a:effectLst/>
          </c:spPr>
          <c:marker>
            <c:symbol val="none"/>
          </c:marker>
          <c:xVal>
            <c:numRef>
              <c:f>'Feuil11 (3)'!$C$4:$I$4</c:f>
              <c:numCache>
                <c:formatCode>General</c:formatCode>
                <c:ptCount val="7"/>
                <c:pt idx="0">
                  <c:v>1990</c:v>
                </c:pt>
                <c:pt idx="1">
                  <c:v>1995</c:v>
                </c:pt>
                <c:pt idx="2">
                  <c:v>2000</c:v>
                </c:pt>
                <c:pt idx="3">
                  <c:v>2005</c:v>
                </c:pt>
                <c:pt idx="4">
                  <c:v>2010</c:v>
                </c:pt>
                <c:pt idx="5">
                  <c:v>2015</c:v>
                </c:pt>
                <c:pt idx="6">
                  <c:v>2019</c:v>
                </c:pt>
              </c:numCache>
            </c:numRef>
          </c:xVal>
          <c:yVal>
            <c:numRef>
              <c:f>'Feuil11 (3)'!$C$11:$I$11</c:f>
              <c:numCache>
                <c:formatCode>General</c:formatCode>
                <c:ptCount val="7"/>
                <c:pt idx="0">
                  <c:v>4402</c:v>
                </c:pt>
                <c:pt idx="1">
                  <c:v>1702</c:v>
                </c:pt>
                <c:pt idx="2">
                  <c:v>6736</c:v>
                </c:pt>
                <c:pt idx="3">
                  <c:v>12862</c:v>
                </c:pt>
                <c:pt idx="4">
                  <c:v>16930</c:v>
                </c:pt>
                <c:pt idx="5">
                  <c:v>17494</c:v>
                </c:pt>
                <c:pt idx="6">
                  <c:v>12992</c:v>
                </c:pt>
              </c:numCache>
            </c:numRef>
          </c:yVal>
          <c:smooth val="0"/>
          <c:extLst>
            <c:ext xmlns:c16="http://schemas.microsoft.com/office/drawing/2014/chart" uri="{C3380CC4-5D6E-409C-BE32-E72D297353CC}">
              <c16:uniqueId val="{00000003-E078-4A41-8C3D-A50A10B49B70}"/>
            </c:ext>
          </c:extLst>
        </c:ser>
        <c:ser>
          <c:idx val="4"/>
          <c:order val="4"/>
          <c:tx>
            <c:strRef>
              <c:f>'Feuil11 (3)'!$B$13</c:f>
              <c:strCache>
                <c:ptCount val="1"/>
                <c:pt idx="0">
                  <c:v>PFCs </c:v>
                </c:pt>
              </c:strCache>
            </c:strRef>
          </c:tx>
          <c:spPr>
            <a:ln w="19050" cap="rnd">
              <a:solidFill>
                <a:schemeClr val="accent5"/>
              </a:solidFill>
              <a:round/>
            </a:ln>
            <a:effectLst/>
          </c:spPr>
          <c:marker>
            <c:symbol val="none"/>
          </c:marker>
          <c:xVal>
            <c:numRef>
              <c:f>'Feuil11 (3)'!$C$4:$I$4</c:f>
              <c:numCache>
                <c:formatCode>General</c:formatCode>
                <c:ptCount val="7"/>
                <c:pt idx="0">
                  <c:v>1990</c:v>
                </c:pt>
                <c:pt idx="1">
                  <c:v>1995</c:v>
                </c:pt>
                <c:pt idx="2">
                  <c:v>2000</c:v>
                </c:pt>
                <c:pt idx="3">
                  <c:v>2005</c:v>
                </c:pt>
                <c:pt idx="4">
                  <c:v>2010</c:v>
                </c:pt>
                <c:pt idx="5">
                  <c:v>2015</c:v>
                </c:pt>
                <c:pt idx="6">
                  <c:v>2019</c:v>
                </c:pt>
              </c:numCache>
            </c:numRef>
          </c:xVal>
          <c:yVal>
            <c:numRef>
              <c:f>'Feuil11 (3)'!$C$13:$I$13</c:f>
              <c:numCache>
                <c:formatCode>General</c:formatCode>
                <c:ptCount val="7"/>
                <c:pt idx="0">
                  <c:v>5202</c:v>
                </c:pt>
                <c:pt idx="1">
                  <c:v>3065</c:v>
                </c:pt>
                <c:pt idx="2">
                  <c:v>2997</c:v>
                </c:pt>
                <c:pt idx="3">
                  <c:v>1760</c:v>
                </c:pt>
                <c:pt idx="4">
                  <c:v>617</c:v>
                </c:pt>
                <c:pt idx="5">
                  <c:v>537</c:v>
                </c:pt>
                <c:pt idx="6">
                  <c:v>615</c:v>
                </c:pt>
              </c:numCache>
            </c:numRef>
          </c:yVal>
          <c:smooth val="0"/>
          <c:extLst>
            <c:ext xmlns:c16="http://schemas.microsoft.com/office/drawing/2014/chart" uri="{C3380CC4-5D6E-409C-BE32-E72D297353CC}">
              <c16:uniqueId val="{00000004-E078-4A41-8C3D-A50A10B49B70}"/>
            </c:ext>
          </c:extLst>
        </c:ser>
        <c:ser>
          <c:idx val="5"/>
          <c:order val="5"/>
          <c:tx>
            <c:strRef>
              <c:f>'Feuil11 (3)'!$B$15</c:f>
              <c:strCache>
                <c:ptCount val="1"/>
                <c:pt idx="0">
                  <c:v>SF6 </c:v>
                </c:pt>
              </c:strCache>
            </c:strRef>
          </c:tx>
          <c:spPr>
            <a:ln w="19050" cap="rnd">
              <a:solidFill>
                <a:schemeClr val="accent6"/>
              </a:solidFill>
              <a:round/>
            </a:ln>
            <a:effectLst/>
          </c:spPr>
          <c:marker>
            <c:symbol val="none"/>
          </c:marker>
          <c:xVal>
            <c:numRef>
              <c:f>'Feuil11 (3)'!$C$4:$I$4</c:f>
              <c:numCache>
                <c:formatCode>General</c:formatCode>
                <c:ptCount val="7"/>
                <c:pt idx="0">
                  <c:v>1990</c:v>
                </c:pt>
                <c:pt idx="1">
                  <c:v>1995</c:v>
                </c:pt>
                <c:pt idx="2">
                  <c:v>2000</c:v>
                </c:pt>
                <c:pt idx="3">
                  <c:v>2005</c:v>
                </c:pt>
                <c:pt idx="4">
                  <c:v>2010</c:v>
                </c:pt>
                <c:pt idx="5">
                  <c:v>2015</c:v>
                </c:pt>
                <c:pt idx="6">
                  <c:v>2019</c:v>
                </c:pt>
              </c:numCache>
            </c:numRef>
          </c:xVal>
          <c:yVal>
            <c:numRef>
              <c:f>'Feuil11 (3)'!$C$15:$I$15</c:f>
              <c:numCache>
                <c:formatCode>General</c:formatCode>
                <c:ptCount val="7"/>
                <c:pt idx="0">
                  <c:v>2155</c:v>
                </c:pt>
                <c:pt idx="1">
                  <c:v>2467</c:v>
                </c:pt>
                <c:pt idx="2">
                  <c:v>2180</c:v>
                </c:pt>
                <c:pt idx="3">
                  <c:v>1355</c:v>
                </c:pt>
                <c:pt idx="4">
                  <c:v>875</c:v>
                </c:pt>
                <c:pt idx="5">
                  <c:v>498</c:v>
                </c:pt>
                <c:pt idx="6">
                  <c:v>385</c:v>
                </c:pt>
              </c:numCache>
            </c:numRef>
          </c:yVal>
          <c:smooth val="0"/>
          <c:extLst>
            <c:ext xmlns:c16="http://schemas.microsoft.com/office/drawing/2014/chart" uri="{C3380CC4-5D6E-409C-BE32-E72D297353CC}">
              <c16:uniqueId val="{00000005-E078-4A41-8C3D-A50A10B49B70}"/>
            </c:ext>
          </c:extLst>
        </c:ser>
        <c:ser>
          <c:idx val="6"/>
          <c:order val="6"/>
          <c:tx>
            <c:strRef>
              <c:f>'Feuil11 (3)'!$B$17</c:f>
              <c:strCache>
                <c:ptCount val="1"/>
                <c:pt idx="0">
                  <c:v>NF3 </c:v>
                </c:pt>
              </c:strCache>
            </c:strRef>
          </c:tx>
          <c:spPr>
            <a:ln w="19050" cap="rnd">
              <a:solidFill>
                <a:schemeClr val="accent1">
                  <a:lumMod val="60000"/>
                </a:schemeClr>
              </a:solidFill>
              <a:round/>
            </a:ln>
            <a:effectLst/>
          </c:spPr>
          <c:marker>
            <c:symbol val="none"/>
          </c:marker>
          <c:xVal>
            <c:numRef>
              <c:f>'Feuil11 (3)'!$C$4:$I$4</c:f>
              <c:numCache>
                <c:formatCode>General</c:formatCode>
                <c:ptCount val="7"/>
                <c:pt idx="0">
                  <c:v>1990</c:v>
                </c:pt>
                <c:pt idx="1">
                  <c:v>1995</c:v>
                </c:pt>
                <c:pt idx="2">
                  <c:v>2000</c:v>
                </c:pt>
                <c:pt idx="3">
                  <c:v>2005</c:v>
                </c:pt>
                <c:pt idx="4">
                  <c:v>2010</c:v>
                </c:pt>
                <c:pt idx="5">
                  <c:v>2015</c:v>
                </c:pt>
                <c:pt idx="6">
                  <c:v>2019</c:v>
                </c:pt>
              </c:numCache>
            </c:numRef>
          </c:xVal>
          <c:yVal>
            <c:numRef>
              <c:f>'Feuil11 (3)'!$C$17:$I$17</c:f>
              <c:numCache>
                <c:formatCode>General</c:formatCode>
                <c:ptCount val="7"/>
                <c:pt idx="0">
                  <c:v>16</c:v>
                </c:pt>
                <c:pt idx="1">
                  <c:v>6</c:v>
                </c:pt>
                <c:pt idx="2">
                  <c:v>20</c:v>
                </c:pt>
                <c:pt idx="3">
                  <c:v>31</c:v>
                </c:pt>
                <c:pt idx="4">
                  <c:v>32</c:v>
                </c:pt>
                <c:pt idx="5">
                  <c:v>6</c:v>
                </c:pt>
                <c:pt idx="6">
                  <c:v>10</c:v>
                </c:pt>
              </c:numCache>
            </c:numRef>
          </c:yVal>
          <c:smooth val="0"/>
          <c:extLst>
            <c:ext xmlns:c16="http://schemas.microsoft.com/office/drawing/2014/chart" uri="{C3380CC4-5D6E-409C-BE32-E72D297353CC}">
              <c16:uniqueId val="{00000006-E078-4A41-8C3D-A50A10B49B70}"/>
            </c:ext>
          </c:extLst>
        </c:ser>
        <c:ser>
          <c:idx val="7"/>
          <c:order val="7"/>
          <c:tx>
            <c:strRef>
              <c:f>'Feuil11 (3)'!$B$6</c:f>
              <c:strCache>
                <c:ptCount val="1"/>
                <c:pt idx="0">
                  <c:v>CO2 excluding LULUCF (projections)</c:v>
                </c:pt>
              </c:strCache>
            </c:strRef>
          </c:tx>
          <c:spPr>
            <a:ln w="19050" cap="rnd">
              <a:solidFill>
                <a:schemeClr val="accent1"/>
              </a:solidFill>
              <a:prstDash val="sysDash"/>
              <a:round/>
            </a:ln>
            <a:effectLst/>
          </c:spPr>
          <c:marker>
            <c:symbol val="none"/>
          </c:marker>
          <c:xVal>
            <c:numRef>
              <c:f>'Feuil11 (3)'!$I$4:$N$4</c:f>
              <c:numCache>
                <c:formatCode>General</c:formatCode>
                <c:ptCount val="6"/>
                <c:pt idx="0">
                  <c:v>2019</c:v>
                </c:pt>
                <c:pt idx="1">
                  <c:v>2020</c:v>
                </c:pt>
                <c:pt idx="2">
                  <c:v>2025</c:v>
                </c:pt>
                <c:pt idx="3">
                  <c:v>2030</c:v>
                </c:pt>
                <c:pt idx="4">
                  <c:v>2035</c:v>
                </c:pt>
                <c:pt idx="5">
                  <c:v>2050</c:v>
                </c:pt>
              </c:numCache>
            </c:numRef>
          </c:xVal>
          <c:yVal>
            <c:numRef>
              <c:f>'Feuil11 (3)'!$I$6:$N$6</c:f>
              <c:numCache>
                <c:formatCode>General</c:formatCode>
                <c:ptCount val="6"/>
                <c:pt idx="0">
                  <c:v>326725</c:v>
                </c:pt>
                <c:pt idx="1">
                  <c:v>325904</c:v>
                </c:pt>
                <c:pt idx="2">
                  <c:v>273167</c:v>
                </c:pt>
                <c:pt idx="3">
                  <c:v>220992</c:v>
                </c:pt>
                <c:pt idx="4">
                  <c:v>167257</c:v>
                </c:pt>
                <c:pt idx="5">
                  <c:v>6447</c:v>
                </c:pt>
              </c:numCache>
            </c:numRef>
          </c:yVal>
          <c:smooth val="0"/>
          <c:extLst>
            <c:ext xmlns:c16="http://schemas.microsoft.com/office/drawing/2014/chart" uri="{C3380CC4-5D6E-409C-BE32-E72D297353CC}">
              <c16:uniqueId val="{00000007-E078-4A41-8C3D-A50A10B49B70}"/>
            </c:ext>
          </c:extLst>
        </c:ser>
        <c:ser>
          <c:idx val="8"/>
          <c:order val="8"/>
          <c:tx>
            <c:strRef>
              <c:f>'Feuil11 (3)'!$B$8</c:f>
              <c:strCache>
                <c:ptCount val="1"/>
                <c:pt idx="0">
                  <c:v>CH4 excluding LULUCF (projections)</c:v>
                </c:pt>
              </c:strCache>
            </c:strRef>
          </c:tx>
          <c:spPr>
            <a:ln w="19050" cap="rnd">
              <a:solidFill>
                <a:schemeClr val="accent2"/>
              </a:solidFill>
              <a:prstDash val="sysDash"/>
              <a:round/>
            </a:ln>
            <a:effectLst/>
          </c:spPr>
          <c:marker>
            <c:symbol val="none"/>
          </c:marker>
          <c:xVal>
            <c:numRef>
              <c:f>'Feuil11 (3)'!$I$4:$N$4</c:f>
              <c:numCache>
                <c:formatCode>General</c:formatCode>
                <c:ptCount val="6"/>
                <c:pt idx="0">
                  <c:v>2019</c:v>
                </c:pt>
                <c:pt idx="1">
                  <c:v>2020</c:v>
                </c:pt>
                <c:pt idx="2">
                  <c:v>2025</c:v>
                </c:pt>
                <c:pt idx="3">
                  <c:v>2030</c:v>
                </c:pt>
                <c:pt idx="4">
                  <c:v>2035</c:v>
                </c:pt>
                <c:pt idx="5">
                  <c:v>2050</c:v>
                </c:pt>
              </c:numCache>
            </c:numRef>
          </c:xVal>
          <c:yVal>
            <c:numRef>
              <c:f>'Feuil11 (3)'!$I$8:$N$8</c:f>
              <c:numCache>
                <c:formatCode>General</c:formatCode>
                <c:ptCount val="6"/>
                <c:pt idx="0">
                  <c:v>55740</c:v>
                </c:pt>
                <c:pt idx="1">
                  <c:v>52531</c:v>
                </c:pt>
                <c:pt idx="2">
                  <c:v>47947</c:v>
                </c:pt>
                <c:pt idx="3">
                  <c:v>44507</c:v>
                </c:pt>
                <c:pt idx="4">
                  <c:v>41496</c:v>
                </c:pt>
                <c:pt idx="5">
                  <c:v>32465</c:v>
                </c:pt>
              </c:numCache>
            </c:numRef>
          </c:yVal>
          <c:smooth val="0"/>
          <c:extLst>
            <c:ext xmlns:c16="http://schemas.microsoft.com/office/drawing/2014/chart" uri="{C3380CC4-5D6E-409C-BE32-E72D297353CC}">
              <c16:uniqueId val="{00000008-E078-4A41-8C3D-A50A10B49B70}"/>
            </c:ext>
          </c:extLst>
        </c:ser>
        <c:ser>
          <c:idx val="9"/>
          <c:order val="9"/>
          <c:tx>
            <c:strRef>
              <c:f>'Feuil11 (3)'!$B$10</c:f>
              <c:strCache>
                <c:ptCount val="1"/>
                <c:pt idx="0">
                  <c:v>N2O excluding LULUCF (projections)</c:v>
                </c:pt>
              </c:strCache>
            </c:strRef>
          </c:tx>
          <c:spPr>
            <a:ln w="19050" cap="rnd">
              <a:solidFill>
                <a:schemeClr val="accent3"/>
              </a:solidFill>
              <a:prstDash val="sysDash"/>
              <a:round/>
            </a:ln>
            <a:effectLst/>
          </c:spPr>
          <c:marker>
            <c:symbol val="none"/>
          </c:marker>
          <c:xVal>
            <c:numRef>
              <c:f>'Feuil11 (3)'!$I$4:$N$4</c:f>
              <c:numCache>
                <c:formatCode>General</c:formatCode>
                <c:ptCount val="6"/>
                <c:pt idx="0">
                  <c:v>2019</c:v>
                </c:pt>
                <c:pt idx="1">
                  <c:v>2020</c:v>
                </c:pt>
                <c:pt idx="2">
                  <c:v>2025</c:v>
                </c:pt>
                <c:pt idx="3">
                  <c:v>2030</c:v>
                </c:pt>
                <c:pt idx="4">
                  <c:v>2035</c:v>
                </c:pt>
                <c:pt idx="5">
                  <c:v>2050</c:v>
                </c:pt>
              </c:numCache>
            </c:numRef>
          </c:xVal>
          <c:yVal>
            <c:numRef>
              <c:f>'Feuil11 (3)'!$I$10:$N$10</c:f>
              <c:numCache>
                <c:formatCode>General</c:formatCode>
                <c:ptCount val="6"/>
                <c:pt idx="0">
                  <c:v>38071</c:v>
                </c:pt>
                <c:pt idx="1">
                  <c:v>40268</c:v>
                </c:pt>
                <c:pt idx="2">
                  <c:v>37693</c:v>
                </c:pt>
                <c:pt idx="3">
                  <c:v>35559</c:v>
                </c:pt>
                <c:pt idx="4">
                  <c:v>33721</c:v>
                </c:pt>
                <c:pt idx="5">
                  <c:v>22856</c:v>
                </c:pt>
              </c:numCache>
            </c:numRef>
          </c:yVal>
          <c:smooth val="0"/>
          <c:extLst>
            <c:ext xmlns:c16="http://schemas.microsoft.com/office/drawing/2014/chart" uri="{C3380CC4-5D6E-409C-BE32-E72D297353CC}">
              <c16:uniqueId val="{00000009-E078-4A41-8C3D-A50A10B49B70}"/>
            </c:ext>
          </c:extLst>
        </c:ser>
        <c:ser>
          <c:idx val="10"/>
          <c:order val="10"/>
          <c:tx>
            <c:strRef>
              <c:f>'Feuil11 (3)'!$B$12</c:f>
              <c:strCache>
                <c:ptCount val="1"/>
                <c:pt idx="0">
                  <c:v>HFCs (projections)</c:v>
                </c:pt>
              </c:strCache>
            </c:strRef>
          </c:tx>
          <c:spPr>
            <a:ln w="19050" cap="rnd">
              <a:solidFill>
                <a:schemeClr val="accent4"/>
              </a:solidFill>
              <a:prstDash val="sysDash"/>
              <a:round/>
            </a:ln>
            <a:effectLst/>
          </c:spPr>
          <c:marker>
            <c:symbol val="none"/>
          </c:marker>
          <c:xVal>
            <c:numRef>
              <c:f>'Feuil11 (3)'!$I$4:$N$4</c:f>
              <c:numCache>
                <c:formatCode>General</c:formatCode>
                <c:ptCount val="6"/>
                <c:pt idx="0">
                  <c:v>2019</c:v>
                </c:pt>
                <c:pt idx="1">
                  <c:v>2020</c:v>
                </c:pt>
                <c:pt idx="2">
                  <c:v>2025</c:v>
                </c:pt>
                <c:pt idx="3">
                  <c:v>2030</c:v>
                </c:pt>
                <c:pt idx="4">
                  <c:v>2035</c:v>
                </c:pt>
                <c:pt idx="5">
                  <c:v>2050</c:v>
                </c:pt>
              </c:numCache>
            </c:numRef>
          </c:xVal>
          <c:yVal>
            <c:numRef>
              <c:f>'Feuil11 (3)'!$I$12:$N$12</c:f>
              <c:numCache>
                <c:formatCode>General</c:formatCode>
                <c:ptCount val="6"/>
                <c:pt idx="0">
                  <c:v>12992</c:v>
                </c:pt>
                <c:pt idx="1">
                  <c:v>14731</c:v>
                </c:pt>
                <c:pt idx="2">
                  <c:v>7995</c:v>
                </c:pt>
                <c:pt idx="3">
                  <c:v>5241</c:v>
                </c:pt>
                <c:pt idx="4">
                  <c:v>4458</c:v>
                </c:pt>
                <c:pt idx="5">
                  <c:v>2109</c:v>
                </c:pt>
              </c:numCache>
            </c:numRef>
          </c:yVal>
          <c:smooth val="0"/>
          <c:extLst>
            <c:ext xmlns:c16="http://schemas.microsoft.com/office/drawing/2014/chart" uri="{C3380CC4-5D6E-409C-BE32-E72D297353CC}">
              <c16:uniqueId val="{0000000A-E078-4A41-8C3D-A50A10B49B70}"/>
            </c:ext>
          </c:extLst>
        </c:ser>
        <c:ser>
          <c:idx val="11"/>
          <c:order val="11"/>
          <c:tx>
            <c:strRef>
              <c:f>'Feuil11 (3)'!$B$14</c:f>
              <c:strCache>
                <c:ptCount val="1"/>
                <c:pt idx="0">
                  <c:v>PFCs (projections)</c:v>
                </c:pt>
              </c:strCache>
            </c:strRef>
          </c:tx>
          <c:spPr>
            <a:ln w="19050" cap="rnd">
              <a:solidFill>
                <a:schemeClr val="accent6">
                  <a:lumMod val="60000"/>
                </a:schemeClr>
              </a:solidFill>
              <a:round/>
            </a:ln>
            <a:effectLst/>
          </c:spPr>
          <c:marker>
            <c:symbol val="none"/>
          </c:marker>
          <c:xVal>
            <c:numRef>
              <c:f>'Feuil11 (3)'!$I$4:$N$4</c:f>
              <c:numCache>
                <c:formatCode>General</c:formatCode>
                <c:ptCount val="6"/>
                <c:pt idx="0">
                  <c:v>2019</c:v>
                </c:pt>
                <c:pt idx="1">
                  <c:v>2020</c:v>
                </c:pt>
                <c:pt idx="2">
                  <c:v>2025</c:v>
                </c:pt>
                <c:pt idx="3">
                  <c:v>2030</c:v>
                </c:pt>
                <c:pt idx="4">
                  <c:v>2035</c:v>
                </c:pt>
                <c:pt idx="5">
                  <c:v>2050</c:v>
                </c:pt>
              </c:numCache>
            </c:numRef>
          </c:xVal>
          <c:yVal>
            <c:numRef>
              <c:f>'Feuil11 (3)'!$I$14:$N$14</c:f>
              <c:numCache>
                <c:formatCode>General</c:formatCode>
                <c:ptCount val="6"/>
                <c:pt idx="0">
                  <c:v>615</c:v>
                </c:pt>
                <c:pt idx="1">
                  <c:v>479</c:v>
                </c:pt>
                <c:pt idx="2">
                  <c:v>395</c:v>
                </c:pt>
                <c:pt idx="3">
                  <c:v>330</c:v>
                </c:pt>
                <c:pt idx="4">
                  <c:v>299</c:v>
                </c:pt>
                <c:pt idx="5">
                  <c:v>205</c:v>
                </c:pt>
              </c:numCache>
            </c:numRef>
          </c:yVal>
          <c:smooth val="0"/>
          <c:extLst>
            <c:ext xmlns:c16="http://schemas.microsoft.com/office/drawing/2014/chart" uri="{C3380CC4-5D6E-409C-BE32-E72D297353CC}">
              <c16:uniqueId val="{0000000B-E078-4A41-8C3D-A50A10B49B70}"/>
            </c:ext>
          </c:extLst>
        </c:ser>
        <c:ser>
          <c:idx val="12"/>
          <c:order val="12"/>
          <c:tx>
            <c:strRef>
              <c:f>'Feuil11 (3)'!$B$16</c:f>
              <c:strCache>
                <c:ptCount val="1"/>
                <c:pt idx="0">
                  <c:v>SF6 (projections)</c:v>
                </c:pt>
              </c:strCache>
            </c:strRef>
          </c:tx>
          <c:spPr>
            <a:ln w="19050" cap="rnd">
              <a:solidFill>
                <a:schemeClr val="accent1">
                  <a:lumMod val="80000"/>
                  <a:lumOff val="20000"/>
                </a:schemeClr>
              </a:solidFill>
              <a:round/>
            </a:ln>
            <a:effectLst/>
          </c:spPr>
          <c:marker>
            <c:symbol val="none"/>
          </c:marker>
          <c:xVal>
            <c:numRef>
              <c:f>'Feuil11 (3)'!$I$4:$N$4</c:f>
              <c:numCache>
                <c:formatCode>General</c:formatCode>
                <c:ptCount val="6"/>
                <c:pt idx="0">
                  <c:v>2019</c:v>
                </c:pt>
                <c:pt idx="1">
                  <c:v>2020</c:v>
                </c:pt>
                <c:pt idx="2">
                  <c:v>2025</c:v>
                </c:pt>
                <c:pt idx="3">
                  <c:v>2030</c:v>
                </c:pt>
                <c:pt idx="4">
                  <c:v>2035</c:v>
                </c:pt>
                <c:pt idx="5">
                  <c:v>2050</c:v>
                </c:pt>
              </c:numCache>
            </c:numRef>
          </c:xVal>
          <c:yVal>
            <c:numRef>
              <c:f>'Feuil11 (3)'!$I$16:$N$16</c:f>
              <c:numCache>
                <c:formatCode>General</c:formatCode>
                <c:ptCount val="6"/>
                <c:pt idx="0">
                  <c:v>385</c:v>
                </c:pt>
                <c:pt idx="1">
                  <c:v>458</c:v>
                </c:pt>
                <c:pt idx="2">
                  <c:v>459</c:v>
                </c:pt>
                <c:pt idx="3">
                  <c:v>460</c:v>
                </c:pt>
                <c:pt idx="4">
                  <c:v>460</c:v>
                </c:pt>
                <c:pt idx="5">
                  <c:v>463</c:v>
                </c:pt>
              </c:numCache>
            </c:numRef>
          </c:yVal>
          <c:smooth val="0"/>
          <c:extLst>
            <c:ext xmlns:c16="http://schemas.microsoft.com/office/drawing/2014/chart" uri="{C3380CC4-5D6E-409C-BE32-E72D297353CC}">
              <c16:uniqueId val="{0000000C-E078-4A41-8C3D-A50A10B49B70}"/>
            </c:ext>
          </c:extLst>
        </c:ser>
        <c:ser>
          <c:idx val="13"/>
          <c:order val="13"/>
          <c:tx>
            <c:strRef>
              <c:f>'Feuil11 (3)'!$B$18</c:f>
              <c:strCache>
                <c:ptCount val="1"/>
                <c:pt idx="0">
                  <c:v>NF3 (projections)</c:v>
                </c:pt>
              </c:strCache>
            </c:strRef>
          </c:tx>
          <c:spPr>
            <a:ln w="19050" cap="rnd">
              <a:solidFill>
                <a:schemeClr val="accent5"/>
              </a:solidFill>
              <a:prstDash val="sysDash"/>
              <a:round/>
            </a:ln>
            <a:effectLst/>
          </c:spPr>
          <c:marker>
            <c:symbol val="none"/>
          </c:marker>
          <c:xVal>
            <c:numRef>
              <c:f>'Feuil11 (3)'!$I$4:$N$4</c:f>
              <c:numCache>
                <c:formatCode>General</c:formatCode>
                <c:ptCount val="6"/>
                <c:pt idx="0">
                  <c:v>2019</c:v>
                </c:pt>
                <c:pt idx="1">
                  <c:v>2020</c:v>
                </c:pt>
                <c:pt idx="2">
                  <c:v>2025</c:v>
                </c:pt>
                <c:pt idx="3">
                  <c:v>2030</c:v>
                </c:pt>
                <c:pt idx="4">
                  <c:v>2035</c:v>
                </c:pt>
                <c:pt idx="5">
                  <c:v>2050</c:v>
                </c:pt>
              </c:numCache>
            </c:numRef>
          </c:xVal>
          <c:yVal>
            <c:numRef>
              <c:f>'Feuil11 (3)'!$I$18:$N$18</c:f>
              <c:numCache>
                <c:formatCode>General</c:formatCode>
                <c:ptCount val="6"/>
                <c:pt idx="0">
                  <c:v>10</c:v>
                </c:pt>
                <c:pt idx="1">
                  <c:v>6</c:v>
                </c:pt>
                <c:pt idx="2">
                  <c:v>6</c:v>
                </c:pt>
                <c:pt idx="3">
                  <c:v>6</c:v>
                </c:pt>
                <c:pt idx="4">
                  <c:v>6</c:v>
                </c:pt>
                <c:pt idx="5">
                  <c:v>6</c:v>
                </c:pt>
              </c:numCache>
            </c:numRef>
          </c:yVal>
          <c:smooth val="0"/>
          <c:extLst>
            <c:ext xmlns:c16="http://schemas.microsoft.com/office/drawing/2014/chart" uri="{C3380CC4-5D6E-409C-BE32-E72D297353CC}">
              <c16:uniqueId val="{0000000D-E078-4A41-8C3D-A50A10B49B70}"/>
            </c:ext>
          </c:extLst>
        </c:ser>
        <c:dLbls>
          <c:showLegendKey val="0"/>
          <c:showVal val="0"/>
          <c:showCatName val="0"/>
          <c:showSerName val="0"/>
          <c:showPercent val="0"/>
          <c:showBubbleSize val="0"/>
        </c:dLbls>
        <c:axId val="563831263"/>
        <c:axId val="563830015"/>
      </c:scatterChart>
      <c:valAx>
        <c:axId val="563831263"/>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0015"/>
        <c:crosses val="autoZero"/>
        <c:crossBetween val="midCat"/>
      </c:valAx>
      <c:valAx>
        <c:axId val="563830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baseline="0">
                    <a:effectLst/>
                  </a:rPr>
                  <a:t>ktCO</a:t>
                </a:r>
                <a:r>
                  <a:rPr lang="en-GB" sz="1000" b="0" i="0" u="none" strike="noStrike" baseline="-25000">
                    <a:effectLst/>
                  </a:rPr>
                  <a:t>2e</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1263"/>
        <c:crosses val="autoZero"/>
        <c:crossBetween val="midCat"/>
      </c:valAx>
      <c:spPr>
        <a:noFill/>
        <a:ln>
          <a:noFill/>
        </a:ln>
        <a:effectLst/>
      </c:spPr>
    </c:plotArea>
    <c:legend>
      <c:legendPos val="b"/>
      <c:layout>
        <c:manualLayout>
          <c:xMode val="edge"/>
          <c:yMode val="edge"/>
          <c:x val="0"/>
          <c:y val="0.79417300281073888"/>
          <c:w val="1"/>
          <c:h val="0.1843447200678862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AMS18</a:t>
            </a:r>
            <a:r>
              <a:rPr lang="fr-FR" baseline="0"/>
              <a:t> including LULUCF</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'Feuil11 (4)'!$B$5</c:f>
              <c:strCache>
                <c:ptCount val="1"/>
                <c:pt idx="0">
                  <c:v>CO2 including LULUCF </c:v>
                </c:pt>
              </c:strCache>
            </c:strRef>
          </c:tx>
          <c:spPr>
            <a:ln w="19050" cap="rnd">
              <a:solidFill>
                <a:schemeClr val="accent1"/>
              </a:solidFill>
              <a:round/>
            </a:ln>
            <a:effectLst/>
          </c:spPr>
          <c:marker>
            <c:symbol val="none"/>
          </c:marker>
          <c:xVal>
            <c:numRef>
              <c:f>'Feuil11 (4)'!$C$4:$I$4</c:f>
              <c:numCache>
                <c:formatCode>General</c:formatCode>
                <c:ptCount val="7"/>
                <c:pt idx="0">
                  <c:v>1990</c:v>
                </c:pt>
                <c:pt idx="1">
                  <c:v>1995</c:v>
                </c:pt>
                <c:pt idx="2">
                  <c:v>2000</c:v>
                </c:pt>
                <c:pt idx="3">
                  <c:v>2005</c:v>
                </c:pt>
                <c:pt idx="4">
                  <c:v>2010</c:v>
                </c:pt>
                <c:pt idx="5">
                  <c:v>2015</c:v>
                </c:pt>
                <c:pt idx="6">
                  <c:v>2019</c:v>
                </c:pt>
              </c:numCache>
            </c:numRef>
          </c:xVal>
          <c:yVal>
            <c:numRef>
              <c:f>'Feuil11 (4)'!$C$5:$I$5</c:f>
              <c:numCache>
                <c:formatCode>General</c:formatCode>
                <c:ptCount val="7"/>
                <c:pt idx="0">
                  <c:v>370280</c:v>
                </c:pt>
                <c:pt idx="1">
                  <c:v>361121</c:v>
                </c:pt>
                <c:pt idx="2">
                  <c:v>390194</c:v>
                </c:pt>
                <c:pt idx="3">
                  <c:v>373972</c:v>
                </c:pt>
                <c:pt idx="4">
                  <c:v>344171</c:v>
                </c:pt>
                <c:pt idx="5">
                  <c:v>303032</c:v>
                </c:pt>
                <c:pt idx="6">
                  <c:v>310432</c:v>
                </c:pt>
              </c:numCache>
            </c:numRef>
          </c:yVal>
          <c:smooth val="1"/>
          <c:extLst>
            <c:ext xmlns:c16="http://schemas.microsoft.com/office/drawing/2014/chart" uri="{C3380CC4-5D6E-409C-BE32-E72D297353CC}">
              <c16:uniqueId val="{00000000-02D0-46A3-95F0-3502173C0A1A}"/>
            </c:ext>
          </c:extLst>
        </c:ser>
        <c:ser>
          <c:idx val="1"/>
          <c:order val="1"/>
          <c:tx>
            <c:strRef>
              <c:f>'Feuil11 (4)'!$B$7</c:f>
              <c:strCache>
                <c:ptCount val="1"/>
                <c:pt idx="0">
                  <c:v>CH4 including LULUCF </c:v>
                </c:pt>
              </c:strCache>
            </c:strRef>
          </c:tx>
          <c:spPr>
            <a:ln w="19050" cap="rnd">
              <a:solidFill>
                <a:schemeClr val="accent2"/>
              </a:solidFill>
              <a:round/>
            </a:ln>
            <a:effectLst/>
          </c:spPr>
          <c:marker>
            <c:symbol val="none"/>
          </c:marker>
          <c:xVal>
            <c:numRef>
              <c:f>'Feuil11 (4)'!$C$4:$I$4</c:f>
              <c:numCache>
                <c:formatCode>General</c:formatCode>
                <c:ptCount val="7"/>
                <c:pt idx="0">
                  <c:v>1990</c:v>
                </c:pt>
                <c:pt idx="1">
                  <c:v>1995</c:v>
                </c:pt>
                <c:pt idx="2">
                  <c:v>2000</c:v>
                </c:pt>
                <c:pt idx="3">
                  <c:v>2005</c:v>
                </c:pt>
                <c:pt idx="4">
                  <c:v>2010</c:v>
                </c:pt>
                <c:pt idx="5">
                  <c:v>2015</c:v>
                </c:pt>
                <c:pt idx="6">
                  <c:v>2019</c:v>
                </c:pt>
              </c:numCache>
            </c:numRef>
          </c:xVal>
          <c:yVal>
            <c:numRef>
              <c:f>'Feuil11 (4)'!$C$7:$I$7</c:f>
              <c:numCache>
                <c:formatCode>General</c:formatCode>
                <c:ptCount val="7"/>
                <c:pt idx="0">
                  <c:v>70094</c:v>
                </c:pt>
                <c:pt idx="1">
                  <c:v>74053</c:v>
                </c:pt>
                <c:pt idx="2">
                  <c:v>70296</c:v>
                </c:pt>
                <c:pt idx="3">
                  <c:v>64820</c:v>
                </c:pt>
                <c:pt idx="4">
                  <c:v>62793</c:v>
                </c:pt>
                <c:pt idx="5">
                  <c:v>58940</c:v>
                </c:pt>
                <c:pt idx="6">
                  <c:v>56877</c:v>
                </c:pt>
              </c:numCache>
            </c:numRef>
          </c:yVal>
          <c:smooth val="1"/>
          <c:extLst>
            <c:ext xmlns:c16="http://schemas.microsoft.com/office/drawing/2014/chart" uri="{C3380CC4-5D6E-409C-BE32-E72D297353CC}">
              <c16:uniqueId val="{00000001-02D0-46A3-95F0-3502173C0A1A}"/>
            </c:ext>
          </c:extLst>
        </c:ser>
        <c:ser>
          <c:idx val="2"/>
          <c:order val="2"/>
          <c:tx>
            <c:strRef>
              <c:f>'Feuil11 (4)'!$B$9</c:f>
              <c:strCache>
                <c:ptCount val="1"/>
                <c:pt idx="0">
                  <c:v>N2O including LULUCF </c:v>
                </c:pt>
              </c:strCache>
            </c:strRef>
          </c:tx>
          <c:spPr>
            <a:ln w="19050" cap="rnd">
              <a:solidFill>
                <a:schemeClr val="accent3"/>
              </a:solidFill>
              <a:round/>
            </a:ln>
            <a:effectLst/>
          </c:spPr>
          <c:marker>
            <c:symbol val="none"/>
          </c:marker>
          <c:xVal>
            <c:numRef>
              <c:f>'Feuil11 (4)'!$C$4:$I$4</c:f>
              <c:numCache>
                <c:formatCode>General</c:formatCode>
                <c:ptCount val="7"/>
                <c:pt idx="0">
                  <c:v>1990</c:v>
                </c:pt>
                <c:pt idx="1">
                  <c:v>1995</c:v>
                </c:pt>
                <c:pt idx="2">
                  <c:v>2000</c:v>
                </c:pt>
                <c:pt idx="3">
                  <c:v>2005</c:v>
                </c:pt>
                <c:pt idx="4">
                  <c:v>2010</c:v>
                </c:pt>
                <c:pt idx="5">
                  <c:v>2015</c:v>
                </c:pt>
                <c:pt idx="6">
                  <c:v>2019</c:v>
                </c:pt>
              </c:numCache>
            </c:numRef>
          </c:xVal>
          <c:yVal>
            <c:numRef>
              <c:f>'Feuil11 (4)'!$C$9:$I$9</c:f>
              <c:numCache>
                <c:formatCode>General</c:formatCode>
                <c:ptCount val="7"/>
                <c:pt idx="0">
                  <c:v>67951</c:v>
                </c:pt>
                <c:pt idx="1">
                  <c:v>69183</c:v>
                </c:pt>
                <c:pt idx="2">
                  <c:v>56873</c:v>
                </c:pt>
                <c:pt idx="3">
                  <c:v>49279</c:v>
                </c:pt>
                <c:pt idx="4">
                  <c:v>43694</c:v>
                </c:pt>
                <c:pt idx="5">
                  <c:v>42840</c:v>
                </c:pt>
                <c:pt idx="6">
                  <c:v>40939</c:v>
                </c:pt>
              </c:numCache>
            </c:numRef>
          </c:yVal>
          <c:smooth val="1"/>
          <c:extLst>
            <c:ext xmlns:c16="http://schemas.microsoft.com/office/drawing/2014/chart" uri="{C3380CC4-5D6E-409C-BE32-E72D297353CC}">
              <c16:uniqueId val="{00000002-02D0-46A3-95F0-3502173C0A1A}"/>
            </c:ext>
          </c:extLst>
        </c:ser>
        <c:ser>
          <c:idx val="3"/>
          <c:order val="3"/>
          <c:tx>
            <c:strRef>
              <c:f>'Feuil11 (4)'!$B$11</c:f>
              <c:strCache>
                <c:ptCount val="1"/>
                <c:pt idx="0">
                  <c:v>HFCs </c:v>
                </c:pt>
              </c:strCache>
            </c:strRef>
          </c:tx>
          <c:spPr>
            <a:ln w="19050" cap="rnd">
              <a:solidFill>
                <a:schemeClr val="accent4"/>
              </a:solidFill>
              <a:round/>
            </a:ln>
            <a:effectLst/>
          </c:spPr>
          <c:marker>
            <c:symbol val="none"/>
          </c:marker>
          <c:xVal>
            <c:numRef>
              <c:f>'Feuil11 (4)'!$C$4:$I$4</c:f>
              <c:numCache>
                <c:formatCode>General</c:formatCode>
                <c:ptCount val="7"/>
                <c:pt idx="0">
                  <c:v>1990</c:v>
                </c:pt>
                <c:pt idx="1">
                  <c:v>1995</c:v>
                </c:pt>
                <c:pt idx="2">
                  <c:v>2000</c:v>
                </c:pt>
                <c:pt idx="3">
                  <c:v>2005</c:v>
                </c:pt>
                <c:pt idx="4">
                  <c:v>2010</c:v>
                </c:pt>
                <c:pt idx="5">
                  <c:v>2015</c:v>
                </c:pt>
                <c:pt idx="6">
                  <c:v>2019</c:v>
                </c:pt>
              </c:numCache>
            </c:numRef>
          </c:xVal>
          <c:yVal>
            <c:numRef>
              <c:f>'Feuil11 (4)'!$C$11:$I$11</c:f>
              <c:numCache>
                <c:formatCode>General</c:formatCode>
                <c:ptCount val="7"/>
                <c:pt idx="0">
                  <c:v>4402</c:v>
                </c:pt>
                <c:pt idx="1">
                  <c:v>1702</c:v>
                </c:pt>
                <c:pt idx="2">
                  <c:v>6736</c:v>
                </c:pt>
                <c:pt idx="3">
                  <c:v>12862</c:v>
                </c:pt>
                <c:pt idx="4">
                  <c:v>16930</c:v>
                </c:pt>
                <c:pt idx="5">
                  <c:v>17494</c:v>
                </c:pt>
                <c:pt idx="6">
                  <c:v>12992</c:v>
                </c:pt>
              </c:numCache>
            </c:numRef>
          </c:yVal>
          <c:smooth val="1"/>
          <c:extLst>
            <c:ext xmlns:c16="http://schemas.microsoft.com/office/drawing/2014/chart" uri="{C3380CC4-5D6E-409C-BE32-E72D297353CC}">
              <c16:uniqueId val="{00000003-02D0-46A3-95F0-3502173C0A1A}"/>
            </c:ext>
          </c:extLst>
        </c:ser>
        <c:ser>
          <c:idx val="4"/>
          <c:order val="4"/>
          <c:tx>
            <c:strRef>
              <c:f>'Feuil11 (4)'!$B$13</c:f>
              <c:strCache>
                <c:ptCount val="1"/>
                <c:pt idx="0">
                  <c:v>PFCs </c:v>
                </c:pt>
              </c:strCache>
            </c:strRef>
          </c:tx>
          <c:spPr>
            <a:ln w="19050" cap="rnd">
              <a:solidFill>
                <a:schemeClr val="accent5"/>
              </a:solidFill>
              <a:round/>
            </a:ln>
            <a:effectLst/>
          </c:spPr>
          <c:marker>
            <c:symbol val="none"/>
          </c:marker>
          <c:xVal>
            <c:numRef>
              <c:f>'Feuil11 (4)'!$C$4:$I$4</c:f>
              <c:numCache>
                <c:formatCode>General</c:formatCode>
                <c:ptCount val="7"/>
                <c:pt idx="0">
                  <c:v>1990</c:v>
                </c:pt>
                <c:pt idx="1">
                  <c:v>1995</c:v>
                </c:pt>
                <c:pt idx="2">
                  <c:v>2000</c:v>
                </c:pt>
                <c:pt idx="3">
                  <c:v>2005</c:v>
                </c:pt>
                <c:pt idx="4">
                  <c:v>2010</c:v>
                </c:pt>
                <c:pt idx="5">
                  <c:v>2015</c:v>
                </c:pt>
                <c:pt idx="6">
                  <c:v>2019</c:v>
                </c:pt>
              </c:numCache>
            </c:numRef>
          </c:xVal>
          <c:yVal>
            <c:numRef>
              <c:f>'Feuil11 (4)'!$C$13:$I$13</c:f>
              <c:numCache>
                <c:formatCode>General</c:formatCode>
                <c:ptCount val="7"/>
                <c:pt idx="0">
                  <c:v>5202</c:v>
                </c:pt>
                <c:pt idx="1">
                  <c:v>3065</c:v>
                </c:pt>
                <c:pt idx="2">
                  <c:v>2997</c:v>
                </c:pt>
                <c:pt idx="3">
                  <c:v>1760</c:v>
                </c:pt>
                <c:pt idx="4">
                  <c:v>617</c:v>
                </c:pt>
                <c:pt idx="5">
                  <c:v>537</c:v>
                </c:pt>
                <c:pt idx="6">
                  <c:v>615</c:v>
                </c:pt>
              </c:numCache>
            </c:numRef>
          </c:yVal>
          <c:smooth val="1"/>
          <c:extLst>
            <c:ext xmlns:c16="http://schemas.microsoft.com/office/drawing/2014/chart" uri="{C3380CC4-5D6E-409C-BE32-E72D297353CC}">
              <c16:uniqueId val="{00000004-02D0-46A3-95F0-3502173C0A1A}"/>
            </c:ext>
          </c:extLst>
        </c:ser>
        <c:ser>
          <c:idx val="5"/>
          <c:order val="5"/>
          <c:tx>
            <c:strRef>
              <c:f>'Feuil11 (4)'!$B$15</c:f>
              <c:strCache>
                <c:ptCount val="1"/>
                <c:pt idx="0">
                  <c:v>SF6 </c:v>
                </c:pt>
              </c:strCache>
            </c:strRef>
          </c:tx>
          <c:spPr>
            <a:ln w="19050" cap="rnd">
              <a:solidFill>
                <a:schemeClr val="accent6"/>
              </a:solidFill>
              <a:round/>
            </a:ln>
            <a:effectLst/>
          </c:spPr>
          <c:marker>
            <c:symbol val="none"/>
          </c:marker>
          <c:xVal>
            <c:numRef>
              <c:f>'Feuil11 (4)'!$C$4:$I$4</c:f>
              <c:numCache>
                <c:formatCode>General</c:formatCode>
                <c:ptCount val="7"/>
                <c:pt idx="0">
                  <c:v>1990</c:v>
                </c:pt>
                <c:pt idx="1">
                  <c:v>1995</c:v>
                </c:pt>
                <c:pt idx="2">
                  <c:v>2000</c:v>
                </c:pt>
                <c:pt idx="3">
                  <c:v>2005</c:v>
                </c:pt>
                <c:pt idx="4">
                  <c:v>2010</c:v>
                </c:pt>
                <c:pt idx="5">
                  <c:v>2015</c:v>
                </c:pt>
                <c:pt idx="6">
                  <c:v>2019</c:v>
                </c:pt>
              </c:numCache>
            </c:numRef>
          </c:xVal>
          <c:yVal>
            <c:numRef>
              <c:f>'Feuil11 (4)'!$C$15:$I$15</c:f>
              <c:numCache>
                <c:formatCode>General</c:formatCode>
                <c:ptCount val="7"/>
                <c:pt idx="0">
                  <c:v>2155</c:v>
                </c:pt>
                <c:pt idx="1">
                  <c:v>2467</c:v>
                </c:pt>
                <c:pt idx="2">
                  <c:v>2180</c:v>
                </c:pt>
                <c:pt idx="3">
                  <c:v>1355</c:v>
                </c:pt>
                <c:pt idx="4">
                  <c:v>875</c:v>
                </c:pt>
                <c:pt idx="5">
                  <c:v>498</c:v>
                </c:pt>
                <c:pt idx="6">
                  <c:v>385</c:v>
                </c:pt>
              </c:numCache>
            </c:numRef>
          </c:yVal>
          <c:smooth val="1"/>
          <c:extLst>
            <c:ext xmlns:c16="http://schemas.microsoft.com/office/drawing/2014/chart" uri="{C3380CC4-5D6E-409C-BE32-E72D297353CC}">
              <c16:uniqueId val="{00000005-02D0-46A3-95F0-3502173C0A1A}"/>
            </c:ext>
          </c:extLst>
        </c:ser>
        <c:ser>
          <c:idx val="6"/>
          <c:order val="6"/>
          <c:tx>
            <c:strRef>
              <c:f>'Feuil11 (4)'!$B$17</c:f>
              <c:strCache>
                <c:ptCount val="1"/>
                <c:pt idx="0">
                  <c:v>NF3 </c:v>
                </c:pt>
              </c:strCache>
            </c:strRef>
          </c:tx>
          <c:spPr>
            <a:ln w="19050" cap="rnd">
              <a:solidFill>
                <a:schemeClr val="accent1">
                  <a:lumMod val="60000"/>
                </a:schemeClr>
              </a:solidFill>
              <a:round/>
            </a:ln>
            <a:effectLst/>
          </c:spPr>
          <c:marker>
            <c:symbol val="none"/>
          </c:marker>
          <c:xVal>
            <c:numRef>
              <c:f>'Feuil11 (4)'!$C$4:$I$4</c:f>
              <c:numCache>
                <c:formatCode>General</c:formatCode>
                <c:ptCount val="7"/>
                <c:pt idx="0">
                  <c:v>1990</c:v>
                </c:pt>
                <c:pt idx="1">
                  <c:v>1995</c:v>
                </c:pt>
                <c:pt idx="2">
                  <c:v>2000</c:v>
                </c:pt>
                <c:pt idx="3">
                  <c:v>2005</c:v>
                </c:pt>
                <c:pt idx="4">
                  <c:v>2010</c:v>
                </c:pt>
                <c:pt idx="5">
                  <c:v>2015</c:v>
                </c:pt>
                <c:pt idx="6">
                  <c:v>2019</c:v>
                </c:pt>
              </c:numCache>
            </c:numRef>
          </c:xVal>
          <c:yVal>
            <c:numRef>
              <c:f>'Feuil11 (4)'!$C$17:$I$17</c:f>
              <c:numCache>
                <c:formatCode>General</c:formatCode>
                <c:ptCount val="7"/>
                <c:pt idx="0">
                  <c:v>16</c:v>
                </c:pt>
                <c:pt idx="1">
                  <c:v>6</c:v>
                </c:pt>
                <c:pt idx="2">
                  <c:v>20</c:v>
                </c:pt>
                <c:pt idx="3">
                  <c:v>31</c:v>
                </c:pt>
                <c:pt idx="4">
                  <c:v>32</c:v>
                </c:pt>
                <c:pt idx="5">
                  <c:v>6</c:v>
                </c:pt>
                <c:pt idx="6">
                  <c:v>10</c:v>
                </c:pt>
              </c:numCache>
            </c:numRef>
          </c:yVal>
          <c:smooth val="1"/>
          <c:extLst>
            <c:ext xmlns:c16="http://schemas.microsoft.com/office/drawing/2014/chart" uri="{C3380CC4-5D6E-409C-BE32-E72D297353CC}">
              <c16:uniqueId val="{00000006-02D0-46A3-95F0-3502173C0A1A}"/>
            </c:ext>
          </c:extLst>
        </c:ser>
        <c:ser>
          <c:idx val="7"/>
          <c:order val="7"/>
          <c:tx>
            <c:strRef>
              <c:f>'Feuil11 (4)'!$B$6</c:f>
              <c:strCache>
                <c:ptCount val="1"/>
                <c:pt idx="0">
                  <c:v>CO2 including LULUCF (projections)</c:v>
                </c:pt>
              </c:strCache>
            </c:strRef>
          </c:tx>
          <c:spPr>
            <a:ln w="19050" cap="rnd">
              <a:solidFill>
                <a:schemeClr val="accent1"/>
              </a:solidFill>
              <a:prstDash val="sysDash"/>
              <a:round/>
            </a:ln>
            <a:effectLst/>
          </c:spPr>
          <c:marker>
            <c:symbol val="none"/>
          </c:marker>
          <c:xVal>
            <c:numRef>
              <c:f>'Feuil11 (4)'!$I$4:$N$4</c:f>
              <c:numCache>
                <c:formatCode>General</c:formatCode>
                <c:ptCount val="6"/>
                <c:pt idx="0">
                  <c:v>2019</c:v>
                </c:pt>
                <c:pt idx="1">
                  <c:v>2020</c:v>
                </c:pt>
                <c:pt idx="2">
                  <c:v>2025</c:v>
                </c:pt>
                <c:pt idx="3">
                  <c:v>2030</c:v>
                </c:pt>
                <c:pt idx="4">
                  <c:v>2035</c:v>
                </c:pt>
                <c:pt idx="5">
                  <c:v>2050</c:v>
                </c:pt>
              </c:numCache>
            </c:numRef>
          </c:xVal>
          <c:yVal>
            <c:numRef>
              <c:f>'Feuil11 (4)'!$I$6:$N$6</c:f>
              <c:numCache>
                <c:formatCode>General</c:formatCode>
                <c:ptCount val="6"/>
                <c:pt idx="0">
                  <c:v>310432</c:v>
                </c:pt>
                <c:pt idx="1">
                  <c:v>282686</c:v>
                </c:pt>
                <c:pt idx="2">
                  <c:v>231263</c:v>
                </c:pt>
                <c:pt idx="3">
                  <c:v>176617</c:v>
                </c:pt>
                <c:pt idx="4">
                  <c:v>117863</c:v>
                </c:pt>
                <c:pt idx="5">
                  <c:v>-64813</c:v>
                </c:pt>
              </c:numCache>
            </c:numRef>
          </c:yVal>
          <c:smooth val="1"/>
          <c:extLst>
            <c:ext xmlns:c16="http://schemas.microsoft.com/office/drawing/2014/chart" uri="{C3380CC4-5D6E-409C-BE32-E72D297353CC}">
              <c16:uniqueId val="{00000007-02D0-46A3-95F0-3502173C0A1A}"/>
            </c:ext>
          </c:extLst>
        </c:ser>
        <c:ser>
          <c:idx val="8"/>
          <c:order val="8"/>
          <c:tx>
            <c:strRef>
              <c:f>'Feuil11 (4)'!$B$8</c:f>
              <c:strCache>
                <c:ptCount val="1"/>
                <c:pt idx="0">
                  <c:v>CH4 including LULUCF (projections)</c:v>
                </c:pt>
              </c:strCache>
            </c:strRef>
          </c:tx>
          <c:spPr>
            <a:ln w="19050" cap="rnd">
              <a:solidFill>
                <a:schemeClr val="tx2"/>
              </a:solidFill>
              <a:prstDash val="sysDash"/>
              <a:round/>
            </a:ln>
            <a:effectLst/>
          </c:spPr>
          <c:marker>
            <c:symbol val="none"/>
          </c:marker>
          <c:xVal>
            <c:numRef>
              <c:f>'Feuil11 (4)'!$I$4:$N$4</c:f>
              <c:numCache>
                <c:formatCode>General</c:formatCode>
                <c:ptCount val="6"/>
                <c:pt idx="0">
                  <c:v>2019</c:v>
                </c:pt>
                <c:pt idx="1">
                  <c:v>2020</c:v>
                </c:pt>
                <c:pt idx="2">
                  <c:v>2025</c:v>
                </c:pt>
                <c:pt idx="3">
                  <c:v>2030</c:v>
                </c:pt>
                <c:pt idx="4">
                  <c:v>2035</c:v>
                </c:pt>
                <c:pt idx="5">
                  <c:v>2050</c:v>
                </c:pt>
              </c:numCache>
            </c:numRef>
          </c:xVal>
          <c:yVal>
            <c:numRef>
              <c:f>'Feuil11 (4)'!$I$8:$N$8</c:f>
              <c:numCache>
                <c:formatCode>General</c:formatCode>
                <c:ptCount val="6"/>
                <c:pt idx="0">
                  <c:v>56877</c:v>
                </c:pt>
                <c:pt idx="1">
                  <c:v>53671</c:v>
                </c:pt>
                <c:pt idx="2">
                  <c:v>49093</c:v>
                </c:pt>
                <c:pt idx="3">
                  <c:v>45641</c:v>
                </c:pt>
                <c:pt idx="4">
                  <c:v>42610</c:v>
                </c:pt>
                <c:pt idx="5">
                  <c:v>33519</c:v>
                </c:pt>
              </c:numCache>
            </c:numRef>
          </c:yVal>
          <c:smooth val="1"/>
          <c:extLst>
            <c:ext xmlns:c16="http://schemas.microsoft.com/office/drawing/2014/chart" uri="{C3380CC4-5D6E-409C-BE32-E72D297353CC}">
              <c16:uniqueId val="{00000008-02D0-46A3-95F0-3502173C0A1A}"/>
            </c:ext>
          </c:extLst>
        </c:ser>
        <c:ser>
          <c:idx val="9"/>
          <c:order val="9"/>
          <c:tx>
            <c:strRef>
              <c:f>'Feuil11 (4)'!$B$10</c:f>
              <c:strCache>
                <c:ptCount val="1"/>
                <c:pt idx="0">
                  <c:v>N2O including LULUCF (projections)</c:v>
                </c:pt>
              </c:strCache>
            </c:strRef>
          </c:tx>
          <c:spPr>
            <a:ln w="19050" cap="rnd">
              <a:solidFill>
                <a:schemeClr val="accent3"/>
              </a:solidFill>
              <a:prstDash val="sysDash"/>
              <a:round/>
            </a:ln>
            <a:effectLst/>
          </c:spPr>
          <c:marker>
            <c:symbol val="none"/>
          </c:marker>
          <c:xVal>
            <c:numRef>
              <c:f>'Feuil11 (4)'!$I$4:$N$4</c:f>
              <c:numCache>
                <c:formatCode>General</c:formatCode>
                <c:ptCount val="6"/>
                <c:pt idx="0">
                  <c:v>2019</c:v>
                </c:pt>
                <c:pt idx="1">
                  <c:v>2020</c:v>
                </c:pt>
                <c:pt idx="2">
                  <c:v>2025</c:v>
                </c:pt>
                <c:pt idx="3">
                  <c:v>2030</c:v>
                </c:pt>
                <c:pt idx="4">
                  <c:v>2035</c:v>
                </c:pt>
                <c:pt idx="5">
                  <c:v>2050</c:v>
                </c:pt>
              </c:numCache>
            </c:numRef>
          </c:xVal>
          <c:yVal>
            <c:numRef>
              <c:f>'Feuil11 (4)'!$I$10:$N$10</c:f>
              <c:numCache>
                <c:formatCode>General</c:formatCode>
                <c:ptCount val="6"/>
                <c:pt idx="0">
                  <c:v>40939</c:v>
                </c:pt>
                <c:pt idx="1">
                  <c:v>43352</c:v>
                </c:pt>
                <c:pt idx="2">
                  <c:v>40778</c:v>
                </c:pt>
                <c:pt idx="3">
                  <c:v>38641</c:v>
                </c:pt>
                <c:pt idx="4">
                  <c:v>36797</c:v>
                </c:pt>
                <c:pt idx="5">
                  <c:v>25914</c:v>
                </c:pt>
              </c:numCache>
            </c:numRef>
          </c:yVal>
          <c:smooth val="1"/>
          <c:extLst>
            <c:ext xmlns:c16="http://schemas.microsoft.com/office/drawing/2014/chart" uri="{C3380CC4-5D6E-409C-BE32-E72D297353CC}">
              <c16:uniqueId val="{00000009-02D0-46A3-95F0-3502173C0A1A}"/>
            </c:ext>
          </c:extLst>
        </c:ser>
        <c:ser>
          <c:idx val="10"/>
          <c:order val="10"/>
          <c:tx>
            <c:strRef>
              <c:f>'Feuil11 (4)'!$B$12</c:f>
              <c:strCache>
                <c:ptCount val="1"/>
                <c:pt idx="0">
                  <c:v>HFCs (projections)</c:v>
                </c:pt>
              </c:strCache>
            </c:strRef>
          </c:tx>
          <c:spPr>
            <a:ln w="19050" cap="rnd">
              <a:solidFill>
                <a:schemeClr val="accent4"/>
              </a:solidFill>
              <a:prstDash val="sysDash"/>
              <a:round/>
            </a:ln>
            <a:effectLst/>
          </c:spPr>
          <c:marker>
            <c:symbol val="none"/>
          </c:marker>
          <c:xVal>
            <c:numRef>
              <c:f>'Feuil11 (4)'!$I$4:$N$4</c:f>
              <c:numCache>
                <c:formatCode>General</c:formatCode>
                <c:ptCount val="6"/>
                <c:pt idx="0">
                  <c:v>2019</c:v>
                </c:pt>
                <c:pt idx="1">
                  <c:v>2020</c:v>
                </c:pt>
                <c:pt idx="2">
                  <c:v>2025</c:v>
                </c:pt>
                <c:pt idx="3">
                  <c:v>2030</c:v>
                </c:pt>
                <c:pt idx="4">
                  <c:v>2035</c:v>
                </c:pt>
                <c:pt idx="5">
                  <c:v>2050</c:v>
                </c:pt>
              </c:numCache>
            </c:numRef>
          </c:xVal>
          <c:yVal>
            <c:numRef>
              <c:f>'Feuil11 (4)'!$I$12:$N$12</c:f>
              <c:numCache>
                <c:formatCode>General</c:formatCode>
                <c:ptCount val="6"/>
                <c:pt idx="0">
                  <c:v>12992</c:v>
                </c:pt>
                <c:pt idx="1">
                  <c:v>14731</c:v>
                </c:pt>
                <c:pt idx="2">
                  <c:v>7995</c:v>
                </c:pt>
                <c:pt idx="3">
                  <c:v>5241</c:v>
                </c:pt>
                <c:pt idx="4">
                  <c:v>4458</c:v>
                </c:pt>
                <c:pt idx="5">
                  <c:v>2109</c:v>
                </c:pt>
              </c:numCache>
            </c:numRef>
          </c:yVal>
          <c:smooth val="1"/>
          <c:extLst>
            <c:ext xmlns:c16="http://schemas.microsoft.com/office/drawing/2014/chart" uri="{C3380CC4-5D6E-409C-BE32-E72D297353CC}">
              <c16:uniqueId val="{0000000A-02D0-46A3-95F0-3502173C0A1A}"/>
            </c:ext>
          </c:extLst>
        </c:ser>
        <c:ser>
          <c:idx val="11"/>
          <c:order val="11"/>
          <c:tx>
            <c:strRef>
              <c:f>'Feuil11 (4)'!$B$14</c:f>
              <c:strCache>
                <c:ptCount val="1"/>
                <c:pt idx="0">
                  <c:v>PFCs (projections)</c:v>
                </c:pt>
              </c:strCache>
            </c:strRef>
          </c:tx>
          <c:spPr>
            <a:ln w="19050" cap="rnd">
              <a:solidFill>
                <a:schemeClr val="accent6"/>
              </a:solidFill>
              <a:prstDash val="sysDash"/>
              <a:round/>
            </a:ln>
            <a:effectLst/>
          </c:spPr>
          <c:marker>
            <c:symbol val="none"/>
          </c:marker>
          <c:xVal>
            <c:numRef>
              <c:f>'Feuil11 (4)'!$I$4:$N$4</c:f>
              <c:numCache>
                <c:formatCode>General</c:formatCode>
                <c:ptCount val="6"/>
                <c:pt idx="0">
                  <c:v>2019</c:v>
                </c:pt>
                <c:pt idx="1">
                  <c:v>2020</c:v>
                </c:pt>
                <c:pt idx="2">
                  <c:v>2025</c:v>
                </c:pt>
                <c:pt idx="3">
                  <c:v>2030</c:v>
                </c:pt>
                <c:pt idx="4">
                  <c:v>2035</c:v>
                </c:pt>
                <c:pt idx="5">
                  <c:v>2050</c:v>
                </c:pt>
              </c:numCache>
            </c:numRef>
          </c:xVal>
          <c:yVal>
            <c:numRef>
              <c:f>'Feuil11 (4)'!$I$14:$N$14</c:f>
              <c:numCache>
                <c:formatCode>General</c:formatCode>
                <c:ptCount val="6"/>
                <c:pt idx="0">
                  <c:v>615</c:v>
                </c:pt>
                <c:pt idx="1">
                  <c:v>479</c:v>
                </c:pt>
                <c:pt idx="2">
                  <c:v>395</c:v>
                </c:pt>
                <c:pt idx="3">
                  <c:v>330</c:v>
                </c:pt>
                <c:pt idx="4">
                  <c:v>299</c:v>
                </c:pt>
                <c:pt idx="5">
                  <c:v>205</c:v>
                </c:pt>
              </c:numCache>
            </c:numRef>
          </c:yVal>
          <c:smooth val="1"/>
          <c:extLst>
            <c:ext xmlns:c16="http://schemas.microsoft.com/office/drawing/2014/chart" uri="{C3380CC4-5D6E-409C-BE32-E72D297353CC}">
              <c16:uniqueId val="{0000000B-02D0-46A3-95F0-3502173C0A1A}"/>
            </c:ext>
          </c:extLst>
        </c:ser>
        <c:ser>
          <c:idx val="12"/>
          <c:order val="12"/>
          <c:tx>
            <c:strRef>
              <c:f>'Feuil11 (4)'!$B$16</c:f>
              <c:strCache>
                <c:ptCount val="1"/>
                <c:pt idx="0">
                  <c:v>SF6 (projections)</c:v>
                </c:pt>
              </c:strCache>
            </c:strRef>
          </c:tx>
          <c:spPr>
            <a:ln w="19050" cap="rnd">
              <a:solidFill>
                <a:schemeClr val="accent6">
                  <a:lumMod val="75000"/>
                </a:schemeClr>
              </a:solidFill>
              <a:prstDash val="sysDash"/>
              <a:round/>
            </a:ln>
            <a:effectLst/>
          </c:spPr>
          <c:marker>
            <c:symbol val="none"/>
          </c:marker>
          <c:xVal>
            <c:numRef>
              <c:f>'Feuil11 (4)'!$I$4:$N$4</c:f>
              <c:numCache>
                <c:formatCode>General</c:formatCode>
                <c:ptCount val="6"/>
                <c:pt idx="0">
                  <c:v>2019</c:v>
                </c:pt>
                <c:pt idx="1">
                  <c:v>2020</c:v>
                </c:pt>
                <c:pt idx="2">
                  <c:v>2025</c:v>
                </c:pt>
                <c:pt idx="3">
                  <c:v>2030</c:v>
                </c:pt>
                <c:pt idx="4">
                  <c:v>2035</c:v>
                </c:pt>
                <c:pt idx="5">
                  <c:v>2050</c:v>
                </c:pt>
              </c:numCache>
            </c:numRef>
          </c:xVal>
          <c:yVal>
            <c:numRef>
              <c:f>'Feuil11 (4)'!$I$16:$N$16</c:f>
              <c:numCache>
                <c:formatCode>General</c:formatCode>
                <c:ptCount val="6"/>
                <c:pt idx="0">
                  <c:v>385</c:v>
                </c:pt>
                <c:pt idx="1">
                  <c:v>458</c:v>
                </c:pt>
                <c:pt idx="2">
                  <c:v>459</c:v>
                </c:pt>
                <c:pt idx="3">
                  <c:v>460</c:v>
                </c:pt>
                <c:pt idx="4">
                  <c:v>460</c:v>
                </c:pt>
                <c:pt idx="5">
                  <c:v>463</c:v>
                </c:pt>
              </c:numCache>
            </c:numRef>
          </c:yVal>
          <c:smooth val="1"/>
          <c:extLst>
            <c:ext xmlns:c16="http://schemas.microsoft.com/office/drawing/2014/chart" uri="{C3380CC4-5D6E-409C-BE32-E72D297353CC}">
              <c16:uniqueId val="{0000000C-02D0-46A3-95F0-3502173C0A1A}"/>
            </c:ext>
          </c:extLst>
        </c:ser>
        <c:ser>
          <c:idx val="13"/>
          <c:order val="13"/>
          <c:tx>
            <c:strRef>
              <c:f>'Feuil11 (4)'!$B$18</c:f>
              <c:strCache>
                <c:ptCount val="1"/>
                <c:pt idx="0">
                  <c:v>NF3 (projections)</c:v>
                </c:pt>
              </c:strCache>
            </c:strRef>
          </c:tx>
          <c:spPr>
            <a:ln w="19050" cap="rnd">
              <a:solidFill>
                <a:schemeClr val="accent1">
                  <a:lumMod val="90000"/>
                  <a:lumOff val="10000"/>
                </a:schemeClr>
              </a:solidFill>
              <a:prstDash val="sysDash"/>
              <a:round/>
            </a:ln>
            <a:effectLst/>
          </c:spPr>
          <c:marker>
            <c:symbol val="none"/>
          </c:marker>
          <c:xVal>
            <c:numRef>
              <c:f>'Feuil11 (4)'!$I$4:$N$4</c:f>
              <c:numCache>
                <c:formatCode>General</c:formatCode>
                <c:ptCount val="6"/>
                <c:pt idx="0">
                  <c:v>2019</c:v>
                </c:pt>
                <c:pt idx="1">
                  <c:v>2020</c:v>
                </c:pt>
                <c:pt idx="2">
                  <c:v>2025</c:v>
                </c:pt>
                <c:pt idx="3">
                  <c:v>2030</c:v>
                </c:pt>
                <c:pt idx="4">
                  <c:v>2035</c:v>
                </c:pt>
                <c:pt idx="5">
                  <c:v>2050</c:v>
                </c:pt>
              </c:numCache>
            </c:numRef>
          </c:xVal>
          <c:yVal>
            <c:numRef>
              <c:f>'Feuil11 (4)'!$I$18:$N$18</c:f>
              <c:numCache>
                <c:formatCode>General</c:formatCode>
                <c:ptCount val="6"/>
                <c:pt idx="0">
                  <c:v>10</c:v>
                </c:pt>
                <c:pt idx="1">
                  <c:v>6</c:v>
                </c:pt>
                <c:pt idx="2">
                  <c:v>6</c:v>
                </c:pt>
                <c:pt idx="3">
                  <c:v>6</c:v>
                </c:pt>
                <c:pt idx="4">
                  <c:v>6</c:v>
                </c:pt>
                <c:pt idx="5">
                  <c:v>6</c:v>
                </c:pt>
              </c:numCache>
            </c:numRef>
          </c:yVal>
          <c:smooth val="1"/>
          <c:extLst>
            <c:ext xmlns:c16="http://schemas.microsoft.com/office/drawing/2014/chart" uri="{C3380CC4-5D6E-409C-BE32-E72D297353CC}">
              <c16:uniqueId val="{0000000D-02D0-46A3-95F0-3502173C0A1A}"/>
            </c:ext>
          </c:extLst>
        </c:ser>
        <c:dLbls>
          <c:showLegendKey val="0"/>
          <c:showVal val="0"/>
          <c:showCatName val="0"/>
          <c:showSerName val="0"/>
          <c:showPercent val="0"/>
          <c:showBubbleSize val="0"/>
        </c:dLbls>
        <c:axId val="563831263"/>
        <c:axId val="563830015"/>
      </c:scatterChart>
      <c:valAx>
        <c:axId val="5638312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0015"/>
        <c:crosses val="autoZero"/>
        <c:crossBetween val="midCat"/>
      </c:valAx>
      <c:valAx>
        <c:axId val="563830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baseline="0">
                    <a:effectLst/>
                  </a:rPr>
                  <a:t>ktCO</a:t>
                </a:r>
                <a:r>
                  <a:rPr lang="en-GB" sz="1000" b="0" i="0" u="none" strike="noStrike" baseline="-25000">
                    <a:effectLst/>
                  </a:rPr>
                  <a:t>2e</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126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Trends in emissions within the ‘Kyoto’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v>Energie</c:v>
          </c:tx>
          <c:spPr>
            <a:solidFill>
              <a:schemeClr val="accent1"/>
            </a:solidFill>
            <a:ln>
              <a:noFill/>
            </a:ln>
            <a:effectLst/>
          </c:spPr>
          <c:invertIfNegative val="0"/>
          <c:cat>
            <c:strRef>
              <c:f>'Table10s1 2020 KP'!$C$5:$AG$5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'Table10s1 2020 KP'!$C$9:$AG$9</c:f>
              <c:numCache>
                <c:formatCode>#,##0.00</c:formatCode>
                <c:ptCount val="31"/>
                <c:pt idx="0">
                  <c:v>367271.5310938991</c:v>
                </c:pt>
                <c:pt idx="1">
                  <c:v>394533.18354350975</c:v>
                </c:pt>
                <c:pt idx="2">
                  <c:v>385160.48853970726</c:v>
                </c:pt>
                <c:pt idx="3">
                  <c:v>367776.21827908116</c:v>
                </c:pt>
                <c:pt idx="4">
                  <c:v>360506.13199585147</c:v>
                </c:pt>
                <c:pt idx="5">
                  <c:v>366078.71257929679</c:v>
                </c:pt>
                <c:pt idx="6">
                  <c:v>381561.06908105419</c:v>
                </c:pt>
                <c:pt idx="7">
                  <c:v>372313.05137010716</c:v>
                </c:pt>
                <c:pt idx="8">
                  <c:v>391873.18111203978</c:v>
                </c:pt>
                <c:pt idx="9">
                  <c:v>389117.71564486262</c:v>
                </c:pt>
                <c:pt idx="10">
                  <c:v>381989.36593502422</c:v>
                </c:pt>
                <c:pt idx="11">
                  <c:v>388404.26976978575</c:v>
                </c:pt>
                <c:pt idx="12">
                  <c:v>383201.83763850544</c:v>
                </c:pt>
                <c:pt idx="13">
                  <c:v>389162.95711500751</c:v>
                </c:pt>
                <c:pt idx="14">
                  <c:v>388427.57576236868</c:v>
                </c:pt>
                <c:pt idx="15">
                  <c:v>390391.25643569452</c:v>
                </c:pt>
                <c:pt idx="16">
                  <c:v>378610.66165124811</c:v>
                </c:pt>
                <c:pt idx="17">
                  <c:v>367851.47907145665</c:v>
                </c:pt>
                <c:pt idx="18">
                  <c:v>366207.13652993954</c:v>
                </c:pt>
                <c:pt idx="19">
                  <c:v>355582.33881583513</c:v>
                </c:pt>
                <c:pt idx="20">
                  <c:v>357710.89288884855</c:v>
                </c:pt>
                <c:pt idx="21">
                  <c:v>335266.81229169434</c:v>
                </c:pt>
                <c:pt idx="22">
                  <c:v>339614.88204197236</c:v>
                </c:pt>
                <c:pt idx="23">
                  <c:v>339477.61535135843</c:v>
                </c:pt>
                <c:pt idx="24">
                  <c:v>307240.29714220279</c:v>
                </c:pt>
                <c:pt idx="25">
                  <c:v>313634.1730531418</c:v>
                </c:pt>
                <c:pt idx="26">
                  <c:v>316599.30984826753</c:v>
                </c:pt>
                <c:pt idx="27">
                  <c:v>317967.49486411543</c:v>
                </c:pt>
                <c:pt idx="28">
                  <c:v>303117.06760390179</c:v>
                </c:pt>
                <c:pt idx="29">
                  <c:v>297313.21135180577</c:v>
                </c:pt>
                <c:pt idx="30">
                  <c:v>264729.61405415577</c:v>
                </c:pt>
              </c:numCache>
            </c:numRef>
          </c:val>
          <c:extLst>
            <c:ext xmlns:c16="http://schemas.microsoft.com/office/drawing/2014/chart" uri="{C3380CC4-5D6E-409C-BE32-E72D297353CC}">
              <c16:uniqueId val="{00000000-38DE-43C6-8432-15193931B429}"/>
            </c:ext>
          </c:extLst>
        </c:ser>
        <c:ser>
          <c:idx val="1"/>
          <c:order val="1"/>
          <c:tx>
            <c:v>Procédés industriels</c:v>
          </c:tx>
          <c:spPr>
            <a:solidFill>
              <a:schemeClr val="accent2"/>
            </a:solidFill>
            <a:ln>
              <a:noFill/>
            </a:ln>
            <a:effectLst/>
          </c:spPr>
          <c:invertIfNegative val="0"/>
          <c:cat>
            <c:strRef>
              <c:f>'Table10s1 2020 KP'!$C$5:$AG$5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'Table10s1 2020 KP'!$C$20:$AG$20</c:f>
              <c:numCache>
                <c:formatCode>#,##0.00</c:formatCode>
                <c:ptCount val="31"/>
                <c:pt idx="0">
                  <c:v>78728.795632780049</c:v>
                </c:pt>
                <c:pt idx="1">
                  <c:v>78117.082112352611</c:v>
                </c:pt>
                <c:pt idx="2">
                  <c:v>75934.733276053215</c:v>
                </c:pt>
                <c:pt idx="3">
                  <c:v>73386.063918922955</c:v>
                </c:pt>
                <c:pt idx="4">
                  <c:v>73285.101335978805</c:v>
                </c:pt>
                <c:pt idx="5">
                  <c:v>71997.344837922123</c:v>
                </c:pt>
                <c:pt idx="6">
                  <c:v>73026.160559261669</c:v>
                </c:pt>
                <c:pt idx="7">
                  <c:v>74401.403195742561</c:v>
                </c:pt>
                <c:pt idx="8">
                  <c:v>68993.567666397517</c:v>
                </c:pt>
                <c:pt idx="9">
                  <c:v>65608.704446735646</c:v>
                </c:pt>
                <c:pt idx="10">
                  <c:v>64667.547521814617</c:v>
                </c:pt>
                <c:pt idx="11">
                  <c:v>63751.840304823141</c:v>
                </c:pt>
                <c:pt idx="12">
                  <c:v>64547.903919629622</c:v>
                </c:pt>
                <c:pt idx="13">
                  <c:v>64180.288423730613</c:v>
                </c:pt>
                <c:pt idx="14">
                  <c:v>63725.620341731061</c:v>
                </c:pt>
                <c:pt idx="15">
                  <c:v>63619.984063057695</c:v>
                </c:pt>
                <c:pt idx="16">
                  <c:v>65257.955366884016</c:v>
                </c:pt>
                <c:pt idx="17">
                  <c:v>65954.98122668259</c:v>
                </c:pt>
                <c:pt idx="18">
                  <c:v>61336.680124201768</c:v>
                </c:pt>
                <c:pt idx="19">
                  <c:v>50819.842647969599</c:v>
                </c:pt>
                <c:pt idx="20">
                  <c:v>53798.09416067096</c:v>
                </c:pt>
                <c:pt idx="21">
                  <c:v>53201.261657636314</c:v>
                </c:pt>
                <c:pt idx="22">
                  <c:v>51105.720255396045</c:v>
                </c:pt>
                <c:pt idx="23">
                  <c:v>52655.980522390222</c:v>
                </c:pt>
                <c:pt idx="24">
                  <c:v>52291.136909828288</c:v>
                </c:pt>
                <c:pt idx="25">
                  <c:v>50664.463823308848</c:v>
                </c:pt>
                <c:pt idx="26">
                  <c:v>50434.965687881042</c:v>
                </c:pt>
                <c:pt idx="27">
                  <c:v>51927.982212496543</c:v>
                </c:pt>
                <c:pt idx="28">
                  <c:v>49059.03588751403</c:v>
                </c:pt>
                <c:pt idx="29">
                  <c:v>46563.635067714313</c:v>
                </c:pt>
                <c:pt idx="30">
                  <c:v>40188.671176334523</c:v>
                </c:pt>
              </c:numCache>
            </c:numRef>
          </c:val>
          <c:extLst>
            <c:ext xmlns:c16="http://schemas.microsoft.com/office/drawing/2014/chart" uri="{C3380CC4-5D6E-409C-BE32-E72D297353CC}">
              <c16:uniqueId val="{00000001-38DE-43C6-8432-15193931B429}"/>
            </c:ext>
          </c:extLst>
        </c:ser>
        <c:ser>
          <c:idx val="2"/>
          <c:order val="2"/>
          <c:tx>
            <c:v>Agriculture</c:v>
          </c:tx>
          <c:spPr>
            <a:solidFill>
              <a:srgbClr val="92D050"/>
            </a:solidFill>
            <a:ln>
              <a:noFill/>
            </a:ln>
            <a:effectLst/>
          </c:spPr>
          <c:invertIfNegative val="0"/>
          <c:cat>
            <c:strRef>
              <c:f>'Table10s1 2020 KP'!$C$5:$AG$5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'Table10s1 2020 KP'!$C$29:$AG$29</c:f>
              <c:numCache>
                <c:formatCode>#,##0.00</c:formatCode>
                <c:ptCount val="31"/>
                <c:pt idx="0">
                  <c:v>80802.953265215052</c:v>
                </c:pt>
                <c:pt idx="1">
                  <c:v>80374.631663473687</c:v>
                </c:pt>
                <c:pt idx="2">
                  <c:v>78942.774926313476</c:v>
                </c:pt>
                <c:pt idx="3">
                  <c:v>77947.278540644184</c:v>
                </c:pt>
                <c:pt idx="4">
                  <c:v>77554.064390828513</c:v>
                </c:pt>
                <c:pt idx="5">
                  <c:v>78281.181982325899</c:v>
                </c:pt>
                <c:pt idx="6">
                  <c:v>78712.994220438108</c:v>
                </c:pt>
                <c:pt idx="7">
                  <c:v>79039.321783564665</c:v>
                </c:pt>
                <c:pt idx="8">
                  <c:v>78985.606886978945</c:v>
                </c:pt>
                <c:pt idx="9">
                  <c:v>79443.121246241819</c:v>
                </c:pt>
                <c:pt idx="10">
                  <c:v>81291.756115092649</c:v>
                </c:pt>
                <c:pt idx="11">
                  <c:v>80805.040563287694</c:v>
                </c:pt>
                <c:pt idx="12">
                  <c:v>79441.263105378646</c:v>
                </c:pt>
                <c:pt idx="13">
                  <c:v>76751.703879356137</c:v>
                </c:pt>
                <c:pt idx="14">
                  <c:v>77065.843058929211</c:v>
                </c:pt>
                <c:pt idx="15">
                  <c:v>76018.263994655077</c:v>
                </c:pt>
                <c:pt idx="16">
                  <c:v>75650.489444385908</c:v>
                </c:pt>
                <c:pt idx="17">
                  <c:v>76521.580076952247</c:v>
                </c:pt>
                <c:pt idx="18">
                  <c:v>77250.383396552847</c:v>
                </c:pt>
                <c:pt idx="19">
                  <c:v>76387.936241333111</c:v>
                </c:pt>
                <c:pt idx="20">
                  <c:v>75203.043708588841</c:v>
                </c:pt>
                <c:pt idx="21">
                  <c:v>74482.220035613544</c:v>
                </c:pt>
                <c:pt idx="22">
                  <c:v>74420.303116562543</c:v>
                </c:pt>
                <c:pt idx="23">
                  <c:v>73954.163572029167</c:v>
                </c:pt>
                <c:pt idx="24">
                  <c:v>75908.882633976507</c:v>
                </c:pt>
                <c:pt idx="25">
                  <c:v>75719.975553043376</c:v>
                </c:pt>
                <c:pt idx="26">
                  <c:v>74487.916075259724</c:v>
                </c:pt>
                <c:pt idx="27">
                  <c:v>74835.73657154903</c:v>
                </c:pt>
                <c:pt idx="28">
                  <c:v>73549.476120628548</c:v>
                </c:pt>
                <c:pt idx="29">
                  <c:v>72497.687321744728</c:v>
                </c:pt>
                <c:pt idx="30">
                  <c:v>70386.146800510964</c:v>
                </c:pt>
              </c:numCache>
            </c:numRef>
          </c:val>
          <c:extLst>
            <c:ext xmlns:c16="http://schemas.microsoft.com/office/drawing/2014/chart" uri="{C3380CC4-5D6E-409C-BE32-E72D297353CC}">
              <c16:uniqueId val="{00000002-38DE-43C6-8432-15193931B429}"/>
            </c:ext>
          </c:extLst>
        </c:ser>
        <c:ser>
          <c:idx val="3"/>
          <c:order val="3"/>
          <c:tx>
            <c:v>UTCATF</c:v>
          </c:tx>
          <c:spPr>
            <a:solidFill>
              <a:schemeClr val="accent3">
                <a:lumMod val="75000"/>
              </a:schemeClr>
            </a:solidFill>
            <a:ln>
              <a:noFill/>
            </a:ln>
            <a:effectLst/>
          </c:spPr>
          <c:invertIfNegative val="0"/>
          <c:cat>
            <c:strRef>
              <c:f>'Table10s1 2020 KP'!$C$5:$AG$5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'Table10s1 2020 KP'!$C$40:$AG$40</c:f>
              <c:numCache>
                <c:formatCode>#,##0.00</c:formatCode>
                <c:ptCount val="31"/>
                <c:pt idx="0">
                  <c:v>-23986.190044063049</c:v>
                </c:pt>
                <c:pt idx="1">
                  <c:v>-24071.181144565588</c:v>
                </c:pt>
                <c:pt idx="2">
                  <c:v>-21933.213805869753</c:v>
                </c:pt>
                <c:pt idx="3">
                  <c:v>-24996.386105425881</c:v>
                </c:pt>
                <c:pt idx="4">
                  <c:v>-22537.161548473268</c:v>
                </c:pt>
                <c:pt idx="5">
                  <c:v>-24879.274306605388</c:v>
                </c:pt>
                <c:pt idx="6">
                  <c:v>-31267.071292427663</c:v>
                </c:pt>
                <c:pt idx="7">
                  <c:v>-31529.24077062061</c:v>
                </c:pt>
                <c:pt idx="8">
                  <c:v>-33439.549497900844</c:v>
                </c:pt>
                <c:pt idx="9">
                  <c:v>-36731.880206375681</c:v>
                </c:pt>
                <c:pt idx="10">
                  <c:v>-19709.21860242663</c:v>
                </c:pt>
                <c:pt idx="11">
                  <c:v>-31656.774084809906</c:v>
                </c:pt>
                <c:pt idx="12">
                  <c:v>-40527.332217248797</c:v>
                </c:pt>
                <c:pt idx="13">
                  <c:v>-43386.732092332226</c:v>
                </c:pt>
                <c:pt idx="14">
                  <c:v>-46630.143311768195</c:v>
                </c:pt>
                <c:pt idx="15">
                  <c:v>-47311.183942958116</c:v>
                </c:pt>
                <c:pt idx="16">
                  <c:v>-49000.555290663986</c:v>
                </c:pt>
                <c:pt idx="17">
                  <c:v>-48361.692797660296</c:v>
                </c:pt>
                <c:pt idx="18">
                  <c:v>-48153.35212232871</c:v>
                </c:pt>
                <c:pt idx="19">
                  <c:v>-37607.627698198827</c:v>
                </c:pt>
                <c:pt idx="20">
                  <c:v>-38355.036077551595</c:v>
                </c:pt>
                <c:pt idx="21">
                  <c:v>-38457.382988349709</c:v>
                </c:pt>
                <c:pt idx="22">
                  <c:v>-40993.966448920772</c:v>
                </c:pt>
                <c:pt idx="23">
                  <c:v>-44590.905861918814</c:v>
                </c:pt>
                <c:pt idx="24">
                  <c:v>-38414.379418075041</c:v>
                </c:pt>
                <c:pt idx="25">
                  <c:v>-34577.330205463353</c:v>
                </c:pt>
                <c:pt idx="26">
                  <c:v>-25565.058119995952</c:v>
                </c:pt>
                <c:pt idx="27">
                  <c:v>-16742.818933044291</c:v>
                </c:pt>
                <c:pt idx="28">
                  <c:v>-14091.453046693301</c:v>
                </c:pt>
                <c:pt idx="29">
                  <c:v>-12288.159304805687</c:v>
                </c:pt>
                <c:pt idx="30">
                  <c:v>-14005.484118695638</c:v>
                </c:pt>
              </c:numCache>
            </c:numRef>
          </c:val>
          <c:extLst>
            <c:ext xmlns:c16="http://schemas.microsoft.com/office/drawing/2014/chart" uri="{C3380CC4-5D6E-409C-BE32-E72D297353CC}">
              <c16:uniqueId val="{00000003-38DE-43C6-8432-15193931B429}"/>
            </c:ext>
          </c:extLst>
        </c:ser>
        <c:ser>
          <c:idx val="4"/>
          <c:order val="4"/>
          <c:tx>
            <c:v>Déchets</c:v>
          </c:tx>
          <c:spPr>
            <a:solidFill>
              <a:srgbClr val="7030A0"/>
            </a:solidFill>
            <a:ln>
              <a:noFill/>
            </a:ln>
            <a:effectLst/>
          </c:spPr>
          <c:invertIfNegative val="0"/>
          <c:cat>
            <c:strRef>
              <c:f>'Table10s1 2020 KP'!$C$5:$AG$5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'Table10s1 2020 KP'!$C$49:$AG$49</c:f>
              <c:numCache>
                <c:formatCode>#,##0.00</c:formatCode>
                <c:ptCount val="31"/>
                <c:pt idx="0">
                  <c:v>17283.125057216876</c:v>
                </c:pt>
                <c:pt idx="1">
                  <c:v>17937.130702647679</c:v>
                </c:pt>
                <c:pt idx="2">
                  <c:v>18723.484647948702</c:v>
                </c:pt>
                <c:pt idx="3">
                  <c:v>19497.445853727058</c:v>
                </c:pt>
                <c:pt idx="4">
                  <c:v>19880.612522029372</c:v>
                </c:pt>
                <c:pt idx="5">
                  <c:v>20118.294304103845</c:v>
                </c:pt>
                <c:pt idx="6">
                  <c:v>20185.71973235334</c:v>
                </c:pt>
                <c:pt idx="7">
                  <c:v>20168.89415527281</c:v>
                </c:pt>
                <c:pt idx="8">
                  <c:v>20533.79477241114</c:v>
                </c:pt>
                <c:pt idx="9">
                  <c:v>20697.578603753052</c:v>
                </c:pt>
                <c:pt idx="10">
                  <c:v>21056.496402542416</c:v>
                </c:pt>
                <c:pt idx="11">
                  <c:v>21231.981139594991</c:v>
                </c:pt>
                <c:pt idx="12">
                  <c:v>21418.737319775712</c:v>
                </c:pt>
                <c:pt idx="13">
                  <c:v>21551.213744065746</c:v>
                </c:pt>
                <c:pt idx="14">
                  <c:v>21401.63511450939</c:v>
                </c:pt>
                <c:pt idx="15">
                  <c:v>21361.620738096681</c:v>
                </c:pt>
                <c:pt idx="16">
                  <c:v>21388.705025966978</c:v>
                </c:pt>
                <c:pt idx="17">
                  <c:v>21245.93458832736</c:v>
                </c:pt>
                <c:pt idx="18">
                  <c:v>21266.451616564762</c:v>
                </c:pt>
                <c:pt idx="19">
                  <c:v>20644.907140854502</c:v>
                </c:pt>
                <c:pt idx="20">
                  <c:v>20755.979894966877</c:v>
                </c:pt>
                <c:pt idx="21">
                  <c:v>20313.527129292255</c:v>
                </c:pt>
                <c:pt idx="22">
                  <c:v>19624.990855547007</c:v>
                </c:pt>
                <c:pt idx="23">
                  <c:v>19517.570885085854</c:v>
                </c:pt>
                <c:pt idx="24">
                  <c:v>19173.362753388061</c:v>
                </c:pt>
                <c:pt idx="25">
                  <c:v>17905.133284236312</c:v>
                </c:pt>
                <c:pt idx="26">
                  <c:v>17806.66695624742</c:v>
                </c:pt>
                <c:pt idx="27">
                  <c:v>17860.003126442934</c:v>
                </c:pt>
                <c:pt idx="28">
                  <c:v>17595.780202266556</c:v>
                </c:pt>
                <c:pt idx="29">
                  <c:v>18165.239778035582</c:v>
                </c:pt>
                <c:pt idx="30">
                  <c:v>17658.136144495693</c:v>
                </c:pt>
              </c:numCache>
            </c:numRef>
          </c:val>
          <c:extLst>
            <c:ext xmlns:c16="http://schemas.microsoft.com/office/drawing/2014/chart" uri="{C3380CC4-5D6E-409C-BE32-E72D297353CC}">
              <c16:uniqueId val="{00000004-38DE-43C6-8432-15193931B429}"/>
            </c:ext>
          </c:extLst>
        </c:ser>
        <c:dLbls>
          <c:showLegendKey val="0"/>
          <c:showVal val="0"/>
          <c:showCatName val="0"/>
          <c:showSerName val="0"/>
          <c:showPercent val="0"/>
          <c:showBubbleSize val="0"/>
        </c:dLbls>
        <c:gapWidth val="150"/>
        <c:overlap val="100"/>
        <c:axId val="9128495"/>
        <c:axId val="9139727"/>
      </c:barChart>
      <c:catAx>
        <c:axId val="912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9727"/>
        <c:crossesAt val="-30000"/>
        <c:auto val="1"/>
        <c:lblAlgn val="ctr"/>
        <c:lblOffset val="100"/>
        <c:noMultiLvlLbl val="0"/>
      </c:catAx>
      <c:valAx>
        <c:axId val="9139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ktCO2eq</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AME21</a:t>
            </a:r>
            <a:r>
              <a:rPr lang="fr-FR" baseline="0"/>
              <a:t> excluding LULUCF</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131950802661295"/>
          <c:y val="0.17155110819480898"/>
          <c:w val="0.86383553073307695"/>
          <c:h val="0.50301326917468647"/>
        </c:manualLayout>
      </c:layout>
      <c:scatterChart>
        <c:scatterStyle val="lineMarker"/>
        <c:varyColors val="0"/>
        <c:ser>
          <c:idx val="0"/>
          <c:order val="0"/>
          <c:tx>
            <c:strRef>
              <c:f>Feuil11!$B$5</c:f>
              <c:strCache>
                <c:ptCount val="1"/>
                <c:pt idx="0">
                  <c:v>CO2 excluding LULUCF </c:v>
                </c:pt>
              </c:strCache>
            </c:strRef>
          </c:tx>
          <c:spPr>
            <a:ln w="19050" cap="rnd">
              <a:solidFill>
                <a:schemeClr val="accent1"/>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Feuil11!$C$5:$I$5</c:f>
              <c:numCache>
                <c:formatCode>General</c:formatCode>
                <c:ptCount val="7"/>
                <c:pt idx="0">
                  <c:v>398425</c:v>
                </c:pt>
                <c:pt idx="1">
                  <c:v>392916</c:v>
                </c:pt>
                <c:pt idx="2">
                  <c:v>414788</c:v>
                </c:pt>
                <c:pt idx="3">
                  <c:v>425444</c:v>
                </c:pt>
                <c:pt idx="4">
                  <c:v>386872</c:v>
                </c:pt>
                <c:pt idx="5">
                  <c:v>341631</c:v>
                </c:pt>
                <c:pt idx="6">
                  <c:v>326725</c:v>
                </c:pt>
              </c:numCache>
            </c:numRef>
          </c:yVal>
          <c:smooth val="0"/>
          <c:extLst>
            <c:ext xmlns:c16="http://schemas.microsoft.com/office/drawing/2014/chart" uri="{C3380CC4-5D6E-409C-BE32-E72D297353CC}">
              <c16:uniqueId val="{00000000-6208-4AC1-938D-F7F9F6ECACBF}"/>
            </c:ext>
          </c:extLst>
        </c:ser>
        <c:ser>
          <c:idx val="1"/>
          <c:order val="1"/>
          <c:tx>
            <c:strRef>
              <c:f>Feuil11!$B$7</c:f>
              <c:strCache>
                <c:ptCount val="1"/>
                <c:pt idx="0">
                  <c:v>CH4 excluding LULUCF </c:v>
                </c:pt>
              </c:strCache>
            </c:strRef>
          </c:tx>
          <c:spPr>
            <a:ln w="19050" cap="rnd">
              <a:solidFill>
                <a:schemeClr val="accent2"/>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Feuil11!$C$7:$I$7</c:f>
              <c:numCache>
                <c:formatCode>General</c:formatCode>
                <c:ptCount val="7"/>
                <c:pt idx="0">
                  <c:v>69161</c:v>
                </c:pt>
                <c:pt idx="1">
                  <c:v>70383</c:v>
                </c:pt>
                <c:pt idx="2">
                  <c:v>68603</c:v>
                </c:pt>
                <c:pt idx="3">
                  <c:v>63632</c:v>
                </c:pt>
                <c:pt idx="4">
                  <c:v>61663</c:v>
                </c:pt>
                <c:pt idx="5">
                  <c:v>57862</c:v>
                </c:pt>
                <c:pt idx="6">
                  <c:v>55740</c:v>
                </c:pt>
              </c:numCache>
            </c:numRef>
          </c:yVal>
          <c:smooth val="0"/>
          <c:extLst>
            <c:ext xmlns:c16="http://schemas.microsoft.com/office/drawing/2014/chart" uri="{C3380CC4-5D6E-409C-BE32-E72D297353CC}">
              <c16:uniqueId val="{00000001-6208-4AC1-938D-F7F9F6ECACBF}"/>
            </c:ext>
          </c:extLst>
        </c:ser>
        <c:ser>
          <c:idx val="2"/>
          <c:order val="2"/>
          <c:tx>
            <c:strRef>
              <c:f>Feuil11!$B$9</c:f>
              <c:strCache>
                <c:ptCount val="1"/>
                <c:pt idx="0">
                  <c:v>N2O excluding LULUCF </c:v>
                </c:pt>
              </c:strCache>
            </c:strRef>
          </c:tx>
          <c:spPr>
            <a:ln w="19050" cap="rnd">
              <a:solidFill>
                <a:schemeClr val="accent3"/>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Feuil11!$C$9:$I$9</c:f>
              <c:numCache>
                <c:formatCode>General</c:formatCode>
                <c:ptCount val="7"/>
                <c:pt idx="0">
                  <c:v>64725</c:v>
                </c:pt>
                <c:pt idx="1">
                  <c:v>65937</c:v>
                </c:pt>
                <c:pt idx="2">
                  <c:v>53681</c:v>
                </c:pt>
                <c:pt idx="3">
                  <c:v>46307</c:v>
                </c:pt>
                <c:pt idx="4">
                  <c:v>40478</c:v>
                </c:pt>
                <c:pt idx="5">
                  <c:v>39895</c:v>
                </c:pt>
                <c:pt idx="6">
                  <c:v>38071</c:v>
                </c:pt>
              </c:numCache>
            </c:numRef>
          </c:yVal>
          <c:smooth val="0"/>
          <c:extLst>
            <c:ext xmlns:c16="http://schemas.microsoft.com/office/drawing/2014/chart" uri="{C3380CC4-5D6E-409C-BE32-E72D297353CC}">
              <c16:uniqueId val="{00000002-6208-4AC1-938D-F7F9F6ECACBF}"/>
            </c:ext>
          </c:extLst>
        </c:ser>
        <c:ser>
          <c:idx val="3"/>
          <c:order val="3"/>
          <c:tx>
            <c:strRef>
              <c:f>Feuil11!$B$11</c:f>
              <c:strCache>
                <c:ptCount val="1"/>
                <c:pt idx="0">
                  <c:v>HFCs </c:v>
                </c:pt>
              </c:strCache>
            </c:strRef>
          </c:tx>
          <c:spPr>
            <a:ln w="19050" cap="rnd">
              <a:solidFill>
                <a:schemeClr val="accent4"/>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Feuil11!$C$11:$I$11</c:f>
              <c:numCache>
                <c:formatCode>General</c:formatCode>
                <c:ptCount val="7"/>
                <c:pt idx="0">
                  <c:v>4402</c:v>
                </c:pt>
                <c:pt idx="1">
                  <c:v>1702</c:v>
                </c:pt>
                <c:pt idx="2">
                  <c:v>6736</c:v>
                </c:pt>
                <c:pt idx="3">
                  <c:v>12862</c:v>
                </c:pt>
                <c:pt idx="4">
                  <c:v>16930</c:v>
                </c:pt>
                <c:pt idx="5">
                  <c:v>17494</c:v>
                </c:pt>
                <c:pt idx="6">
                  <c:v>12992</c:v>
                </c:pt>
              </c:numCache>
            </c:numRef>
          </c:yVal>
          <c:smooth val="0"/>
          <c:extLst>
            <c:ext xmlns:c16="http://schemas.microsoft.com/office/drawing/2014/chart" uri="{C3380CC4-5D6E-409C-BE32-E72D297353CC}">
              <c16:uniqueId val="{00000003-6208-4AC1-938D-F7F9F6ECACBF}"/>
            </c:ext>
          </c:extLst>
        </c:ser>
        <c:ser>
          <c:idx val="4"/>
          <c:order val="4"/>
          <c:tx>
            <c:strRef>
              <c:f>Feuil11!$B$13</c:f>
              <c:strCache>
                <c:ptCount val="1"/>
                <c:pt idx="0">
                  <c:v>PFCs </c:v>
                </c:pt>
              </c:strCache>
            </c:strRef>
          </c:tx>
          <c:spPr>
            <a:ln w="19050" cap="rnd">
              <a:solidFill>
                <a:schemeClr val="accent5"/>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Feuil11!$C$13:$I$13</c:f>
              <c:numCache>
                <c:formatCode>General</c:formatCode>
                <c:ptCount val="7"/>
                <c:pt idx="0">
                  <c:v>5202</c:v>
                </c:pt>
                <c:pt idx="1">
                  <c:v>3065</c:v>
                </c:pt>
                <c:pt idx="2">
                  <c:v>2997</c:v>
                </c:pt>
                <c:pt idx="3">
                  <c:v>1760</c:v>
                </c:pt>
                <c:pt idx="4">
                  <c:v>617</c:v>
                </c:pt>
                <c:pt idx="5">
                  <c:v>537</c:v>
                </c:pt>
                <c:pt idx="6">
                  <c:v>615</c:v>
                </c:pt>
              </c:numCache>
            </c:numRef>
          </c:yVal>
          <c:smooth val="0"/>
          <c:extLst>
            <c:ext xmlns:c16="http://schemas.microsoft.com/office/drawing/2014/chart" uri="{C3380CC4-5D6E-409C-BE32-E72D297353CC}">
              <c16:uniqueId val="{00000004-6208-4AC1-938D-F7F9F6ECACBF}"/>
            </c:ext>
          </c:extLst>
        </c:ser>
        <c:ser>
          <c:idx val="5"/>
          <c:order val="5"/>
          <c:tx>
            <c:strRef>
              <c:f>Feuil11!$B$15</c:f>
              <c:strCache>
                <c:ptCount val="1"/>
                <c:pt idx="0">
                  <c:v>SF6 </c:v>
                </c:pt>
              </c:strCache>
            </c:strRef>
          </c:tx>
          <c:spPr>
            <a:ln w="19050" cap="rnd">
              <a:solidFill>
                <a:schemeClr val="accent6"/>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Feuil11!$C$15:$I$15</c:f>
              <c:numCache>
                <c:formatCode>General</c:formatCode>
                <c:ptCount val="7"/>
                <c:pt idx="0">
                  <c:v>2155</c:v>
                </c:pt>
                <c:pt idx="1">
                  <c:v>2467</c:v>
                </c:pt>
                <c:pt idx="2">
                  <c:v>2180</c:v>
                </c:pt>
                <c:pt idx="3">
                  <c:v>1355</c:v>
                </c:pt>
                <c:pt idx="4">
                  <c:v>875</c:v>
                </c:pt>
                <c:pt idx="5">
                  <c:v>498</c:v>
                </c:pt>
                <c:pt idx="6">
                  <c:v>385</c:v>
                </c:pt>
              </c:numCache>
            </c:numRef>
          </c:yVal>
          <c:smooth val="0"/>
          <c:extLst>
            <c:ext xmlns:c16="http://schemas.microsoft.com/office/drawing/2014/chart" uri="{C3380CC4-5D6E-409C-BE32-E72D297353CC}">
              <c16:uniqueId val="{00000005-6208-4AC1-938D-F7F9F6ECACBF}"/>
            </c:ext>
          </c:extLst>
        </c:ser>
        <c:ser>
          <c:idx val="6"/>
          <c:order val="6"/>
          <c:tx>
            <c:strRef>
              <c:f>Feuil11!$B$17</c:f>
              <c:strCache>
                <c:ptCount val="1"/>
                <c:pt idx="0">
                  <c:v>NF3 </c:v>
                </c:pt>
              </c:strCache>
            </c:strRef>
          </c:tx>
          <c:spPr>
            <a:ln w="19050" cap="rnd">
              <a:solidFill>
                <a:schemeClr val="accent1">
                  <a:lumMod val="60000"/>
                </a:schemeClr>
              </a:solidFill>
              <a:round/>
            </a:ln>
            <a:effectLst/>
          </c:spPr>
          <c:marker>
            <c:symbol val="none"/>
          </c:marker>
          <c:xVal>
            <c:numRef>
              <c:f>Feuil11!$C$4:$I$4</c:f>
              <c:numCache>
                <c:formatCode>General</c:formatCode>
                <c:ptCount val="7"/>
                <c:pt idx="0">
                  <c:v>1990</c:v>
                </c:pt>
                <c:pt idx="1">
                  <c:v>1995</c:v>
                </c:pt>
                <c:pt idx="2">
                  <c:v>2000</c:v>
                </c:pt>
                <c:pt idx="3">
                  <c:v>2005</c:v>
                </c:pt>
                <c:pt idx="4">
                  <c:v>2010</c:v>
                </c:pt>
                <c:pt idx="5">
                  <c:v>2015</c:v>
                </c:pt>
                <c:pt idx="6">
                  <c:v>2019</c:v>
                </c:pt>
              </c:numCache>
            </c:numRef>
          </c:xVal>
          <c:yVal>
            <c:numRef>
              <c:f>Feuil11!$C$17:$I$17</c:f>
              <c:numCache>
                <c:formatCode>General</c:formatCode>
                <c:ptCount val="7"/>
                <c:pt idx="0">
                  <c:v>16</c:v>
                </c:pt>
                <c:pt idx="1">
                  <c:v>6</c:v>
                </c:pt>
                <c:pt idx="2">
                  <c:v>20</c:v>
                </c:pt>
                <c:pt idx="3">
                  <c:v>31</c:v>
                </c:pt>
                <c:pt idx="4">
                  <c:v>32</c:v>
                </c:pt>
                <c:pt idx="5">
                  <c:v>6</c:v>
                </c:pt>
                <c:pt idx="6">
                  <c:v>10</c:v>
                </c:pt>
              </c:numCache>
            </c:numRef>
          </c:yVal>
          <c:smooth val="0"/>
          <c:extLst>
            <c:ext xmlns:c16="http://schemas.microsoft.com/office/drawing/2014/chart" uri="{C3380CC4-5D6E-409C-BE32-E72D297353CC}">
              <c16:uniqueId val="{00000006-6208-4AC1-938D-F7F9F6ECACBF}"/>
            </c:ext>
          </c:extLst>
        </c:ser>
        <c:ser>
          <c:idx val="7"/>
          <c:order val="7"/>
          <c:tx>
            <c:strRef>
              <c:f>Feuil11!$B$6</c:f>
              <c:strCache>
                <c:ptCount val="1"/>
                <c:pt idx="0">
                  <c:v>CO2 excluding LULUCF (projections)</c:v>
                </c:pt>
              </c:strCache>
            </c:strRef>
          </c:tx>
          <c:spPr>
            <a:ln w="19050" cap="rnd">
              <a:solidFill>
                <a:schemeClr val="accent1"/>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Feuil11!$I$6:$N$6</c:f>
              <c:numCache>
                <c:formatCode>General</c:formatCode>
                <c:ptCount val="6"/>
                <c:pt idx="0">
                  <c:v>326725</c:v>
                </c:pt>
                <c:pt idx="1">
                  <c:v>291487</c:v>
                </c:pt>
                <c:pt idx="2">
                  <c:v>292205</c:v>
                </c:pt>
                <c:pt idx="3">
                  <c:v>272039</c:v>
                </c:pt>
                <c:pt idx="4">
                  <c:v>262355</c:v>
                </c:pt>
                <c:pt idx="5">
                  <c:v>241265</c:v>
                </c:pt>
              </c:numCache>
            </c:numRef>
          </c:yVal>
          <c:smooth val="0"/>
          <c:extLst>
            <c:ext xmlns:c16="http://schemas.microsoft.com/office/drawing/2014/chart" uri="{C3380CC4-5D6E-409C-BE32-E72D297353CC}">
              <c16:uniqueId val="{00000007-6208-4AC1-938D-F7F9F6ECACBF}"/>
            </c:ext>
          </c:extLst>
        </c:ser>
        <c:ser>
          <c:idx val="8"/>
          <c:order val="8"/>
          <c:tx>
            <c:strRef>
              <c:f>Feuil11!$B$8</c:f>
              <c:strCache>
                <c:ptCount val="1"/>
                <c:pt idx="0">
                  <c:v>CH4 excluding LULUCF (projections)</c:v>
                </c:pt>
              </c:strCache>
            </c:strRef>
          </c:tx>
          <c:spPr>
            <a:ln w="19050" cap="rnd">
              <a:solidFill>
                <a:schemeClr val="accent2"/>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Feuil11!$I$8:$N$8</c:f>
              <c:numCache>
                <c:formatCode>General</c:formatCode>
                <c:ptCount val="6"/>
                <c:pt idx="0">
                  <c:v>55740</c:v>
                </c:pt>
                <c:pt idx="1">
                  <c:v>55161</c:v>
                </c:pt>
                <c:pt idx="2">
                  <c:v>53575</c:v>
                </c:pt>
                <c:pt idx="3">
                  <c:v>52448</c:v>
                </c:pt>
                <c:pt idx="4">
                  <c:v>51718</c:v>
                </c:pt>
                <c:pt idx="5">
                  <c:v>51049</c:v>
                </c:pt>
              </c:numCache>
            </c:numRef>
          </c:yVal>
          <c:smooth val="0"/>
          <c:extLst>
            <c:ext xmlns:c16="http://schemas.microsoft.com/office/drawing/2014/chart" uri="{C3380CC4-5D6E-409C-BE32-E72D297353CC}">
              <c16:uniqueId val="{00000008-6208-4AC1-938D-F7F9F6ECACBF}"/>
            </c:ext>
          </c:extLst>
        </c:ser>
        <c:ser>
          <c:idx val="9"/>
          <c:order val="9"/>
          <c:tx>
            <c:strRef>
              <c:f>Feuil11!$B$10</c:f>
              <c:strCache>
                <c:ptCount val="1"/>
                <c:pt idx="0">
                  <c:v>N2O excluding LULUCF (projections)</c:v>
                </c:pt>
              </c:strCache>
            </c:strRef>
          </c:tx>
          <c:spPr>
            <a:ln w="19050" cap="rnd">
              <a:solidFill>
                <a:schemeClr val="accent3"/>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Feuil11!$I$10:$N$10</c:f>
              <c:numCache>
                <c:formatCode>General</c:formatCode>
                <c:ptCount val="6"/>
                <c:pt idx="0">
                  <c:v>38071</c:v>
                </c:pt>
                <c:pt idx="1">
                  <c:v>38446</c:v>
                </c:pt>
                <c:pt idx="2">
                  <c:v>37839</c:v>
                </c:pt>
                <c:pt idx="3">
                  <c:v>36921</c:v>
                </c:pt>
                <c:pt idx="4">
                  <c:v>36417</c:v>
                </c:pt>
                <c:pt idx="5">
                  <c:v>35003</c:v>
                </c:pt>
              </c:numCache>
            </c:numRef>
          </c:yVal>
          <c:smooth val="0"/>
          <c:extLst>
            <c:ext xmlns:c16="http://schemas.microsoft.com/office/drawing/2014/chart" uri="{C3380CC4-5D6E-409C-BE32-E72D297353CC}">
              <c16:uniqueId val="{00000009-6208-4AC1-938D-F7F9F6ECACBF}"/>
            </c:ext>
          </c:extLst>
        </c:ser>
        <c:ser>
          <c:idx val="10"/>
          <c:order val="10"/>
          <c:tx>
            <c:strRef>
              <c:f>Feuil11!$B$12</c:f>
              <c:strCache>
                <c:ptCount val="1"/>
                <c:pt idx="0">
                  <c:v>HFCs (projections)</c:v>
                </c:pt>
              </c:strCache>
            </c:strRef>
          </c:tx>
          <c:spPr>
            <a:ln w="19050" cap="rnd">
              <a:solidFill>
                <a:schemeClr val="accent4"/>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Feuil11!$I$12:$N$12</c:f>
              <c:numCache>
                <c:formatCode>General</c:formatCode>
                <c:ptCount val="6"/>
                <c:pt idx="0">
                  <c:v>12992</c:v>
                </c:pt>
                <c:pt idx="1">
                  <c:v>12721</c:v>
                </c:pt>
                <c:pt idx="2">
                  <c:v>7816</c:v>
                </c:pt>
                <c:pt idx="3">
                  <c:v>5052</c:v>
                </c:pt>
                <c:pt idx="4">
                  <c:v>3427</c:v>
                </c:pt>
                <c:pt idx="5">
                  <c:v>1830</c:v>
                </c:pt>
              </c:numCache>
            </c:numRef>
          </c:yVal>
          <c:smooth val="0"/>
          <c:extLst>
            <c:ext xmlns:c16="http://schemas.microsoft.com/office/drawing/2014/chart" uri="{C3380CC4-5D6E-409C-BE32-E72D297353CC}">
              <c16:uniqueId val="{0000000A-6208-4AC1-938D-F7F9F6ECACBF}"/>
            </c:ext>
          </c:extLst>
        </c:ser>
        <c:ser>
          <c:idx val="11"/>
          <c:order val="11"/>
          <c:tx>
            <c:strRef>
              <c:f>Feuil11!$B$14</c:f>
              <c:strCache>
                <c:ptCount val="1"/>
                <c:pt idx="0">
                  <c:v>PFCs (projections)</c:v>
                </c:pt>
              </c:strCache>
            </c:strRef>
          </c:tx>
          <c:spPr>
            <a:ln w="19050" cap="rnd">
              <a:solidFill>
                <a:schemeClr val="accent6">
                  <a:lumMod val="60000"/>
                </a:schemeClr>
              </a:solidFill>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Feuil11!$I$14:$N$14</c:f>
              <c:numCache>
                <c:formatCode>General</c:formatCode>
                <c:ptCount val="6"/>
                <c:pt idx="0">
                  <c:v>615</c:v>
                </c:pt>
                <c:pt idx="1">
                  <c:v>462</c:v>
                </c:pt>
                <c:pt idx="2">
                  <c:v>290</c:v>
                </c:pt>
                <c:pt idx="3">
                  <c:v>217</c:v>
                </c:pt>
                <c:pt idx="4">
                  <c:v>156</c:v>
                </c:pt>
                <c:pt idx="5">
                  <c:v>130</c:v>
                </c:pt>
              </c:numCache>
            </c:numRef>
          </c:yVal>
          <c:smooth val="0"/>
          <c:extLst>
            <c:ext xmlns:c16="http://schemas.microsoft.com/office/drawing/2014/chart" uri="{C3380CC4-5D6E-409C-BE32-E72D297353CC}">
              <c16:uniqueId val="{0000000B-6208-4AC1-938D-F7F9F6ECACBF}"/>
            </c:ext>
          </c:extLst>
        </c:ser>
        <c:ser>
          <c:idx val="12"/>
          <c:order val="12"/>
          <c:tx>
            <c:strRef>
              <c:f>Feuil11!$B$16</c:f>
              <c:strCache>
                <c:ptCount val="1"/>
                <c:pt idx="0">
                  <c:v>SF6 (projections)</c:v>
                </c:pt>
              </c:strCache>
            </c:strRef>
          </c:tx>
          <c:spPr>
            <a:ln w="19050" cap="rnd">
              <a:solidFill>
                <a:schemeClr val="accent1">
                  <a:lumMod val="80000"/>
                  <a:lumOff val="20000"/>
                </a:schemeClr>
              </a:solidFill>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Feuil11!$I$16:$N$16</c:f>
              <c:numCache>
                <c:formatCode>General</c:formatCode>
                <c:ptCount val="6"/>
                <c:pt idx="0">
                  <c:v>385</c:v>
                </c:pt>
                <c:pt idx="1">
                  <c:v>387</c:v>
                </c:pt>
                <c:pt idx="2">
                  <c:v>358</c:v>
                </c:pt>
                <c:pt idx="3">
                  <c:v>359</c:v>
                </c:pt>
                <c:pt idx="4">
                  <c:v>360</c:v>
                </c:pt>
                <c:pt idx="5">
                  <c:v>363</c:v>
                </c:pt>
              </c:numCache>
            </c:numRef>
          </c:yVal>
          <c:smooth val="0"/>
          <c:extLst>
            <c:ext xmlns:c16="http://schemas.microsoft.com/office/drawing/2014/chart" uri="{C3380CC4-5D6E-409C-BE32-E72D297353CC}">
              <c16:uniqueId val="{0000000C-6208-4AC1-938D-F7F9F6ECACBF}"/>
            </c:ext>
          </c:extLst>
        </c:ser>
        <c:ser>
          <c:idx val="13"/>
          <c:order val="13"/>
          <c:tx>
            <c:strRef>
              <c:f>Feuil11!$B$18</c:f>
              <c:strCache>
                <c:ptCount val="1"/>
                <c:pt idx="0">
                  <c:v>NF3 (projections)</c:v>
                </c:pt>
              </c:strCache>
            </c:strRef>
          </c:tx>
          <c:spPr>
            <a:ln w="19050" cap="rnd">
              <a:solidFill>
                <a:schemeClr val="accent2">
                  <a:lumMod val="80000"/>
                  <a:lumOff val="20000"/>
                </a:schemeClr>
              </a:solidFill>
              <a:prstDash val="sysDash"/>
              <a:round/>
            </a:ln>
            <a:effectLst/>
          </c:spPr>
          <c:marker>
            <c:symbol val="none"/>
          </c:marker>
          <c:xVal>
            <c:numRef>
              <c:f>Feuil11!$I$4:$N$4</c:f>
              <c:numCache>
                <c:formatCode>General</c:formatCode>
                <c:ptCount val="6"/>
                <c:pt idx="0">
                  <c:v>2019</c:v>
                </c:pt>
                <c:pt idx="1">
                  <c:v>2020</c:v>
                </c:pt>
                <c:pt idx="2">
                  <c:v>2025</c:v>
                </c:pt>
                <c:pt idx="3">
                  <c:v>2030</c:v>
                </c:pt>
                <c:pt idx="4">
                  <c:v>2035</c:v>
                </c:pt>
                <c:pt idx="5">
                  <c:v>2050</c:v>
                </c:pt>
              </c:numCache>
            </c:numRef>
          </c:xVal>
          <c:yVal>
            <c:numRef>
              <c:f>Feuil11!$I$18:$N$18</c:f>
              <c:numCache>
                <c:formatCode>General</c:formatCode>
                <c:ptCount val="6"/>
                <c:pt idx="0">
                  <c:v>10</c:v>
                </c:pt>
                <c:pt idx="1">
                  <c:v>9</c:v>
                </c:pt>
                <c:pt idx="2">
                  <c:v>10</c:v>
                </c:pt>
                <c:pt idx="3">
                  <c:v>10</c:v>
                </c:pt>
                <c:pt idx="4">
                  <c:v>10</c:v>
                </c:pt>
                <c:pt idx="5">
                  <c:v>10</c:v>
                </c:pt>
              </c:numCache>
            </c:numRef>
          </c:yVal>
          <c:smooth val="0"/>
          <c:extLst>
            <c:ext xmlns:c16="http://schemas.microsoft.com/office/drawing/2014/chart" uri="{C3380CC4-5D6E-409C-BE32-E72D297353CC}">
              <c16:uniqueId val="{0000000D-6208-4AC1-938D-F7F9F6ECACBF}"/>
            </c:ext>
          </c:extLst>
        </c:ser>
        <c:dLbls>
          <c:showLegendKey val="0"/>
          <c:showVal val="0"/>
          <c:showCatName val="0"/>
          <c:showSerName val="0"/>
          <c:showPercent val="0"/>
          <c:showBubbleSize val="0"/>
        </c:dLbls>
        <c:axId val="563831263"/>
        <c:axId val="563830015"/>
      </c:scatterChart>
      <c:valAx>
        <c:axId val="563831263"/>
        <c:scaling>
          <c:orientation val="minMax"/>
          <c:max val="2050"/>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0015"/>
        <c:crosses val="autoZero"/>
        <c:crossBetween val="midCat"/>
      </c:valAx>
      <c:valAx>
        <c:axId val="563830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baseline="0">
                    <a:effectLst/>
                  </a:rPr>
                  <a:t>ktCO</a:t>
                </a:r>
                <a:r>
                  <a:rPr lang="en-GB" sz="1000" b="0" i="0" u="none" strike="noStrike" baseline="-25000">
                    <a:effectLst/>
                  </a:rPr>
                  <a:t>2e</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31263"/>
        <c:crosses val="autoZero"/>
        <c:crossBetween val="midCat"/>
      </c:valAx>
      <c:spPr>
        <a:noFill/>
        <a:ln>
          <a:noFill/>
        </a:ln>
        <a:effectLst/>
      </c:spPr>
    </c:plotArea>
    <c:legend>
      <c:legendPos val="b"/>
      <c:layout>
        <c:manualLayout>
          <c:xMode val="edge"/>
          <c:yMode val="edge"/>
          <c:x val="0"/>
          <c:y val="0.76626166520851557"/>
          <c:w val="1"/>
          <c:h val="0.2059605570137065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'1. Population'!$R$48</c:f>
              <c:strCache>
                <c:ptCount val="1"/>
                <c:pt idx="0">
                  <c:v>AME/AMS 2018</c:v>
                </c:pt>
              </c:strCache>
            </c:strRef>
          </c:tx>
          <c:spPr>
            <a:ln w="19050" cap="rnd">
              <a:solidFill>
                <a:srgbClr val="92D050"/>
              </a:solidFill>
              <a:round/>
            </a:ln>
            <a:effectLst/>
          </c:spPr>
          <c:marker>
            <c:symbol val="circle"/>
            <c:size val="5"/>
            <c:spPr>
              <a:solidFill>
                <a:srgbClr val="92D050"/>
              </a:solidFill>
              <a:ln w="9525">
                <a:solidFill>
                  <a:srgbClr val="92D050"/>
                </a:solidFill>
              </a:ln>
              <a:effectLst/>
            </c:spPr>
          </c:marker>
          <c:xVal>
            <c:numRef>
              <c:f>'1. Population'!$B$15:$AH$15</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'1. Population'!$B$16:$AH$16</c:f>
              <c:numCache>
                <c:formatCode>General</c:formatCode>
                <c:ptCount val="33"/>
                <c:pt idx="2">
                  <c:v>67.819999999999993</c:v>
                </c:pt>
                <c:pt idx="7">
                  <c:v>69.093000000000004</c:v>
                </c:pt>
                <c:pt idx="12">
                  <c:v>70.281000000000006</c:v>
                </c:pt>
                <c:pt idx="17">
                  <c:v>71.417000000000002</c:v>
                </c:pt>
                <c:pt idx="22">
                  <c:v>72.448999999999998</c:v>
                </c:pt>
                <c:pt idx="27">
                  <c:v>73.311999999999998</c:v>
                </c:pt>
                <c:pt idx="32">
                  <c:v>74.025000000000006</c:v>
                </c:pt>
              </c:numCache>
            </c:numRef>
          </c:yVal>
          <c:smooth val="1"/>
          <c:extLst>
            <c:ext xmlns:c16="http://schemas.microsoft.com/office/drawing/2014/chart" uri="{C3380CC4-5D6E-409C-BE32-E72D297353CC}">
              <c16:uniqueId val="{00000000-A9F6-4459-B5B8-4ECF57135A45}"/>
            </c:ext>
          </c:extLst>
        </c:ser>
        <c:ser>
          <c:idx val="2"/>
          <c:order val="1"/>
          <c:tx>
            <c:strRef>
              <c:f>'1. Population'!$A$18</c:f>
              <c:strCache>
                <c:ptCount val="1"/>
                <c:pt idx="0">
                  <c:v>insee fécondité basse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'1. Population'!$B$15:$AH$15</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'1. Population'!$B$18:$AH$18</c:f>
              <c:numCache>
                <c:formatCode>#\ ##0.000</c:formatCode>
                <c:ptCount val="33"/>
                <c:pt idx="0">
                  <c:v>67.240666000000004</c:v>
                </c:pt>
                <c:pt idx="1">
                  <c:v>67.483286000000007</c:v>
                </c:pt>
                <c:pt idx="2">
                  <c:v>67.707069000000004</c:v>
                </c:pt>
                <c:pt idx="3">
                  <c:v>67.911946</c:v>
                </c:pt>
                <c:pt idx="4">
                  <c:v>68.111450000000005</c:v>
                </c:pt>
                <c:pt idx="5">
                  <c:v>68.305942000000002</c:v>
                </c:pt>
                <c:pt idx="6">
                  <c:v>68.495774999999995</c:v>
                </c:pt>
                <c:pt idx="7">
                  <c:v>68.681546999999995</c:v>
                </c:pt>
                <c:pt idx="8">
                  <c:v>68.863999000000007</c:v>
                </c:pt>
                <c:pt idx="9">
                  <c:v>69.043799000000007</c:v>
                </c:pt>
                <c:pt idx="10">
                  <c:v>69.221366000000003</c:v>
                </c:pt>
                <c:pt idx="11">
                  <c:v>69.396844000000002</c:v>
                </c:pt>
                <c:pt idx="12">
                  <c:v>69.570370999999994</c:v>
                </c:pt>
                <c:pt idx="13">
                  <c:v>69.742040000000003</c:v>
                </c:pt>
                <c:pt idx="14">
                  <c:v>69.911619999999999</c:v>
                </c:pt>
                <c:pt idx="15">
                  <c:v>70.078540000000004</c:v>
                </c:pt>
                <c:pt idx="16">
                  <c:v>70.242058</c:v>
                </c:pt>
                <c:pt idx="17">
                  <c:v>70.401514000000006</c:v>
                </c:pt>
                <c:pt idx="18">
                  <c:v>70.556419000000005</c:v>
                </c:pt>
                <c:pt idx="19">
                  <c:v>70.706194999999994</c:v>
                </c:pt>
                <c:pt idx="20">
                  <c:v>70.850144</c:v>
                </c:pt>
                <c:pt idx="21">
                  <c:v>70.987558000000007</c:v>
                </c:pt>
                <c:pt idx="22">
                  <c:v>71.117945000000006</c:v>
                </c:pt>
                <c:pt idx="23">
                  <c:v>71.240915999999999</c:v>
                </c:pt>
                <c:pt idx="24">
                  <c:v>71.355704000000003</c:v>
                </c:pt>
                <c:pt idx="25">
                  <c:v>71.461843000000002</c:v>
                </c:pt>
                <c:pt idx="26">
                  <c:v>71.559078</c:v>
                </c:pt>
                <c:pt idx="27">
                  <c:v>71.647525000000002</c:v>
                </c:pt>
                <c:pt idx="28">
                  <c:v>71.727486999999996</c:v>
                </c:pt>
                <c:pt idx="29">
                  <c:v>71.799098000000001</c:v>
                </c:pt>
                <c:pt idx="30">
                  <c:v>71.862482999999997</c:v>
                </c:pt>
                <c:pt idx="31">
                  <c:v>71.917776000000003</c:v>
                </c:pt>
                <c:pt idx="32">
                  <c:v>71.965277999999998</c:v>
                </c:pt>
              </c:numCache>
            </c:numRef>
          </c:yVal>
          <c:smooth val="1"/>
          <c:extLst>
            <c:ext xmlns:c16="http://schemas.microsoft.com/office/drawing/2014/chart" uri="{C3380CC4-5D6E-409C-BE32-E72D297353CC}">
              <c16:uniqueId val="{00000001-A9F6-4459-B5B8-4ECF57135A45}"/>
            </c:ext>
          </c:extLst>
        </c:ser>
        <c:ser>
          <c:idx val="1"/>
          <c:order val="2"/>
          <c:tx>
            <c:strRef>
              <c:f>'1. Population'!$R$49</c:f>
              <c:strCache>
                <c:ptCount val="1"/>
                <c:pt idx="0">
                  <c:v>AME 2021</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'1. Population'!$B$15:$AH$15</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'1. Population'!$B$35:$AH$35</c:f>
              <c:numCache>
                <c:formatCode>0.0</c:formatCode>
                <c:ptCount val="33"/>
                <c:pt idx="0" formatCode="#\ ##0.000">
                  <c:v>66.98</c:v>
                </c:pt>
                <c:pt idx="1">
                  <c:v>67.012883000000002</c:v>
                </c:pt>
                <c:pt idx="2" formatCode="0.00">
                  <c:v>67.204763</c:v>
                </c:pt>
                <c:pt idx="3" formatCode="0.00">
                  <c:v>67.388433000000006</c:v>
                </c:pt>
                <c:pt idx="4" formatCode="0.00">
                  <c:v>67.575000000000003</c:v>
                </c:pt>
                <c:pt idx="5" formatCode="0.00">
                  <c:v>67.765465000000006</c:v>
                </c:pt>
                <c:pt idx="6" formatCode="0.00">
                  <c:v>67.955439999999996</c:v>
                </c:pt>
                <c:pt idx="7" formatCode="0.00">
                  <c:v>68.145742999999996</c:v>
                </c:pt>
                <c:pt idx="8" formatCode="0.00">
                  <c:v>68.335445000000007</c:v>
                </c:pt>
                <c:pt idx="9" formatCode="0.00">
                  <c:v>68.526661000000004</c:v>
                </c:pt>
                <c:pt idx="10" formatCode="0.00">
                  <c:v>68.718934000000004</c:v>
                </c:pt>
                <c:pt idx="11" formatCode="0.00">
                  <c:v>68.916612999999998</c:v>
                </c:pt>
                <c:pt idx="12" formatCode="0.00">
                  <c:v>69.116879999999995</c:v>
                </c:pt>
                <c:pt idx="13" formatCode="0.00">
                  <c:v>69.319056000000003</c:v>
                </c:pt>
                <c:pt idx="14" formatCode="0.00">
                  <c:v>69.521761999999995</c:v>
                </c:pt>
                <c:pt idx="15" formatCode="0.00">
                  <c:v>69.722271000000006</c:v>
                </c:pt>
                <c:pt idx="16" formatCode="0.00">
                  <c:v>69.91583</c:v>
                </c:pt>
                <c:pt idx="17" formatCode="0.00">
                  <c:v>70.104962</c:v>
                </c:pt>
                <c:pt idx="18" formatCode="0.00">
                  <c:v>70.288808000000003</c:v>
                </c:pt>
                <c:pt idx="19" formatCode="0.00">
                  <c:v>70.465976999999995</c:v>
                </c:pt>
                <c:pt idx="20" formatCode="0.00">
                  <c:v>70.633769999999998</c:v>
                </c:pt>
                <c:pt idx="21" formatCode="0.00">
                  <c:v>70.788492000000005</c:v>
                </c:pt>
                <c:pt idx="22" formatCode="0.00">
                  <c:v>70.926210999999995</c:v>
                </c:pt>
                <c:pt idx="23" formatCode="General">
                  <c:v>71.046882993855363</c:v>
                </c:pt>
                <c:pt idx="24" formatCode="General">
                  <c:v>71.166557698505329</c:v>
                </c:pt>
                <c:pt idx="25" formatCode="General">
                  <c:v>71.269278486663197</c:v>
                </c:pt>
                <c:pt idx="26" formatCode="General">
                  <c:v>71.366015539588574</c:v>
                </c:pt>
                <c:pt idx="27" formatCode="General">
                  <c:v>71.459760724897706</c:v>
                </c:pt>
                <c:pt idx="28" formatCode="General">
                  <c:v>71.533560126098507</c:v>
                </c:pt>
                <c:pt idx="29" formatCode="General">
                  <c:v>71.606362238093894</c:v>
                </c:pt>
                <c:pt idx="30" formatCode="General">
                  <c:v>71.671186036445945</c:v>
                </c:pt>
                <c:pt idx="31" formatCode="General">
                  <c:v>71.726036942743846</c:v>
                </c:pt>
                <c:pt idx="32" formatCode="General">
                  <c:v>71.776898692220072</c:v>
                </c:pt>
              </c:numCache>
            </c:numRef>
          </c:yVal>
          <c:smooth val="1"/>
          <c:extLst>
            <c:ext xmlns:c16="http://schemas.microsoft.com/office/drawing/2014/chart" uri="{C3380CC4-5D6E-409C-BE32-E72D297353CC}">
              <c16:uniqueId val="{00000002-A9F6-4459-B5B8-4ECF57135A45}"/>
            </c:ext>
          </c:extLst>
        </c:ser>
        <c:ser>
          <c:idx val="3"/>
          <c:order val="3"/>
          <c:tx>
            <c:strRef>
              <c:f>'1. Population'!$A$19</c:f>
              <c:strCache>
                <c:ptCount val="1"/>
                <c:pt idx="0">
                  <c:v>Observé</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'1. Population'!$B$15:$AH$15</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'1. Population'!$B$19:$AH$19</c:f>
              <c:numCache>
                <c:formatCode>#\ ##0.000</c:formatCode>
                <c:ptCount val="33"/>
                <c:pt idx="0">
                  <c:v>66.98</c:v>
                </c:pt>
                <c:pt idx="1">
                  <c:v>67.06</c:v>
                </c:pt>
              </c:numCache>
            </c:numRef>
          </c:yVal>
          <c:smooth val="1"/>
          <c:extLst>
            <c:ext xmlns:c16="http://schemas.microsoft.com/office/drawing/2014/chart" uri="{C3380CC4-5D6E-409C-BE32-E72D297353CC}">
              <c16:uniqueId val="{00000003-A9F6-4459-B5B8-4ECF57135A45}"/>
            </c:ext>
          </c:extLst>
        </c:ser>
        <c:dLbls>
          <c:showLegendKey val="0"/>
          <c:showVal val="0"/>
          <c:showCatName val="0"/>
          <c:showSerName val="0"/>
          <c:showPercent val="0"/>
          <c:showBubbleSize val="0"/>
        </c:dLbls>
        <c:axId val="303495456"/>
        <c:axId val="303494624"/>
      </c:scatterChart>
      <c:valAx>
        <c:axId val="303495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494624"/>
        <c:crosses val="autoZero"/>
        <c:crossBetween val="midCat"/>
      </c:valAx>
      <c:valAx>
        <c:axId val="303494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million inhabitants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495456"/>
        <c:crosses val="autoZero"/>
        <c:crossBetween val="midCat"/>
      </c:valAx>
      <c:spPr>
        <a:noFill/>
        <a:ln>
          <a:noFill/>
        </a:ln>
        <a:effectLst/>
      </c:spPr>
    </c:plotArea>
    <c:legend>
      <c:legendPos val="b"/>
      <c:layout>
        <c:manualLayout>
          <c:xMode val="edge"/>
          <c:yMode val="edge"/>
          <c:x val="8.3921612063694695E-2"/>
          <c:y val="0.92022457323666795"/>
          <c:w val="0.84892320589419079"/>
          <c:h val="6.875047517493657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'VA industrielle'!$B$20</c:f>
              <c:strCache>
                <c:ptCount val="1"/>
                <c:pt idx="0">
                  <c:v>AMS 18</c:v>
                </c:pt>
              </c:strCache>
            </c:strRef>
          </c:tx>
          <c:spPr>
            <a:ln w="19050" cap="rnd">
              <a:solidFill>
                <a:srgbClr val="92D050"/>
              </a:solidFill>
              <a:round/>
            </a:ln>
            <a:effectLst/>
          </c:spPr>
          <c:marker>
            <c:symbol val="none"/>
          </c:marker>
          <c:xVal>
            <c:numRef>
              <c:f>'VA industrielle'!$C$19:$AI$19</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'VA industrielle'!$C$20:$AI$20</c:f>
              <c:numCache>
                <c:formatCode>General</c:formatCode>
                <c:ptCount val="33"/>
                <c:pt idx="0">
                  <c:v>100</c:v>
                </c:pt>
                <c:pt idx="1">
                  <c:v>101.4</c:v>
                </c:pt>
                <c:pt idx="2">
                  <c:v>102.81960000000001</c:v>
                </c:pt>
                <c:pt idx="3">
                  <c:v>103.847796</c:v>
                </c:pt>
                <c:pt idx="4">
                  <c:v>104.88627396</c:v>
                </c:pt>
                <c:pt idx="5">
                  <c:v>105.93513669959999</c:v>
                </c:pt>
                <c:pt idx="6">
                  <c:v>106.99448806659599</c:v>
                </c:pt>
                <c:pt idx="7">
                  <c:v>108.06443294726195</c:v>
                </c:pt>
                <c:pt idx="8">
                  <c:v>109.25314170968181</c:v>
                </c:pt>
                <c:pt idx="9">
                  <c:v>110.45492626848831</c:v>
                </c:pt>
                <c:pt idx="10">
                  <c:v>111.66993045744167</c:v>
                </c:pt>
                <c:pt idx="11">
                  <c:v>112.89829969247351</c:v>
                </c:pt>
                <c:pt idx="12">
                  <c:v>114.14018098909071</c:v>
                </c:pt>
                <c:pt idx="13">
                  <c:v>115.62400334194888</c:v>
                </c:pt>
                <c:pt idx="14">
                  <c:v>117.12711538539421</c:v>
                </c:pt>
                <c:pt idx="15">
                  <c:v>118.64976788540432</c:v>
                </c:pt>
                <c:pt idx="16">
                  <c:v>120.19221486791456</c:v>
                </c:pt>
                <c:pt idx="17">
                  <c:v>121.75471366119743</c:v>
                </c:pt>
                <c:pt idx="18">
                  <c:v>123.33752493879298</c:v>
                </c:pt>
                <c:pt idx="19">
                  <c:v>124.94091276299727</c:v>
                </c:pt>
                <c:pt idx="20">
                  <c:v>126.56514462891623</c:v>
                </c:pt>
                <c:pt idx="21">
                  <c:v>128.21049150909212</c:v>
                </c:pt>
                <c:pt idx="22">
                  <c:v>129.87722789871032</c:v>
                </c:pt>
                <c:pt idx="23">
                  <c:v>131.56563186139354</c:v>
                </c:pt>
                <c:pt idx="24">
                  <c:v>133.27598507559165</c:v>
                </c:pt>
                <c:pt idx="25">
                  <c:v>135.00857288157434</c:v>
                </c:pt>
                <c:pt idx="26">
                  <c:v>136.76368432903479</c:v>
                </c:pt>
                <c:pt idx="27">
                  <c:v>138.54161222531224</c:v>
                </c:pt>
                <c:pt idx="28">
                  <c:v>140.34265318424127</c:v>
                </c:pt>
                <c:pt idx="29">
                  <c:v>142.1671076756364</c:v>
                </c:pt>
                <c:pt idx="30">
                  <c:v>144.01528007541967</c:v>
                </c:pt>
                <c:pt idx="31">
                  <c:v>145.8874787164001</c:v>
                </c:pt>
                <c:pt idx="32">
                  <c:v>147.78401593971327</c:v>
                </c:pt>
              </c:numCache>
            </c:numRef>
          </c:yVal>
          <c:smooth val="1"/>
          <c:extLst>
            <c:ext xmlns:c16="http://schemas.microsoft.com/office/drawing/2014/chart" uri="{C3380CC4-5D6E-409C-BE32-E72D297353CC}">
              <c16:uniqueId val="{00000000-F5FE-40EF-9C62-6A807BB0C7E9}"/>
            </c:ext>
          </c:extLst>
        </c:ser>
        <c:ser>
          <c:idx val="1"/>
          <c:order val="1"/>
          <c:tx>
            <c:strRef>
              <c:f>'VA industrielle'!$B$22</c:f>
              <c:strCache>
                <c:ptCount val="1"/>
                <c:pt idx="0">
                  <c:v>AME 21</c:v>
                </c:pt>
              </c:strCache>
            </c:strRef>
          </c:tx>
          <c:spPr>
            <a:ln w="19050" cap="rnd">
              <a:solidFill>
                <a:schemeClr val="accent2"/>
              </a:solidFill>
              <a:round/>
            </a:ln>
            <a:effectLst/>
          </c:spPr>
          <c:marker>
            <c:symbol val="none"/>
          </c:marker>
          <c:xVal>
            <c:numRef>
              <c:f>'VA industrielle'!$C$19:$AI$19</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'VA industrielle'!$C$22:$AI$22</c:f>
              <c:numCache>
                <c:formatCode>General</c:formatCode>
                <c:ptCount val="33"/>
                <c:pt idx="0">
                  <c:v>100</c:v>
                </c:pt>
                <c:pt idx="1">
                  <c:v>101.31539403407143</c:v>
                </c:pt>
                <c:pt idx="2">
                  <c:v>92.958615750341849</c:v>
                </c:pt>
                <c:pt idx="3">
                  <c:v>99.838582535791048</c:v>
                </c:pt>
                <c:pt idx="4">
                  <c:v>101.6070362109557</c:v>
                </c:pt>
                <c:pt idx="5">
                  <c:v>103.27448067683179</c:v>
                </c:pt>
                <c:pt idx="6">
                  <c:v>104.91629154979603</c:v>
                </c:pt>
                <c:pt idx="7">
                  <c:v>105.83343399148264</c:v>
                </c:pt>
                <c:pt idx="8">
                  <c:v>106.89176833139746</c:v>
                </c:pt>
                <c:pt idx="9">
                  <c:v>107.96068601471143</c:v>
                </c:pt>
                <c:pt idx="10">
                  <c:v>109.04029287485854</c:v>
                </c:pt>
                <c:pt idx="11">
                  <c:v>110.13069580360713</c:v>
                </c:pt>
                <c:pt idx="12">
                  <c:v>111.2320027616432</c:v>
                </c:pt>
                <c:pt idx="13">
                  <c:v>112.67801879754455</c:v>
                </c:pt>
                <c:pt idx="14">
                  <c:v>114.14283304191262</c:v>
                </c:pt>
                <c:pt idx="15">
                  <c:v>115.62668987145747</c:v>
                </c:pt>
                <c:pt idx="16">
                  <c:v>117.12983683978641</c:v>
                </c:pt>
                <c:pt idx="17">
                  <c:v>118.65252471870362</c:v>
                </c:pt>
                <c:pt idx="18">
                  <c:v>120.19500754004675</c:v>
                </c:pt>
                <c:pt idx="19">
                  <c:v>121.75754263806733</c:v>
                </c:pt>
                <c:pt idx="20">
                  <c:v>123.34039069236219</c:v>
                </c:pt>
                <c:pt idx="21">
                  <c:v>124.94381577136289</c:v>
                </c:pt>
                <c:pt idx="22">
                  <c:v>126.5680853763906</c:v>
                </c:pt>
                <c:pt idx="23">
                  <c:v>128.21347048628365</c:v>
                </c:pt>
                <c:pt idx="24">
                  <c:v>129.88024560260533</c:v>
                </c:pt>
                <c:pt idx="25">
                  <c:v>131.56868879543919</c:v>
                </c:pt>
                <c:pt idx="26">
                  <c:v>133.27908174977989</c:v>
                </c:pt>
                <c:pt idx="27">
                  <c:v>135.01170981252702</c:v>
                </c:pt>
                <c:pt idx="28">
                  <c:v>136.76686204008985</c:v>
                </c:pt>
                <c:pt idx="29">
                  <c:v>138.54483124661101</c:v>
                </c:pt>
                <c:pt idx="30">
                  <c:v>140.34591405281694</c:v>
                </c:pt>
                <c:pt idx="31">
                  <c:v>142.17041093550355</c:v>
                </c:pt>
                <c:pt idx="32">
                  <c:v>144.01862627766508</c:v>
                </c:pt>
              </c:numCache>
            </c:numRef>
          </c:yVal>
          <c:smooth val="1"/>
          <c:extLst>
            <c:ext xmlns:c16="http://schemas.microsoft.com/office/drawing/2014/chart" uri="{C3380CC4-5D6E-409C-BE32-E72D297353CC}">
              <c16:uniqueId val="{00000001-F5FE-40EF-9C62-6A807BB0C7E9}"/>
            </c:ext>
          </c:extLst>
        </c:ser>
        <c:ser>
          <c:idx val="2"/>
          <c:order val="2"/>
          <c:tx>
            <c:strRef>
              <c:f>'VA industrielle'!$B$21</c:f>
              <c:strCache>
                <c:ptCount val="1"/>
                <c:pt idx="0">
                  <c:v>AME 18</c:v>
                </c:pt>
              </c:strCache>
            </c:strRef>
          </c:tx>
          <c:spPr>
            <a:ln w="19050" cap="rnd">
              <a:solidFill>
                <a:schemeClr val="accent3"/>
              </a:solidFill>
              <a:round/>
            </a:ln>
            <a:effectLst/>
          </c:spPr>
          <c:marker>
            <c:symbol val="none"/>
          </c:marker>
          <c:xVal>
            <c:numRef>
              <c:f>'VA industrielle'!$C$19:$AI$19</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'VA industrielle'!$C$21:$AI$21</c:f>
              <c:numCache>
                <c:formatCode>General</c:formatCode>
                <c:ptCount val="33"/>
                <c:pt idx="0">
                  <c:v>100</c:v>
                </c:pt>
                <c:pt idx="1">
                  <c:v>101.69999999999999</c:v>
                </c:pt>
                <c:pt idx="2">
                  <c:v>103.42889999999998</c:v>
                </c:pt>
                <c:pt idx="3">
                  <c:v>105.18719129999998</c:v>
                </c:pt>
                <c:pt idx="4">
                  <c:v>106.97537355209997</c:v>
                </c:pt>
                <c:pt idx="5">
                  <c:v>108.79395490248565</c:v>
                </c:pt>
                <c:pt idx="6">
                  <c:v>110.6434521358279</c:v>
                </c:pt>
                <c:pt idx="7">
                  <c:v>112.52439082213697</c:v>
                </c:pt>
                <c:pt idx="8">
                  <c:v>114.43730546611329</c:v>
                </c:pt>
                <c:pt idx="9">
                  <c:v>116.3827396590372</c:v>
                </c:pt>
                <c:pt idx="10">
                  <c:v>118.36124623324082</c:v>
                </c:pt>
                <c:pt idx="11">
                  <c:v>120.3733874192059</c:v>
                </c:pt>
                <c:pt idx="12">
                  <c:v>122.41973500533238</c:v>
                </c:pt>
                <c:pt idx="13">
                  <c:v>122.90941394535372</c:v>
                </c:pt>
                <c:pt idx="14">
                  <c:v>123.40105160113514</c:v>
                </c:pt>
                <c:pt idx="15">
                  <c:v>123.89465580753968</c:v>
                </c:pt>
                <c:pt idx="16">
                  <c:v>124.39023443076984</c:v>
                </c:pt>
                <c:pt idx="17">
                  <c:v>124.88779536849292</c:v>
                </c:pt>
                <c:pt idx="18">
                  <c:v>125.38734654996689</c:v>
                </c:pt>
                <c:pt idx="19">
                  <c:v>125.88889593616676</c:v>
                </c:pt>
                <c:pt idx="20">
                  <c:v>126.39245151991143</c:v>
                </c:pt>
                <c:pt idx="21">
                  <c:v>126.89802132599108</c:v>
                </c:pt>
                <c:pt idx="22">
                  <c:v>127.40561341129505</c:v>
                </c:pt>
                <c:pt idx="23">
                  <c:v>127.91523586494023</c:v>
                </c:pt>
                <c:pt idx="24">
                  <c:v>128.42689680839999</c:v>
                </c:pt>
                <c:pt idx="25">
                  <c:v>128.94060439563358</c:v>
                </c:pt>
                <c:pt idx="26">
                  <c:v>129.45636681321611</c:v>
                </c:pt>
                <c:pt idx="27">
                  <c:v>129.97419228046897</c:v>
                </c:pt>
                <c:pt idx="28">
                  <c:v>130.49408904959085</c:v>
                </c:pt>
                <c:pt idx="29">
                  <c:v>131.01606540578922</c:v>
                </c:pt>
                <c:pt idx="30">
                  <c:v>131.54012966741237</c:v>
                </c:pt>
                <c:pt idx="31">
                  <c:v>132.06629018608203</c:v>
                </c:pt>
                <c:pt idx="32">
                  <c:v>132.59455534682635</c:v>
                </c:pt>
              </c:numCache>
            </c:numRef>
          </c:yVal>
          <c:smooth val="1"/>
          <c:extLst>
            <c:ext xmlns:c16="http://schemas.microsoft.com/office/drawing/2014/chart" uri="{C3380CC4-5D6E-409C-BE32-E72D297353CC}">
              <c16:uniqueId val="{00000002-F5FE-40EF-9C62-6A807BB0C7E9}"/>
            </c:ext>
          </c:extLst>
        </c:ser>
        <c:ser>
          <c:idx val="3"/>
          <c:order val="3"/>
          <c:tx>
            <c:strRef>
              <c:f>'VA industrielle'!$B$23</c:f>
              <c:strCache>
                <c:ptCount val="1"/>
                <c:pt idx="0">
                  <c:v>Ecref</c:v>
                </c:pt>
              </c:strCache>
            </c:strRef>
          </c:tx>
          <c:spPr>
            <a:ln w="19050" cap="rnd">
              <a:solidFill>
                <a:schemeClr val="accent4"/>
              </a:solidFill>
              <a:round/>
            </a:ln>
            <a:effectLst/>
          </c:spPr>
          <c:marker>
            <c:symbol val="none"/>
          </c:marker>
          <c:xVal>
            <c:numRef>
              <c:f>'VA industrielle'!$C$19:$AI$19</c:f>
              <c:numCache>
                <c:formatCode>General</c:formatCode>
                <c:ptCount val="3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pt idx="23">
                  <c:v>2041</c:v>
                </c:pt>
                <c:pt idx="24">
                  <c:v>2042</c:v>
                </c:pt>
                <c:pt idx="25">
                  <c:v>2043</c:v>
                </c:pt>
                <c:pt idx="26">
                  <c:v>2044</c:v>
                </c:pt>
                <c:pt idx="27">
                  <c:v>2045</c:v>
                </c:pt>
                <c:pt idx="28">
                  <c:v>2046</c:v>
                </c:pt>
                <c:pt idx="29">
                  <c:v>2047</c:v>
                </c:pt>
                <c:pt idx="30">
                  <c:v>2048</c:v>
                </c:pt>
                <c:pt idx="31">
                  <c:v>2049</c:v>
                </c:pt>
                <c:pt idx="32">
                  <c:v>2050</c:v>
                </c:pt>
              </c:numCache>
            </c:numRef>
          </c:xVal>
          <c:yVal>
            <c:numRef>
              <c:f>'VA industrielle'!$C$23:$AI$23</c:f>
              <c:numCache>
                <c:formatCode>General</c:formatCode>
                <c:ptCount val="33"/>
                <c:pt idx="0">
                  <c:v>100</c:v>
                </c:pt>
                <c:pt idx="1">
                  <c:v>100.63783042559504</c:v>
                </c:pt>
                <c:pt idx="2">
                  <c:v>92.625754616218259</c:v>
                </c:pt>
                <c:pt idx="3">
                  <c:v>99.481085992367824</c:v>
                </c:pt>
                <c:pt idx="4">
                  <c:v>101.24320728520073</c:v>
                </c:pt>
                <c:pt idx="5">
                  <c:v>102.90468105700484</c:v>
                </c:pt>
                <c:pt idx="6">
                  <c:v>104.54061302326656</c:v>
                </c:pt>
                <c:pt idx="7">
                  <c:v>105.08110065776448</c:v>
                </c:pt>
                <c:pt idx="8">
                  <c:v>105.62438267881321</c:v>
                </c:pt>
                <c:pt idx="9">
                  <c:v>106.17047353372975</c:v>
                </c:pt>
                <c:pt idx="10">
                  <c:v>106.71938774452549</c:v>
                </c:pt>
                <c:pt idx="11">
                  <c:v>107.2711399082924</c:v>
                </c:pt>
                <c:pt idx="12">
                  <c:v>108.05230346096782</c:v>
                </c:pt>
                <c:pt idx="13">
                  <c:v>108.83915555668055</c:v>
                </c:pt>
                <c:pt idx="14">
                  <c:v>109.63173762020236</c:v>
                </c:pt>
                <c:pt idx="15">
                  <c:v>110.43009137796604</c:v>
                </c:pt>
                <c:pt idx="16">
                  <c:v>111.23425886026213</c:v>
                </c:pt>
                <c:pt idx="17">
                  <c:v>112.37338782445211</c:v>
                </c:pt>
                <c:pt idx="18">
                  <c:v>113.5241823924799</c:v>
                </c:pt>
                <c:pt idx="19">
                  <c:v>114.68676202958358</c:v>
                </c:pt>
                <c:pt idx="20">
                  <c:v>115.86124742442206</c:v>
                </c:pt>
                <c:pt idx="21">
                  <c:v>117.04776050160399</c:v>
                </c:pt>
                <c:pt idx="22">
                  <c:v>118.55991178126332</c:v>
                </c:pt>
                <c:pt idx="23">
                  <c:v>120.09159868879607</c:v>
                </c:pt>
                <c:pt idx="24">
                  <c:v>121.64307360685834</c:v>
                </c:pt>
                <c:pt idx="25">
                  <c:v>123.21459217866206</c:v>
                </c:pt>
                <c:pt idx="26">
                  <c:v>124.80641335009842</c:v>
                </c:pt>
                <c:pt idx="27">
                  <c:v>126.62502696554596</c:v>
                </c:pt>
                <c:pt idx="28">
                  <c:v>128.47014046504202</c:v>
                </c:pt>
                <c:pt idx="29">
                  <c:v>130.34213999100226</c:v>
                </c:pt>
                <c:pt idx="30">
                  <c:v>132.24141731250714</c:v>
                </c:pt>
                <c:pt idx="31">
                  <c:v>134.16836990729072</c:v>
                </c:pt>
                <c:pt idx="32">
                  <c:v>136.11526444239439</c:v>
                </c:pt>
              </c:numCache>
            </c:numRef>
          </c:yVal>
          <c:smooth val="1"/>
          <c:extLst>
            <c:ext xmlns:c16="http://schemas.microsoft.com/office/drawing/2014/chart" uri="{C3380CC4-5D6E-409C-BE32-E72D297353CC}">
              <c16:uniqueId val="{00000003-F5FE-40EF-9C62-6A807BB0C7E9}"/>
            </c:ext>
          </c:extLst>
        </c:ser>
        <c:dLbls>
          <c:showLegendKey val="0"/>
          <c:showVal val="0"/>
          <c:showCatName val="0"/>
          <c:showSerName val="0"/>
          <c:showPercent val="0"/>
          <c:showBubbleSize val="0"/>
        </c:dLbls>
        <c:axId val="348033520"/>
        <c:axId val="348033936"/>
      </c:scatterChart>
      <c:valAx>
        <c:axId val="348033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033936"/>
        <c:crosses val="autoZero"/>
        <c:crossBetween val="midCat"/>
      </c:valAx>
      <c:valAx>
        <c:axId val="348033936"/>
        <c:scaling>
          <c:orientation val="minMax"/>
          <c:min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0335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Feuil1!$A$2</c:f>
              <c:strCache>
                <c:ptCount val="1"/>
                <c:pt idx="0">
                  <c:v>Total CO2 without LULUCF (ktCO2e)</c:v>
                </c:pt>
              </c:strCache>
            </c:strRef>
          </c:tx>
          <c:spPr>
            <a:solidFill>
              <a:schemeClr val="accent1"/>
            </a:solidFill>
            <a:ln>
              <a:solidFill>
                <a:srgbClr val="0070C0"/>
              </a:solidFill>
            </a:ln>
            <a:effectLst/>
          </c:spPr>
          <c:cat>
            <c:strRef>
              <c:f>Feuil1!$B$1:$AF$1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Feuil1!$B$2:$AF$2</c:f>
              <c:numCache>
                <c:formatCode>#,##0.00</c:formatCode>
                <c:ptCount val="31"/>
                <c:pt idx="0">
                  <c:v>398424.78532408905</c:v>
                </c:pt>
                <c:pt idx="1">
                  <c:v>423829.90153383813</c:v>
                </c:pt>
                <c:pt idx="2">
                  <c:v>412416.79477735213</c:v>
                </c:pt>
                <c:pt idx="3">
                  <c:v>394185.24174654949</c:v>
                </c:pt>
                <c:pt idx="4">
                  <c:v>388285.63889003603</c:v>
                </c:pt>
                <c:pt idx="5">
                  <c:v>392915.76549670496</c:v>
                </c:pt>
                <c:pt idx="6">
                  <c:v>408192.69049333554</c:v>
                </c:pt>
                <c:pt idx="7">
                  <c:v>400997.00414214388</c:v>
                </c:pt>
                <c:pt idx="8">
                  <c:v>421028.68041011202</c:v>
                </c:pt>
                <c:pt idx="9">
                  <c:v>419846.19485597673</c:v>
                </c:pt>
                <c:pt idx="10">
                  <c:v>414788.46582102479</c:v>
                </c:pt>
                <c:pt idx="11">
                  <c:v>419885.47362370859</c:v>
                </c:pt>
                <c:pt idx="12">
                  <c:v>416153.26320098824</c:v>
                </c:pt>
                <c:pt idx="13">
                  <c:v>421022.74666209542</c:v>
                </c:pt>
                <c:pt idx="14">
                  <c:v>422718.52018262749</c:v>
                </c:pt>
                <c:pt idx="15">
                  <c:v>425443.52929001697</c:v>
                </c:pt>
                <c:pt idx="16">
                  <c:v>415775.69997673534</c:v>
                </c:pt>
                <c:pt idx="17">
                  <c:v>406199.8367996763</c:v>
                </c:pt>
                <c:pt idx="18">
                  <c:v>400458.75953964918</c:v>
                </c:pt>
                <c:pt idx="19">
                  <c:v>381064.54724852322</c:v>
                </c:pt>
                <c:pt idx="20">
                  <c:v>386872.04363761254</c:v>
                </c:pt>
                <c:pt idx="21">
                  <c:v>364820.42197580863</c:v>
                </c:pt>
                <c:pt idx="22">
                  <c:v>367030.67419662949</c:v>
                </c:pt>
                <c:pt idx="23">
                  <c:v>368559.42753313773</c:v>
                </c:pt>
                <c:pt idx="24">
                  <c:v>337005.913838982</c:v>
                </c:pt>
                <c:pt idx="25">
                  <c:v>341630.94012947823</c:v>
                </c:pt>
                <c:pt idx="26">
                  <c:v>344723.13088031148</c:v>
                </c:pt>
                <c:pt idx="27">
                  <c:v>347604.96204895398</c:v>
                </c:pt>
                <c:pt idx="28">
                  <c:v>332613.39061371255</c:v>
                </c:pt>
                <c:pt idx="29">
                  <c:v>326725.12715566665</c:v>
                </c:pt>
                <c:pt idx="30">
                  <c:v>289389.56840048026</c:v>
                </c:pt>
              </c:numCache>
            </c:numRef>
          </c:val>
          <c:extLst>
            <c:ext xmlns:c16="http://schemas.microsoft.com/office/drawing/2014/chart" uri="{C3380CC4-5D6E-409C-BE32-E72D297353CC}">
              <c16:uniqueId val="{00000000-0008-4208-B0C9-467781BFFF97}"/>
            </c:ext>
          </c:extLst>
        </c:ser>
        <c:ser>
          <c:idx val="1"/>
          <c:order val="1"/>
          <c:tx>
            <c:strRef>
              <c:f>Feuil1!$A$4</c:f>
              <c:strCache>
                <c:ptCount val="1"/>
                <c:pt idx="0">
                  <c:v>Total CH4 without LULUCF (ktCO2e)</c:v>
                </c:pt>
              </c:strCache>
            </c:strRef>
          </c:tx>
          <c:spPr>
            <a:solidFill>
              <a:schemeClr val="accent2"/>
            </a:solidFill>
            <a:ln>
              <a:solidFill>
                <a:srgbClr val="FF0000"/>
              </a:solidFill>
            </a:ln>
            <a:effectLst/>
          </c:spPr>
          <c:cat>
            <c:strRef>
              <c:f>Feuil1!$B$1:$AF$1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Feuil1!$B$4:$AF$4</c:f>
              <c:numCache>
                <c:formatCode>#,##0.00</c:formatCode>
                <c:ptCount val="31"/>
                <c:pt idx="0">
                  <c:v>69160.887685564332</c:v>
                </c:pt>
                <c:pt idx="1">
                  <c:v>69635.134280578728</c:v>
                </c:pt>
                <c:pt idx="2">
                  <c:v>69725.10207072433</c:v>
                </c:pt>
                <c:pt idx="3">
                  <c:v>70132.02589236958</c:v>
                </c:pt>
                <c:pt idx="4">
                  <c:v>70008.341088475412</c:v>
                </c:pt>
                <c:pt idx="5">
                  <c:v>70382.891401414279</c:v>
                </c:pt>
                <c:pt idx="6">
                  <c:v>69469.141672755854</c:v>
                </c:pt>
                <c:pt idx="7">
                  <c:v>68227.259262175008</c:v>
                </c:pt>
                <c:pt idx="8">
                  <c:v>68272.562368023864</c:v>
                </c:pt>
                <c:pt idx="9">
                  <c:v>68230.621431522028</c:v>
                </c:pt>
                <c:pt idx="10">
                  <c:v>68602.737988942536</c:v>
                </c:pt>
                <c:pt idx="11">
                  <c:v>68469.112684498978</c:v>
                </c:pt>
                <c:pt idx="12">
                  <c:v>66886.643263460166</c:v>
                </c:pt>
                <c:pt idx="13">
                  <c:v>65915.608050286552</c:v>
                </c:pt>
                <c:pt idx="14">
                  <c:v>64547.963432315235</c:v>
                </c:pt>
                <c:pt idx="15">
                  <c:v>63631.542532106003</c:v>
                </c:pt>
                <c:pt idx="16">
                  <c:v>63117.289311490909</c:v>
                </c:pt>
                <c:pt idx="17">
                  <c:v>62829.659260703673</c:v>
                </c:pt>
                <c:pt idx="18">
                  <c:v>63099.52500627609</c:v>
                </c:pt>
                <c:pt idx="19">
                  <c:v>61973.752261157322</c:v>
                </c:pt>
                <c:pt idx="20">
                  <c:v>61663.316953056674</c:v>
                </c:pt>
                <c:pt idx="21">
                  <c:v>60479.262967944545</c:v>
                </c:pt>
                <c:pt idx="22">
                  <c:v>59243.344755409613</c:v>
                </c:pt>
                <c:pt idx="23">
                  <c:v>59079.337590736068</c:v>
                </c:pt>
                <c:pt idx="24">
                  <c:v>58786.533343461328</c:v>
                </c:pt>
                <c:pt idx="25">
                  <c:v>57862.105200362465</c:v>
                </c:pt>
                <c:pt idx="26">
                  <c:v>57432.208740445109</c:v>
                </c:pt>
                <c:pt idx="27">
                  <c:v>57010.639486160166</c:v>
                </c:pt>
                <c:pt idx="28">
                  <c:v>56238.674336289274</c:v>
                </c:pt>
                <c:pt idx="29">
                  <c:v>55739.695805502131</c:v>
                </c:pt>
                <c:pt idx="30">
                  <c:v>54641.714722103658</c:v>
                </c:pt>
              </c:numCache>
            </c:numRef>
          </c:val>
          <c:extLst>
            <c:ext xmlns:c16="http://schemas.microsoft.com/office/drawing/2014/chart" uri="{C3380CC4-5D6E-409C-BE32-E72D297353CC}">
              <c16:uniqueId val="{00000001-0008-4208-B0C9-467781BFFF97}"/>
            </c:ext>
          </c:extLst>
        </c:ser>
        <c:ser>
          <c:idx val="2"/>
          <c:order val="2"/>
          <c:tx>
            <c:strRef>
              <c:f>Feuil1!$A$8</c:f>
              <c:strCache>
                <c:ptCount val="1"/>
                <c:pt idx="0">
                  <c:v>Total N2O without LULUCF (ktCO2e)</c:v>
                </c:pt>
              </c:strCache>
            </c:strRef>
          </c:tx>
          <c:spPr>
            <a:solidFill>
              <a:schemeClr val="accent3"/>
            </a:solidFill>
            <a:ln>
              <a:solidFill>
                <a:srgbClr val="00B050"/>
              </a:solidFill>
            </a:ln>
            <a:effectLst/>
          </c:spPr>
          <c:cat>
            <c:strRef>
              <c:f>Feuil1!$B$1:$AF$1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Feuil1!$B$8:$AF$8</c:f>
              <c:numCache>
                <c:formatCode>#,##0.00</c:formatCode>
                <c:ptCount val="31"/>
                <c:pt idx="0">
                  <c:v>64724.840442819645</c:v>
                </c:pt>
                <c:pt idx="1">
                  <c:v>65314.485263662515</c:v>
                </c:pt>
                <c:pt idx="2">
                  <c:v>65007.104923401785</c:v>
                </c:pt>
                <c:pt idx="3">
                  <c:v>64262.373406009545</c:v>
                </c:pt>
                <c:pt idx="4">
                  <c:v>64384.747054651656</c:v>
                </c:pt>
                <c:pt idx="5">
                  <c:v>65937.12161988669</c:v>
                </c:pt>
                <c:pt idx="6">
                  <c:v>67460.964529685094</c:v>
                </c:pt>
                <c:pt idx="7">
                  <c:v>67391.895294987655</c:v>
                </c:pt>
                <c:pt idx="8">
                  <c:v>60774.014759813115</c:v>
                </c:pt>
                <c:pt idx="9">
                  <c:v>54716.471502665212</c:v>
                </c:pt>
                <c:pt idx="10">
                  <c:v>53680.537749272575</c:v>
                </c:pt>
                <c:pt idx="11">
                  <c:v>53370.787446489339</c:v>
                </c:pt>
                <c:pt idx="12">
                  <c:v>50639.520284229511</c:v>
                </c:pt>
                <c:pt idx="13">
                  <c:v>48860.839147158491</c:v>
                </c:pt>
                <c:pt idx="14">
                  <c:v>47200.387059196823</c:v>
                </c:pt>
                <c:pt idx="15">
                  <c:v>46307.447276390252</c:v>
                </c:pt>
                <c:pt idx="16">
                  <c:v>44917.834162870146</c:v>
                </c:pt>
                <c:pt idx="17">
                  <c:v>44974.630822830957</c:v>
                </c:pt>
                <c:pt idx="18">
                  <c:v>44234.596303633472</c:v>
                </c:pt>
                <c:pt idx="19">
                  <c:v>42654.636900892205</c:v>
                </c:pt>
                <c:pt idx="20">
                  <c:v>40477.950558242614</c:v>
                </c:pt>
                <c:pt idx="21">
                  <c:v>38878.980199922364</c:v>
                </c:pt>
                <c:pt idx="22">
                  <c:v>39163.801332396717</c:v>
                </c:pt>
                <c:pt idx="23">
                  <c:v>38930.283475850403</c:v>
                </c:pt>
                <c:pt idx="24">
                  <c:v>40062.956068585561</c:v>
                </c:pt>
                <c:pt idx="25">
                  <c:v>39895.490687987513</c:v>
                </c:pt>
                <c:pt idx="26">
                  <c:v>38789.926547989024</c:v>
                </c:pt>
                <c:pt idx="27">
                  <c:v>40162.029094124264</c:v>
                </c:pt>
                <c:pt idx="28">
                  <c:v>38500.054921787887</c:v>
                </c:pt>
                <c:pt idx="29">
                  <c:v>38071.442997228092</c:v>
                </c:pt>
                <c:pt idx="30">
                  <c:v>36297.324169319545</c:v>
                </c:pt>
              </c:numCache>
            </c:numRef>
          </c:val>
          <c:extLst>
            <c:ext xmlns:c16="http://schemas.microsoft.com/office/drawing/2014/chart" uri="{C3380CC4-5D6E-409C-BE32-E72D297353CC}">
              <c16:uniqueId val="{00000002-0008-4208-B0C9-467781BFFF97}"/>
            </c:ext>
          </c:extLst>
        </c:ser>
        <c:ser>
          <c:idx val="3"/>
          <c:order val="3"/>
          <c:tx>
            <c:strRef>
              <c:f>Feuil1!$A$12</c:f>
              <c:strCache>
                <c:ptCount val="1"/>
                <c:pt idx="0">
                  <c:v>Total gaz fluorés (ktCO2e)</c:v>
                </c:pt>
              </c:strCache>
            </c:strRef>
          </c:tx>
          <c:spPr>
            <a:solidFill>
              <a:schemeClr val="accent4"/>
            </a:solidFill>
            <a:ln>
              <a:solidFill>
                <a:schemeClr val="accent3"/>
              </a:solidFill>
            </a:ln>
            <a:effectLst/>
          </c:spPr>
          <c:cat>
            <c:strRef>
              <c:f>Feuil1!$B$1:$AF$1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Feuil1!$B$12:$AF$12</c:f>
              <c:numCache>
                <c:formatCode>#,##0.00</c:formatCode>
                <c:ptCount val="31"/>
                <c:pt idx="0">
                  <c:v>11775.891596638055</c:v>
                </c:pt>
                <c:pt idx="1">
                  <c:v>12180.858855584369</c:v>
                </c:pt>
                <c:pt idx="2">
                  <c:v>11610.666721392568</c:v>
                </c:pt>
                <c:pt idx="3">
                  <c:v>10025.371360579766</c:v>
                </c:pt>
                <c:pt idx="4">
                  <c:v>8544.9896059714047</c:v>
                </c:pt>
                <c:pt idx="5">
                  <c:v>7257.6249228524539</c:v>
                </c:pt>
                <c:pt idx="6">
                  <c:v>8357.946017167058</c:v>
                </c:pt>
                <c:pt idx="7">
                  <c:v>9300.7957147597372</c:v>
                </c:pt>
                <c:pt idx="8">
                  <c:v>10306.914622306958</c:v>
                </c:pt>
                <c:pt idx="9">
                  <c:v>12066.577731172534</c:v>
                </c:pt>
                <c:pt idx="10">
                  <c:v>11941.942313900689</c:v>
                </c:pt>
                <c:pt idx="11">
                  <c:v>12459.204022177471</c:v>
                </c:pt>
                <c:pt idx="12">
                  <c:v>14923.216108873314</c:v>
                </c:pt>
                <c:pt idx="13">
                  <c:v>15852.047134074186</c:v>
                </c:pt>
                <c:pt idx="14">
                  <c:v>16148.725771944184</c:v>
                </c:pt>
                <c:pt idx="15">
                  <c:v>16012.881353173305</c:v>
                </c:pt>
                <c:pt idx="16">
                  <c:v>17098.501637388665</c:v>
                </c:pt>
                <c:pt idx="17">
                  <c:v>17557.498480207938</c:v>
                </c:pt>
                <c:pt idx="18">
                  <c:v>18263.522417700187</c:v>
                </c:pt>
                <c:pt idx="19">
                  <c:v>17763.485235419597</c:v>
                </c:pt>
                <c:pt idx="20">
                  <c:v>18447.527104163426</c:v>
                </c:pt>
                <c:pt idx="21">
                  <c:v>19085.929970560956</c:v>
                </c:pt>
                <c:pt idx="22">
                  <c:v>19339.032385042174</c:v>
                </c:pt>
                <c:pt idx="23">
                  <c:v>19046.051331139508</c:v>
                </c:pt>
                <c:pt idx="24">
                  <c:v>18762.534289166782</c:v>
                </c:pt>
                <c:pt idx="25">
                  <c:v>18535.34738843812</c:v>
                </c:pt>
                <c:pt idx="26">
                  <c:v>18383.987847378088</c:v>
                </c:pt>
                <c:pt idx="27">
                  <c:v>17811.787057873556</c:v>
                </c:pt>
                <c:pt idx="28">
                  <c:v>15964.626710949149</c:v>
                </c:pt>
                <c:pt idx="29">
                  <c:v>14005.467606631551</c:v>
                </c:pt>
                <c:pt idx="30">
                  <c:v>12635.711029729535</c:v>
                </c:pt>
              </c:numCache>
            </c:numRef>
          </c:val>
          <c:extLst>
            <c:ext xmlns:c16="http://schemas.microsoft.com/office/drawing/2014/chart" uri="{C3380CC4-5D6E-409C-BE32-E72D297353CC}">
              <c16:uniqueId val="{00000003-0008-4208-B0C9-467781BFFF97}"/>
            </c:ext>
          </c:extLst>
        </c:ser>
        <c:dLbls>
          <c:showLegendKey val="0"/>
          <c:showVal val="0"/>
          <c:showCatName val="0"/>
          <c:showSerName val="0"/>
          <c:showPercent val="0"/>
          <c:showBubbleSize val="0"/>
        </c:dLbls>
        <c:axId val="1965540799"/>
        <c:axId val="1965545375"/>
      </c:areaChart>
      <c:catAx>
        <c:axId val="1965540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5545375"/>
        <c:crosses val="autoZero"/>
        <c:auto val="1"/>
        <c:lblAlgn val="ctr"/>
        <c:lblOffset val="100"/>
        <c:noMultiLvlLbl val="0"/>
      </c:catAx>
      <c:valAx>
        <c:axId val="196554537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554079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Feuil1!$A$9</c:f>
              <c:strCache>
                <c:ptCount val="1"/>
                <c:pt idx="0">
                  <c:v>Total HFCs+PFCs (ktCO2e)</c:v>
                </c:pt>
              </c:strCache>
            </c:strRef>
          </c:tx>
          <c:spPr>
            <a:solidFill>
              <a:srgbClr val="0070C0"/>
            </a:solidFill>
            <a:ln>
              <a:noFill/>
            </a:ln>
            <a:effectLst/>
          </c:spPr>
          <c:invertIfNegative val="0"/>
          <c:cat>
            <c:strRef>
              <c:f>Feuil1!$B$1:$AF$1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Feuil1!$B$9:$AF$9</c:f>
              <c:numCache>
                <c:formatCode>#,##0.00</c:formatCode>
                <c:ptCount val="31"/>
                <c:pt idx="0">
                  <c:v>9604.6665271304155</c:v>
                </c:pt>
                <c:pt idx="1">
                  <c:v>9946.9202890802462</c:v>
                </c:pt>
                <c:pt idx="2">
                  <c:v>9336.3273333666966</c:v>
                </c:pt>
                <c:pt idx="3">
                  <c:v>7709.8516211587375</c:v>
                </c:pt>
                <c:pt idx="4">
                  <c:v>6079.1710397782963</c:v>
                </c:pt>
                <c:pt idx="5">
                  <c:v>4766.8984222921581</c:v>
                </c:pt>
                <c:pt idx="6">
                  <c:v>5857.0490300168221</c:v>
                </c:pt>
                <c:pt idx="7">
                  <c:v>6813.4163742111723</c:v>
                </c:pt>
                <c:pt idx="8">
                  <c:v>7696.033803647425</c:v>
                </c:pt>
                <c:pt idx="9">
                  <c:v>9752.687497271043</c:v>
                </c:pt>
                <c:pt idx="10">
                  <c:v>9733.2025430754693</c:v>
                </c:pt>
                <c:pt idx="11">
                  <c:v>10613.908809811499</c:v>
                </c:pt>
                <c:pt idx="12">
                  <c:v>13297.232782184301</c:v>
                </c:pt>
                <c:pt idx="13">
                  <c:v>14236.707697821159</c:v>
                </c:pt>
                <c:pt idx="14">
                  <c:v>14507.182404778776</c:v>
                </c:pt>
                <c:pt idx="15">
                  <c:v>14622.489578696477</c:v>
                </c:pt>
                <c:pt idx="16">
                  <c:v>15815.019850953942</c:v>
                </c:pt>
                <c:pt idx="17">
                  <c:v>16378.691455684726</c:v>
                </c:pt>
                <c:pt idx="18">
                  <c:v>17085.275974385324</c:v>
                </c:pt>
                <c:pt idx="19">
                  <c:v>16765.682383712065</c:v>
                </c:pt>
                <c:pt idx="20">
                  <c:v>17547.474472928167</c:v>
                </c:pt>
                <c:pt idx="21">
                  <c:v>18402.836974075562</c:v>
                </c:pt>
                <c:pt idx="22">
                  <c:v>18652.415852675858</c:v>
                </c:pt>
                <c:pt idx="23">
                  <c:v>18442.079453670674</c:v>
                </c:pt>
                <c:pt idx="24">
                  <c:v>18277.640057978169</c:v>
                </c:pt>
                <c:pt idx="25">
                  <c:v>18030.866529797542</c:v>
                </c:pt>
                <c:pt idx="26">
                  <c:v>17871.175175864337</c:v>
                </c:pt>
                <c:pt idx="27">
                  <c:v>17344.896636135745</c:v>
                </c:pt>
                <c:pt idx="28">
                  <c:v>15524.172828919465</c:v>
                </c:pt>
                <c:pt idx="29">
                  <c:v>13607.820512736003</c:v>
                </c:pt>
                <c:pt idx="30">
                  <c:v>12278.816496961015</c:v>
                </c:pt>
              </c:numCache>
            </c:numRef>
          </c:val>
          <c:extLst>
            <c:ext xmlns:c16="http://schemas.microsoft.com/office/drawing/2014/chart" uri="{C3380CC4-5D6E-409C-BE32-E72D297353CC}">
              <c16:uniqueId val="{00000000-3BF2-458E-B03D-72482351341F}"/>
            </c:ext>
          </c:extLst>
        </c:ser>
        <c:ser>
          <c:idx val="1"/>
          <c:order val="1"/>
          <c:tx>
            <c:strRef>
              <c:f>Feuil1!$A$10</c:f>
              <c:strCache>
                <c:ptCount val="1"/>
                <c:pt idx="0">
                  <c:v>Total SF6 (ktCO2e)</c:v>
                </c:pt>
              </c:strCache>
            </c:strRef>
          </c:tx>
          <c:spPr>
            <a:solidFill>
              <a:srgbClr val="00B050"/>
            </a:solidFill>
            <a:ln>
              <a:noFill/>
            </a:ln>
            <a:effectLst/>
          </c:spPr>
          <c:invertIfNegative val="0"/>
          <c:cat>
            <c:strRef>
              <c:f>Feuil1!$B$1:$AF$1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Feuil1!$B$10:$AF$10</c:f>
              <c:numCache>
                <c:formatCode>#,##0.00</c:formatCode>
                <c:ptCount val="31"/>
                <c:pt idx="0">
                  <c:v>2154.744186309204</c:v>
                </c:pt>
                <c:pt idx="1">
                  <c:v>2217.4576833056881</c:v>
                </c:pt>
                <c:pt idx="2">
                  <c:v>2256.210416507472</c:v>
                </c:pt>
                <c:pt idx="3">
                  <c:v>2295.577870750788</c:v>
                </c:pt>
                <c:pt idx="4">
                  <c:v>2443.8825106558438</c:v>
                </c:pt>
                <c:pt idx="5">
                  <c:v>2466.59683946934</c:v>
                </c:pt>
                <c:pt idx="6">
                  <c:v>2494.6370632690441</c:v>
                </c:pt>
                <c:pt idx="7">
                  <c:v>2475.9185365035601</c:v>
                </c:pt>
                <c:pt idx="8">
                  <c:v>2593.703923993668</c:v>
                </c:pt>
                <c:pt idx="9">
                  <c:v>2292.7350616642202</c:v>
                </c:pt>
                <c:pt idx="10">
                  <c:v>2180.3301783313441</c:v>
                </c:pt>
                <c:pt idx="11">
                  <c:v>1825.40351853882</c:v>
                </c:pt>
                <c:pt idx="12">
                  <c:v>1597.5376322446441</c:v>
                </c:pt>
                <c:pt idx="13">
                  <c:v>1579.7946160704601</c:v>
                </c:pt>
                <c:pt idx="14">
                  <c:v>1611.0763784374681</c:v>
                </c:pt>
                <c:pt idx="15">
                  <c:v>1354.8469542942601</c:v>
                </c:pt>
                <c:pt idx="16">
                  <c:v>1252.2121864347239</c:v>
                </c:pt>
                <c:pt idx="17">
                  <c:v>1149.0510245232119</c:v>
                </c:pt>
                <c:pt idx="18">
                  <c:v>1136.140843314864</c:v>
                </c:pt>
                <c:pt idx="19">
                  <c:v>951.44885170753196</c:v>
                </c:pt>
                <c:pt idx="20">
                  <c:v>875.09543123525998</c:v>
                </c:pt>
                <c:pt idx="21">
                  <c:v>650.96339648539197</c:v>
                </c:pt>
                <c:pt idx="22">
                  <c:v>655.26093236631596</c:v>
                </c:pt>
                <c:pt idx="23">
                  <c:v>583.57267746883201</c:v>
                </c:pt>
                <c:pt idx="24">
                  <c:v>474.26463118861199</c:v>
                </c:pt>
                <c:pt idx="25">
                  <c:v>498.10935944058002</c:v>
                </c:pt>
                <c:pt idx="26">
                  <c:v>506.57886484975199</c:v>
                </c:pt>
                <c:pt idx="27">
                  <c:v>461.052063541812</c:v>
                </c:pt>
                <c:pt idx="28">
                  <c:v>432.81643634168398</c:v>
                </c:pt>
                <c:pt idx="29">
                  <c:v>385.396416635496</c:v>
                </c:pt>
                <c:pt idx="30">
                  <c:v>346.603901236524</c:v>
                </c:pt>
              </c:numCache>
            </c:numRef>
          </c:val>
          <c:extLst>
            <c:ext xmlns:c16="http://schemas.microsoft.com/office/drawing/2014/chart" uri="{C3380CC4-5D6E-409C-BE32-E72D297353CC}">
              <c16:uniqueId val="{00000001-3BF2-458E-B03D-72482351341F}"/>
            </c:ext>
          </c:extLst>
        </c:ser>
        <c:ser>
          <c:idx val="2"/>
          <c:order val="2"/>
          <c:tx>
            <c:strRef>
              <c:f>Feuil1!$A$11</c:f>
              <c:strCache>
                <c:ptCount val="1"/>
                <c:pt idx="0">
                  <c:v>Total NF3 (ktCO2e)</c:v>
                </c:pt>
              </c:strCache>
            </c:strRef>
          </c:tx>
          <c:spPr>
            <a:solidFill>
              <a:schemeClr val="accent3"/>
            </a:solidFill>
            <a:ln>
              <a:noFill/>
            </a:ln>
            <a:effectLst/>
          </c:spPr>
          <c:invertIfNegative val="0"/>
          <c:cat>
            <c:strRef>
              <c:f>Feuil1!$B$1:$AF$1</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Feuil1!$B$11:$AF$11</c:f>
              <c:numCache>
                <c:formatCode>#,##0.00</c:formatCode>
                <c:ptCount val="31"/>
                <c:pt idx="0">
                  <c:v>16.480883198436</c:v>
                </c:pt>
                <c:pt idx="1">
                  <c:v>16.480883198436</c:v>
                </c:pt>
                <c:pt idx="2">
                  <c:v>18.1289715184</c:v>
                </c:pt>
                <c:pt idx="3">
                  <c:v>19.941868670240002</c:v>
                </c:pt>
                <c:pt idx="4">
                  <c:v>21.936055537264</c:v>
                </c:pt>
                <c:pt idx="5">
                  <c:v>24.129661090955999</c:v>
                </c:pt>
                <c:pt idx="6">
                  <c:v>6.2599238811919999</c:v>
                </c:pt>
                <c:pt idx="7">
                  <c:v>11.460804045004</c:v>
                </c:pt>
                <c:pt idx="8">
                  <c:v>17.176894665864001</c:v>
                </c:pt>
                <c:pt idx="9">
                  <c:v>21.155172237272001</c:v>
                </c:pt>
                <c:pt idx="10">
                  <c:v>28.409592493876001</c:v>
                </c:pt>
                <c:pt idx="11">
                  <c:v>19.891693827152</c:v>
                </c:pt>
                <c:pt idx="12">
                  <c:v>28.445694444368002</c:v>
                </c:pt>
                <c:pt idx="13">
                  <c:v>35.544820182568003</c:v>
                </c:pt>
                <c:pt idx="14">
                  <c:v>30.466988727939999</c:v>
                </c:pt>
                <c:pt idx="15">
                  <c:v>35.544820182568003</c:v>
                </c:pt>
                <c:pt idx="16">
                  <c:v>31.269600000000001</c:v>
                </c:pt>
                <c:pt idx="17">
                  <c:v>29.756</c:v>
                </c:pt>
                <c:pt idx="18">
                  <c:v>42.105600000000003</c:v>
                </c:pt>
                <c:pt idx="19">
                  <c:v>46.353999999999999</c:v>
                </c:pt>
                <c:pt idx="20">
                  <c:v>24.9572</c:v>
                </c:pt>
                <c:pt idx="21">
                  <c:v>32.129600000000003</c:v>
                </c:pt>
                <c:pt idx="22">
                  <c:v>31.355599999999999</c:v>
                </c:pt>
                <c:pt idx="23">
                  <c:v>20.3992</c:v>
                </c:pt>
                <c:pt idx="24">
                  <c:v>10.6296</c:v>
                </c:pt>
                <c:pt idx="25">
                  <c:v>6.3714991999999997</c:v>
                </c:pt>
                <c:pt idx="26">
                  <c:v>6.2338066640000003</c:v>
                </c:pt>
                <c:pt idx="27">
                  <c:v>5.8383581959999997</c:v>
                </c:pt>
                <c:pt idx="28">
                  <c:v>7.6374456879999997</c:v>
                </c:pt>
                <c:pt idx="29">
                  <c:v>12.250677260052001</c:v>
                </c:pt>
                <c:pt idx="30">
                  <c:v>10.290631531996</c:v>
                </c:pt>
              </c:numCache>
            </c:numRef>
          </c:val>
          <c:extLst>
            <c:ext xmlns:c16="http://schemas.microsoft.com/office/drawing/2014/chart" uri="{C3380CC4-5D6E-409C-BE32-E72D297353CC}">
              <c16:uniqueId val="{00000002-3BF2-458E-B03D-72482351341F}"/>
            </c:ext>
          </c:extLst>
        </c:ser>
        <c:dLbls>
          <c:showLegendKey val="0"/>
          <c:showVal val="0"/>
          <c:showCatName val="0"/>
          <c:showSerName val="0"/>
          <c:showPercent val="0"/>
          <c:showBubbleSize val="0"/>
        </c:dLbls>
        <c:gapWidth val="150"/>
        <c:overlap val="100"/>
        <c:axId val="1943772143"/>
        <c:axId val="1943776303"/>
      </c:barChart>
      <c:catAx>
        <c:axId val="1943772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3776303"/>
        <c:crosses val="autoZero"/>
        <c:auto val="1"/>
        <c:lblAlgn val="ctr"/>
        <c:lblOffset val="100"/>
        <c:noMultiLvlLbl val="0"/>
      </c:catAx>
      <c:valAx>
        <c:axId val="194377630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3772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Trends in CO</a:t>
            </a:r>
            <a:r>
              <a:rPr lang="en-GB" sz="1100" baseline="-25000"/>
              <a:t>2</a:t>
            </a:r>
            <a:r>
              <a:rPr lang="en-GB" sz="1100"/>
              <a:t> emissions from the main sectors (ktCO</a:t>
            </a:r>
            <a:r>
              <a:rPr lang="en-GB" sz="1100" baseline="-25000"/>
              <a:t>2eq</a:t>
            </a:r>
            <a:r>
              <a:rPr lang="en-GB" sz="11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654648432103883"/>
          <c:y val="0.1142607174103237"/>
          <c:w val="0.83933070866141735"/>
          <c:h val="0.54594305633055706"/>
        </c:manualLayout>
      </c:layout>
      <c:areaChart>
        <c:grouping val="stacked"/>
        <c:varyColors val="0"/>
        <c:ser>
          <c:idx val="0"/>
          <c:order val="0"/>
          <c:tx>
            <c:v>1.A.1. Industries de l'énergie</c:v>
          </c:tx>
          <c:spPr>
            <a:solidFill>
              <a:schemeClr val="accent1"/>
            </a:solidFill>
            <a:ln>
              <a:noFill/>
            </a:ln>
            <a:effectLst/>
          </c:spPr>
          <c:cat>
            <c:strRef>
              <c:f>'Table 10s2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10s2 2020 KP'!$B$8:$AF$8</c:f>
              <c:numCache>
                <c:formatCode>0.00</c:formatCode>
                <c:ptCount val="31"/>
                <c:pt idx="0">
                  <c:v>347073.52787134971</c:v>
                </c:pt>
                <c:pt idx="1">
                  <c:v>373550.75071937096</c:v>
                </c:pt>
                <c:pt idx="2">
                  <c:v>364327.22425336682</c:v>
                </c:pt>
                <c:pt idx="3">
                  <c:v>347140.07729086454</c:v>
                </c:pt>
                <c:pt idx="4">
                  <c:v>340225.715556596</c:v>
                </c:pt>
                <c:pt idx="5">
                  <c:v>345693.76664773282</c:v>
                </c:pt>
                <c:pt idx="6">
                  <c:v>361559.69574796333</c:v>
                </c:pt>
                <c:pt idx="7">
                  <c:v>353459.73313898942</c:v>
                </c:pt>
                <c:pt idx="8">
                  <c:v>372912.74536816066</c:v>
                </c:pt>
                <c:pt idx="9">
                  <c:v>372086.71898674057</c:v>
                </c:pt>
                <c:pt idx="10">
                  <c:v>366225.35988739604</c:v>
                </c:pt>
                <c:pt idx="11">
                  <c:v>372892.09320358955</c:v>
                </c:pt>
                <c:pt idx="12">
                  <c:v>368797.69673033111</c:v>
                </c:pt>
                <c:pt idx="13">
                  <c:v>374794.06206250732</c:v>
                </c:pt>
                <c:pt idx="14">
                  <c:v>374641.26864324661</c:v>
                </c:pt>
                <c:pt idx="15">
                  <c:v>377276.3386740773</c:v>
                </c:pt>
                <c:pt idx="16">
                  <c:v>366010.88457365718</c:v>
                </c:pt>
                <c:pt idx="17">
                  <c:v>355614.19899781252</c:v>
                </c:pt>
                <c:pt idx="18">
                  <c:v>353767.24256804748</c:v>
                </c:pt>
                <c:pt idx="19">
                  <c:v>343810.81342573854</c:v>
                </c:pt>
                <c:pt idx="20">
                  <c:v>346147.95767335844</c:v>
                </c:pt>
                <c:pt idx="21">
                  <c:v>324522.19621384272</c:v>
                </c:pt>
                <c:pt idx="22">
                  <c:v>329274.43127475388</c:v>
                </c:pt>
                <c:pt idx="23">
                  <c:v>329287.37078941229</c:v>
                </c:pt>
                <c:pt idx="24">
                  <c:v>297780.46730377828</c:v>
                </c:pt>
                <c:pt idx="25">
                  <c:v>304214.18774502975</c:v>
                </c:pt>
                <c:pt idx="26">
                  <c:v>307112.73448895797</c:v>
                </c:pt>
                <c:pt idx="27">
                  <c:v>308740.94526129973</c:v>
                </c:pt>
                <c:pt idx="28">
                  <c:v>294063.34669160401</c:v>
                </c:pt>
                <c:pt idx="29">
                  <c:v>288790.78733144875</c:v>
                </c:pt>
                <c:pt idx="30">
                  <c:v>256968.82331215014</c:v>
                </c:pt>
              </c:numCache>
            </c:numRef>
          </c:val>
          <c:extLst>
            <c:ext xmlns:c16="http://schemas.microsoft.com/office/drawing/2014/chart" uri="{C3380CC4-5D6E-409C-BE32-E72D297353CC}">
              <c16:uniqueId val="{00000000-DA23-4097-812D-C8DD9E73DE2D}"/>
            </c:ext>
          </c:extLst>
        </c:ser>
        <c:ser>
          <c:idx val="1"/>
          <c:order val="1"/>
          <c:tx>
            <c:v>1.A.2. Industries manufacturière et de la construction</c:v>
          </c:tx>
          <c:spPr>
            <a:solidFill>
              <a:schemeClr val="accent2"/>
            </a:solidFill>
            <a:ln w="25400">
              <a:noFill/>
            </a:ln>
            <a:effectLst/>
          </c:spPr>
          <c:cat>
            <c:strRef>
              <c:f>'Table 10s2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10s2 2020 KP'!$B$10:$AF$10</c:f>
              <c:numCache>
                <c:formatCode>0.00</c:formatCode>
                <c:ptCount val="31"/>
                <c:pt idx="0">
                  <c:v>64590.712961659796</c:v>
                </c:pt>
                <c:pt idx="1">
                  <c:v>77696.009564922861</c:v>
                </c:pt>
                <c:pt idx="2">
                  <c:v>68012.676351908958</c:v>
                </c:pt>
                <c:pt idx="3">
                  <c:v>65543.261806741066</c:v>
                </c:pt>
                <c:pt idx="4">
                  <c:v>66699.351507990927</c:v>
                </c:pt>
                <c:pt idx="5">
                  <c:v>68882.986985946889</c:v>
                </c:pt>
                <c:pt idx="6">
                  <c:v>71016.817517849384</c:v>
                </c:pt>
                <c:pt idx="7">
                  <c:v>69043.199647183254</c:v>
                </c:pt>
                <c:pt idx="8">
                  <c:v>68059.359064685559</c:v>
                </c:pt>
                <c:pt idx="9">
                  <c:v>68646.381933612371</c:v>
                </c:pt>
                <c:pt idx="10">
                  <c:v>67107.913153784306</c:v>
                </c:pt>
                <c:pt idx="11">
                  <c:v>72053.534026867739</c:v>
                </c:pt>
                <c:pt idx="12">
                  <c:v>68001.801944438921</c:v>
                </c:pt>
                <c:pt idx="13">
                  <c:v>68030.914834464013</c:v>
                </c:pt>
                <c:pt idx="14">
                  <c:v>63911.77802184441</c:v>
                </c:pt>
                <c:pt idx="15">
                  <c:v>65392.982252178605</c:v>
                </c:pt>
                <c:pt idx="16">
                  <c:v>63958.805465519981</c:v>
                </c:pt>
                <c:pt idx="17">
                  <c:v>63097.224865014919</c:v>
                </c:pt>
                <c:pt idx="18">
                  <c:v>61289.794841782983</c:v>
                </c:pt>
                <c:pt idx="19">
                  <c:v>52489.603718436971</c:v>
                </c:pt>
                <c:pt idx="20">
                  <c:v>55776.163253961291</c:v>
                </c:pt>
                <c:pt idx="21">
                  <c:v>52467.886807919218</c:v>
                </c:pt>
                <c:pt idx="22">
                  <c:v>51136.223497938015</c:v>
                </c:pt>
                <c:pt idx="23">
                  <c:v>50588.955411737159</c:v>
                </c:pt>
                <c:pt idx="24">
                  <c:v>48036.09397821474</c:v>
                </c:pt>
                <c:pt idx="25">
                  <c:v>47164.39500072776</c:v>
                </c:pt>
                <c:pt idx="26" formatCode="#,##0.00">
                  <c:v>47039.259301359845</c:v>
                </c:pt>
                <c:pt idx="27" formatCode="#,##0.00">
                  <c:v>44796.539305233862</c:v>
                </c:pt>
                <c:pt idx="28" formatCode="#,##0.00">
                  <c:v>45887.512798223237</c:v>
                </c:pt>
                <c:pt idx="29" formatCode="#,##0.00">
                  <c:v>43802.473719040609</c:v>
                </c:pt>
                <c:pt idx="30" formatCode="#,##0.00">
                  <c:v>41588.555488161823</c:v>
                </c:pt>
              </c:numCache>
            </c:numRef>
          </c:val>
          <c:extLst>
            <c:ext xmlns:c16="http://schemas.microsoft.com/office/drawing/2014/chart" uri="{C3380CC4-5D6E-409C-BE32-E72D297353CC}">
              <c16:uniqueId val="{00000001-DA23-4097-812D-C8DD9E73DE2D}"/>
            </c:ext>
          </c:extLst>
        </c:ser>
        <c:ser>
          <c:idx val="2"/>
          <c:order val="2"/>
          <c:tx>
            <c:v>1.A.3. Transport</c:v>
          </c:tx>
          <c:spPr>
            <a:solidFill>
              <a:schemeClr val="accent3"/>
            </a:solidFill>
            <a:ln w="25400">
              <a:noFill/>
            </a:ln>
            <a:effectLst/>
          </c:spPr>
          <c:cat>
            <c:strRef>
              <c:f>'Table 10s2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10s2 2020 KP'!$B$11:$AF$11</c:f>
              <c:numCache>
                <c:formatCode>0.00</c:formatCode>
                <c:ptCount val="31"/>
                <c:pt idx="0">
                  <c:v>120340.58094556551</c:v>
                </c:pt>
                <c:pt idx="1">
                  <c:v>123519.01142723131</c:v>
                </c:pt>
                <c:pt idx="2">
                  <c:v>126346.18214810439</c:v>
                </c:pt>
                <c:pt idx="3">
                  <c:v>127007.24050598749</c:v>
                </c:pt>
                <c:pt idx="4">
                  <c:v>128627.69189197948</c:v>
                </c:pt>
                <c:pt idx="5">
                  <c:v>129860.9542378819</c:v>
                </c:pt>
                <c:pt idx="6">
                  <c:v>130011.11989450616</c:v>
                </c:pt>
                <c:pt idx="7">
                  <c:v>132254.65559027522</c:v>
                </c:pt>
                <c:pt idx="8">
                  <c:v>135636.18164482457</c:v>
                </c:pt>
                <c:pt idx="9">
                  <c:v>138973.96988916025</c:v>
                </c:pt>
                <c:pt idx="10">
                  <c:v>139062.05335389118</c:v>
                </c:pt>
                <c:pt idx="11">
                  <c:v>142116.92016854821</c:v>
                </c:pt>
                <c:pt idx="12">
                  <c:v>143759.42103722025</c:v>
                </c:pt>
                <c:pt idx="13">
                  <c:v>141965.79690448908</c:v>
                </c:pt>
                <c:pt idx="14">
                  <c:v>142534.9078064349</c:v>
                </c:pt>
                <c:pt idx="15">
                  <c:v>140204.34856793267</c:v>
                </c:pt>
                <c:pt idx="16">
                  <c:v>139754.47578245233</c:v>
                </c:pt>
                <c:pt idx="17">
                  <c:v>138589.80419287246</c:v>
                </c:pt>
                <c:pt idx="18">
                  <c:v>132915.1380154248</c:v>
                </c:pt>
                <c:pt idx="19">
                  <c:v>131408.95877935112</c:v>
                </c:pt>
                <c:pt idx="20">
                  <c:v>132265.79364781964</c:v>
                </c:pt>
                <c:pt idx="21">
                  <c:v>133191.86317069214</c:v>
                </c:pt>
                <c:pt idx="22">
                  <c:v>131486.26668680611</c:v>
                </c:pt>
                <c:pt idx="23">
                  <c:v>130759.23238159125</c:v>
                </c:pt>
                <c:pt idx="24">
                  <c:v>130692.88574372198</c:v>
                </c:pt>
                <c:pt idx="25">
                  <c:v>132149.34461964076</c:v>
                </c:pt>
                <c:pt idx="26" formatCode="#,##0.00">
                  <c:v>132328.77598784136</c:v>
                </c:pt>
                <c:pt idx="27" formatCode="#,##0.00">
                  <c:v>132669.15001171865</c:v>
                </c:pt>
                <c:pt idx="28" formatCode="#,##0.00">
                  <c:v>130090.03392344811</c:v>
                </c:pt>
                <c:pt idx="29" formatCode="#,##0.00">
                  <c:v>130180.48046423108</c:v>
                </c:pt>
                <c:pt idx="30" formatCode="#,##0.00">
                  <c:v>108179.03282126613</c:v>
                </c:pt>
              </c:numCache>
            </c:numRef>
          </c:val>
          <c:extLst>
            <c:ext xmlns:c16="http://schemas.microsoft.com/office/drawing/2014/chart" uri="{C3380CC4-5D6E-409C-BE32-E72D297353CC}">
              <c16:uniqueId val="{00000002-DA23-4097-812D-C8DD9E73DE2D}"/>
            </c:ext>
          </c:extLst>
        </c:ser>
        <c:ser>
          <c:idx val="3"/>
          <c:order val="3"/>
          <c:tx>
            <c:v>1.A.4. Autres secteurs</c:v>
          </c:tx>
          <c:spPr>
            <a:solidFill>
              <a:schemeClr val="accent4"/>
            </a:solidFill>
            <a:ln w="25400">
              <a:noFill/>
            </a:ln>
            <a:effectLst/>
          </c:spPr>
          <c:cat>
            <c:strRef>
              <c:f>'Table 10s2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10s2 2020 KP'!$B$12:$AF$12</c:f>
              <c:numCache>
                <c:formatCode>0.00</c:formatCode>
                <c:ptCount val="31"/>
                <c:pt idx="0">
                  <c:v>91854.843779862727</c:v>
                </c:pt>
                <c:pt idx="1">
                  <c:v>100953.23045165703</c:v>
                </c:pt>
                <c:pt idx="2">
                  <c:v>98818.298253529036</c:v>
                </c:pt>
                <c:pt idx="3">
                  <c:v>96141.863336102862</c:v>
                </c:pt>
                <c:pt idx="4">
                  <c:v>91239.031275800662</c:v>
                </c:pt>
                <c:pt idx="5">
                  <c:v>91026.785974988787</c:v>
                </c:pt>
                <c:pt idx="6">
                  <c:v>99550.950584109116</c:v>
                </c:pt>
                <c:pt idx="7">
                  <c:v>94309.730036517256</c:v>
                </c:pt>
                <c:pt idx="8">
                  <c:v>98214.743109084346</c:v>
                </c:pt>
                <c:pt idx="9">
                  <c:v>100041.76796553025</c:v>
                </c:pt>
                <c:pt idx="10">
                  <c:v>96141.423747879802</c:v>
                </c:pt>
                <c:pt idx="11">
                  <c:v>101204.92655803166</c:v>
                </c:pt>
                <c:pt idx="12">
                  <c:v>95684.186269890866</c:v>
                </c:pt>
                <c:pt idx="13">
                  <c:v>99829.217221003608</c:v>
                </c:pt>
                <c:pt idx="14">
                  <c:v>104347.98650537567</c:v>
                </c:pt>
                <c:pt idx="15">
                  <c:v>102706.23805838569</c:v>
                </c:pt>
                <c:pt idx="16">
                  <c:v>97338.789231045928</c:v>
                </c:pt>
                <c:pt idx="17">
                  <c:v>89429.381523094606</c:v>
                </c:pt>
                <c:pt idx="18">
                  <c:v>96203.54592423416</c:v>
                </c:pt>
                <c:pt idx="19">
                  <c:v>98624.615814807272</c:v>
                </c:pt>
                <c:pt idx="20">
                  <c:v>96196.179020779513</c:v>
                </c:pt>
                <c:pt idx="21">
                  <c:v>81814.076154066657</c:v>
                </c:pt>
                <c:pt idx="22">
                  <c:v>87745.203217087925</c:v>
                </c:pt>
                <c:pt idx="23">
                  <c:v>90685.670386742029</c:v>
                </c:pt>
                <c:pt idx="24">
                  <c:v>75132.893373595565</c:v>
                </c:pt>
                <c:pt idx="25">
                  <c:v>78173.026705826836</c:v>
                </c:pt>
                <c:pt idx="26" formatCode="#,##0.00">
                  <c:v>78196.755122174276</c:v>
                </c:pt>
                <c:pt idx="27" formatCode="#,##0.00">
                  <c:v>77777.655913284543</c:v>
                </c:pt>
                <c:pt idx="28" formatCode="#,##0.00">
                  <c:v>73782.621767281467</c:v>
                </c:pt>
                <c:pt idx="29" formatCode="#,##0.00">
                  <c:v>71839.961663916823</c:v>
                </c:pt>
                <c:pt idx="30" formatCode="#,##0.00">
                  <c:v>68903.093213286906</c:v>
                </c:pt>
              </c:numCache>
            </c:numRef>
          </c:val>
          <c:extLst>
            <c:ext xmlns:c16="http://schemas.microsoft.com/office/drawing/2014/chart" uri="{C3380CC4-5D6E-409C-BE32-E72D297353CC}">
              <c16:uniqueId val="{00000003-DA23-4097-812D-C8DD9E73DE2D}"/>
            </c:ext>
          </c:extLst>
        </c:ser>
        <c:ser>
          <c:idx val="4"/>
          <c:order val="4"/>
          <c:tx>
            <c:v>1.A.5. Autre</c:v>
          </c:tx>
          <c:spPr>
            <a:solidFill>
              <a:schemeClr val="accent5"/>
            </a:solidFill>
            <a:ln w="25400">
              <a:noFill/>
            </a:ln>
            <a:effectLst/>
          </c:spPr>
          <c:cat>
            <c:strRef>
              <c:f>'Table 10s2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10s2 2020 KP'!$B$13:$AF$13</c:f>
              <c:numCache>
                <c:formatCode>0.00</c:formatCode>
                <c:ptCount val="31"/>
                <c:pt idx="0">
                  <c:v>4464.24560772307</c:v>
                </c:pt>
                <c:pt idx="1">
                  <c:v>4109.97591665254</c:v>
                </c:pt>
                <c:pt idx="2">
                  <c:v>2803.9828329667157</c:v>
                </c:pt>
                <c:pt idx="3">
                  <c:v>2341.4155782823086</c:v>
                </c:pt>
                <c:pt idx="4">
                  <c:v>1077.2800448717949</c:v>
                </c:pt>
                <c:pt idx="5">
                  <c:v>593.56532853735234</c:v>
                </c:pt>
                <c:pt idx="6">
                  <c:v>981.85774649986843</c:v>
                </c:pt>
                <c:pt idx="7">
                  <c:v>1424.161912106764</c:v>
                </c:pt>
                <c:pt idx="8">
                  <c:v>2052.7226888264254</c:v>
                </c:pt>
                <c:pt idx="9">
                  <c:v>2002.0417509280621</c:v>
                </c:pt>
                <c:pt idx="10">
                  <c:v>1957.664690077559</c:v>
                </c:pt>
                <c:pt idx="11">
                  <c:v>2096.9902482619418</c:v>
                </c:pt>
                <c:pt idx="12">
                  <c:v>2665.7524760503748</c:v>
                </c:pt>
                <c:pt idx="13">
                  <c:v>2875.1623347812579</c:v>
                </c:pt>
                <c:pt idx="14">
                  <c:v>2875.1791347812623</c:v>
                </c:pt>
                <c:pt idx="15">
                  <c:v>2625.9476602555419</c:v>
                </c:pt>
                <c:pt idx="16">
                  <c:v>2648.1747697117894</c:v>
                </c:pt>
                <c:pt idx="17">
                  <c:v>2518.8249356740248</c:v>
                </c:pt>
                <c:pt idx="18">
                  <c:v>2534.3578266641475</c:v>
                </c:pt>
                <c:pt idx="19">
                  <c:v>2256.6762406888047</c:v>
                </c:pt>
                <c:pt idx="20">
                  <c:v>2258.2196996428715</c:v>
                </c:pt>
                <c:pt idx="21">
                  <c:v>2650.6152718682038</c:v>
                </c:pt>
                <c:pt idx="22">
                  <c:v>2283.6477486451472</c:v>
                </c:pt>
                <c:pt idx="23">
                  <c:v>2232.7026332530509</c:v>
                </c:pt>
                <c:pt idx="24">
                  <c:v>2118.8974724582531</c:v>
                </c:pt>
                <c:pt idx="25">
                  <c:v>2036.6779148691294</c:v>
                </c:pt>
                <c:pt idx="26" formatCode="#,##0.00">
                  <c:v>1346.6932773982185</c:v>
                </c:pt>
                <c:pt idx="27" formatCode="#,##0.00">
                  <c:v>1324.0207343931568</c:v>
                </c:pt>
                <c:pt idx="28" formatCode="#,##0.00">
                  <c:v>1417.4867047269163</c:v>
                </c:pt>
                <c:pt idx="29" formatCode="#,##0.00">
                  <c:v>1608.4777456956385</c:v>
                </c:pt>
                <c:pt idx="30" formatCode="#,##0.00">
                  <c:v>1476.3865801852398</c:v>
                </c:pt>
              </c:numCache>
            </c:numRef>
          </c:val>
          <c:extLst>
            <c:ext xmlns:c16="http://schemas.microsoft.com/office/drawing/2014/chart" uri="{C3380CC4-5D6E-409C-BE32-E72D297353CC}">
              <c16:uniqueId val="{00000004-DA23-4097-812D-C8DD9E73DE2D}"/>
            </c:ext>
          </c:extLst>
        </c:ser>
        <c:ser>
          <c:idx val="5"/>
          <c:order val="5"/>
          <c:tx>
            <c:v>1.B. Emissions fugitives de la combustion</c:v>
          </c:tx>
          <c:spPr>
            <a:solidFill>
              <a:schemeClr val="accent6"/>
            </a:solidFill>
            <a:ln w="25400">
              <a:noFill/>
            </a:ln>
            <a:effectLst/>
          </c:spPr>
          <c:cat>
            <c:strRef>
              <c:f>'Table 10s2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10s2 2020 KP'!$B$14:$AF$14</c:f>
              <c:numCache>
                <c:formatCode>0.00</c:formatCode>
                <c:ptCount val="31"/>
                <c:pt idx="0">
                  <c:v>4361.53682451031</c:v>
                </c:pt>
                <c:pt idx="1">
                  <c:v>4464.797336773081</c:v>
                </c:pt>
                <c:pt idx="2">
                  <c:v>4467.8738529402963</c:v>
                </c:pt>
                <c:pt idx="3">
                  <c:v>4270.3402422992767</c:v>
                </c:pt>
                <c:pt idx="4">
                  <c:v>4539.9195639463651</c:v>
                </c:pt>
                <c:pt idx="5">
                  <c:v>4421.1697410595661</c:v>
                </c:pt>
                <c:pt idx="6">
                  <c:v>4592.8451334755136</c:v>
                </c:pt>
                <c:pt idx="7">
                  <c:v>4540.8922011766108</c:v>
                </c:pt>
                <c:pt idx="8">
                  <c:v>4457.1773236280733</c:v>
                </c:pt>
                <c:pt idx="9">
                  <c:v>4147.3776957372957</c:v>
                </c:pt>
                <c:pt idx="10">
                  <c:v>4296.4126446604423</c:v>
                </c:pt>
                <c:pt idx="11">
                  <c:v>4260.0160273180081</c:v>
                </c:pt>
                <c:pt idx="12">
                  <c:v>4012.0641806662861</c:v>
                </c:pt>
                <c:pt idx="13">
                  <c:v>3973.0533925207528</c:v>
                </c:pt>
                <c:pt idx="14">
                  <c:v>4003.8622357178438</c:v>
                </c:pt>
                <c:pt idx="15">
                  <c:v>4009.2427440506808</c:v>
                </c:pt>
                <c:pt idx="16">
                  <c:v>4317.1779686359978</c:v>
                </c:pt>
                <c:pt idx="17">
                  <c:v>4625.3105407314306</c:v>
                </c:pt>
                <c:pt idx="18">
                  <c:v>4911.0036438326742</c:v>
                </c:pt>
                <c:pt idx="19">
                  <c:v>4630.1700647946973</c:v>
                </c:pt>
                <c:pt idx="20">
                  <c:v>4221.3629220611228</c:v>
                </c:pt>
                <c:pt idx="21">
                  <c:v>3991.0283143825595</c:v>
                </c:pt>
                <c:pt idx="22">
                  <c:v>3402.2795429884541</c:v>
                </c:pt>
                <c:pt idx="23">
                  <c:v>3136.5711416034587</c:v>
                </c:pt>
                <c:pt idx="24">
                  <c:v>3048.5560393752075</c:v>
                </c:pt>
                <c:pt idx="25">
                  <c:v>2945.8352320762633</c:v>
                </c:pt>
                <c:pt idx="26">
                  <c:v>2957.8002766815443</c:v>
                </c:pt>
                <c:pt idx="27">
                  <c:v>2902.0671822924378</c:v>
                </c:pt>
                <c:pt idx="28">
                  <c:v>2997.5133753245191</c:v>
                </c:pt>
                <c:pt idx="29">
                  <c:v>2587.8592802280268</c:v>
                </c:pt>
                <c:pt idx="30">
                  <c:v>2203.1033129924381</c:v>
                </c:pt>
              </c:numCache>
            </c:numRef>
          </c:val>
          <c:extLst>
            <c:ext xmlns:c16="http://schemas.microsoft.com/office/drawing/2014/chart" uri="{C3380CC4-5D6E-409C-BE32-E72D297353CC}">
              <c16:uniqueId val="{00000005-DA23-4097-812D-C8DD9E73DE2D}"/>
            </c:ext>
          </c:extLst>
        </c:ser>
        <c:ser>
          <c:idx val="6"/>
          <c:order val="6"/>
          <c:tx>
            <c:v>2. Procédés industriels</c:v>
          </c:tx>
          <c:spPr>
            <a:solidFill>
              <a:schemeClr val="accent1">
                <a:lumMod val="60000"/>
              </a:schemeClr>
            </a:solidFill>
            <a:ln w="25400">
              <a:noFill/>
            </a:ln>
            <a:effectLst/>
          </c:spPr>
          <c:cat>
            <c:strRef>
              <c:f>'Table 10s2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10s2 2020 KP'!$B$18:$AF$18</c:f>
              <c:numCache>
                <c:formatCode>0.00</c:formatCode>
                <c:ptCount val="31"/>
                <c:pt idx="0">
                  <c:v>42901.861136322586</c:v>
                </c:pt>
                <c:pt idx="1">
                  <c:v>41712.310082158663</c:v>
                </c:pt>
                <c:pt idx="2">
                  <c:v>39643.913280114255</c:v>
                </c:pt>
                <c:pt idx="3">
                  <c:v>38685.726570749364</c:v>
                </c:pt>
                <c:pt idx="4">
                  <c:v>39399.775133112176</c:v>
                </c:pt>
                <c:pt idx="5">
                  <c:v>38604.258330445518</c:v>
                </c:pt>
                <c:pt idx="6">
                  <c:v>38028.802138256433</c:v>
                </c:pt>
                <c:pt idx="7">
                  <c:v>39022.235215781096</c:v>
                </c:pt>
                <c:pt idx="8">
                  <c:v>39820.586891834173</c:v>
                </c:pt>
                <c:pt idx="9">
                  <c:v>39905.340225214568</c:v>
                </c:pt>
                <c:pt idx="10">
                  <c:v>40574.117820426625</c:v>
                </c:pt>
                <c:pt idx="11">
                  <c:v>39133.636022584207</c:v>
                </c:pt>
                <c:pt idx="12">
                  <c:v>39773.191114055888</c:v>
                </c:pt>
                <c:pt idx="13">
                  <c:v>38640.40704942595</c:v>
                </c:pt>
                <c:pt idx="14">
                  <c:v>40597.357036038673</c:v>
                </c:pt>
                <c:pt idx="15">
                  <c:v>40643.839060313221</c:v>
                </c:pt>
                <c:pt idx="16">
                  <c:v>41947.507076498943</c:v>
                </c:pt>
                <c:pt idx="17">
                  <c:v>42550.179146593357</c:v>
                </c:pt>
                <c:pt idx="18">
                  <c:v>38272.551724780584</c:v>
                </c:pt>
                <c:pt idx="19">
                  <c:v>29050.317631415215</c:v>
                </c:pt>
                <c:pt idx="20">
                  <c:v>32909.503130923113</c:v>
                </c:pt>
                <c:pt idx="21">
                  <c:v>32604.23401319404</c:v>
                </c:pt>
                <c:pt idx="22">
                  <c:v>30655.337488074278</c:v>
                </c:pt>
                <c:pt idx="23">
                  <c:v>32529.130949675433</c:v>
                </c:pt>
                <c:pt idx="24">
                  <c:v>32255.617010510578</c:v>
                </c:pt>
                <c:pt idx="25">
                  <c:v>30753.217321544911</c:v>
                </c:pt>
                <c:pt idx="26">
                  <c:v>30937.29060130869</c:v>
                </c:pt>
                <c:pt idx="27">
                  <c:v>32378.655643027738</c:v>
                </c:pt>
                <c:pt idx="28">
                  <c:v>31929.418902896563</c:v>
                </c:pt>
                <c:pt idx="29">
                  <c:v>31576.246999730047</c:v>
                </c:pt>
                <c:pt idx="30">
                  <c:v>26755.879871422498</c:v>
                </c:pt>
              </c:numCache>
            </c:numRef>
          </c:val>
          <c:extLst>
            <c:ext xmlns:c16="http://schemas.microsoft.com/office/drawing/2014/chart" uri="{C3380CC4-5D6E-409C-BE32-E72D297353CC}">
              <c16:uniqueId val="{00000006-DA23-4097-812D-C8DD9E73DE2D}"/>
            </c:ext>
          </c:extLst>
        </c:ser>
        <c:dLbls>
          <c:showLegendKey val="0"/>
          <c:showVal val="0"/>
          <c:showCatName val="0"/>
          <c:showSerName val="0"/>
          <c:showPercent val="0"/>
          <c:showBubbleSize val="0"/>
        </c:dLbls>
        <c:axId val="1869256511"/>
        <c:axId val="1869254431"/>
      </c:areaChart>
      <c:catAx>
        <c:axId val="186925651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9254431"/>
        <c:crosses val="autoZero"/>
        <c:auto val="1"/>
        <c:lblAlgn val="ctr"/>
        <c:lblOffset val="100"/>
        <c:noMultiLvlLbl val="0"/>
      </c:catAx>
      <c:valAx>
        <c:axId val="18692544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9256511"/>
        <c:crosses val="autoZero"/>
        <c:crossBetween val="midCat"/>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ayout>
        <c:manualLayout>
          <c:xMode val="edge"/>
          <c:yMode val="edge"/>
          <c:x val="1.1363793341621768E-2"/>
          <c:y val="0.79301244824711858"/>
          <c:w val="0.97946522309711281"/>
          <c:h val="0.185990176424797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Trends in CH</a:t>
            </a:r>
            <a:r>
              <a:rPr lang="en-GB" sz="1100" baseline="-25000"/>
              <a:t>4</a:t>
            </a:r>
            <a:r>
              <a:rPr lang="en-GB" sz="1100"/>
              <a:t> emissions (in ktCO</a:t>
            </a:r>
            <a:r>
              <a:rPr lang="en-GB" sz="1100" baseline="-25000"/>
              <a:t>2eq</a:t>
            </a:r>
            <a:r>
              <a:rPr lang="en-GB" sz="11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0"/>
          <c:order val="0"/>
          <c:tx>
            <c:v>Agriculture</c:v>
          </c:tx>
          <c:spPr>
            <a:solidFill>
              <a:schemeClr val="accent1"/>
            </a:solidFill>
            <a:ln>
              <a:noFill/>
            </a:ln>
            <a:effectLst/>
          </c:spPr>
          <c:cat>
            <c:strRef>
              <c:f>'Table 10s3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10s3 2020 KP'!$B$27:$AF$27</c:f>
              <c:numCache>
                <c:formatCode>0.00</c:formatCode>
                <c:ptCount val="31"/>
                <c:pt idx="0">
                  <c:v>1688.739393444105</c:v>
                </c:pt>
                <c:pt idx="1">
                  <c:v>1662.2533920834737</c:v>
                </c:pt>
                <c:pt idx="2">
                  <c:v>1641.0355551110611</c:v>
                </c:pt>
                <c:pt idx="3">
                  <c:v>1629.4211028983198</c:v>
                </c:pt>
                <c:pt idx="4">
                  <c:v>1636.8442435164648</c:v>
                </c:pt>
                <c:pt idx="5">
                  <c:v>1645.8157146976534</c:v>
                </c:pt>
                <c:pt idx="6">
                  <c:v>1641.2756485507512</c:v>
                </c:pt>
                <c:pt idx="7">
                  <c:v>1634.1073417362559</c:v>
                </c:pt>
                <c:pt idx="8">
                  <c:v>1623.7947125812898</c:v>
                </c:pt>
                <c:pt idx="9">
                  <c:v>1631.6164351850007</c:v>
                </c:pt>
                <c:pt idx="10">
                  <c:v>1687.8836931145925</c:v>
                </c:pt>
                <c:pt idx="11">
                  <c:v>1686.8478410734922</c:v>
                </c:pt>
                <c:pt idx="12">
                  <c:v>1653.7790677024309</c:v>
                </c:pt>
                <c:pt idx="13">
                  <c:v>1612.1589500023047</c:v>
                </c:pt>
                <c:pt idx="14">
                  <c:v>1581.6583941678623</c:v>
                </c:pt>
                <c:pt idx="15">
                  <c:v>1574.9188279228363</c:v>
                </c:pt>
                <c:pt idx="16">
                  <c:v>1581.0025291133211</c:v>
                </c:pt>
                <c:pt idx="17">
                  <c:v>1587.501860068659</c:v>
                </c:pt>
                <c:pt idx="18">
                  <c:v>1604.5496747916168</c:v>
                </c:pt>
                <c:pt idx="19">
                  <c:v>1591.4608975491451</c:v>
                </c:pt>
                <c:pt idx="20">
                  <c:v>1573.0122112935426</c:v>
                </c:pt>
                <c:pt idx="21">
                  <c:v>1565.375377920881</c:v>
                </c:pt>
                <c:pt idx="22">
                  <c:v>1537.4834571703675</c:v>
                </c:pt>
                <c:pt idx="23">
                  <c:v>1535.7695491963909</c:v>
                </c:pt>
                <c:pt idx="24">
                  <c:v>1566.9644225282534</c:v>
                </c:pt>
                <c:pt idx="25">
                  <c:v>1571.2406839382022</c:v>
                </c:pt>
                <c:pt idx="26">
                  <c:v>1555.1870717083555</c:v>
                </c:pt>
                <c:pt idx="27">
                  <c:v>1541.0813497724585</c:v>
                </c:pt>
                <c:pt idx="28">
                  <c:v>1523.9755262413453</c:v>
                </c:pt>
                <c:pt idx="29">
                  <c:v>1497.8100371010128</c:v>
                </c:pt>
                <c:pt idx="30">
                  <c:v>1479.9504891345191</c:v>
                </c:pt>
              </c:numCache>
            </c:numRef>
          </c:val>
          <c:extLst>
            <c:ext xmlns:c16="http://schemas.microsoft.com/office/drawing/2014/chart" uri="{C3380CC4-5D6E-409C-BE32-E72D297353CC}">
              <c16:uniqueId val="{00000000-D8BF-452B-BCB1-659D398690CB}"/>
            </c:ext>
          </c:extLst>
        </c:ser>
        <c:ser>
          <c:idx val="1"/>
          <c:order val="1"/>
          <c:tx>
            <c:v>1.B. Emissions fugitives</c:v>
          </c:tx>
          <c:spPr>
            <a:solidFill>
              <a:schemeClr val="accent2"/>
            </a:solidFill>
            <a:ln w="25400">
              <a:noFill/>
            </a:ln>
            <a:effectLst/>
          </c:spPr>
          <c:val>
            <c:numRef>
              <c:f>'Table 10s3 2020 KP'!$B$79:$AF$79</c:f>
              <c:numCache>
                <c:formatCode>0.00</c:formatCode>
                <c:ptCount val="31"/>
                <c:pt idx="0">
                  <c:v>6611.5421729121945</c:v>
                </c:pt>
                <c:pt idx="1">
                  <c:v>6265.1804196464727</c:v>
                </c:pt>
                <c:pt idx="2">
                  <c:v>6411.2087547210858</c:v>
                </c:pt>
                <c:pt idx="3">
                  <c:v>6579.8746146772983</c:v>
                </c:pt>
                <c:pt idx="4">
                  <c:v>6655.5741188145657</c:v>
                </c:pt>
                <c:pt idx="5">
                  <c:v>6549.2757674698769</c:v>
                </c:pt>
                <c:pt idx="6">
                  <c:v>5300.7144282268</c:v>
                </c:pt>
                <c:pt idx="7">
                  <c:v>4710.8571635972166</c:v>
                </c:pt>
                <c:pt idx="8">
                  <c:v>4624.2437829437722</c:v>
                </c:pt>
                <c:pt idx="9">
                  <c:v>4449.8779757765396</c:v>
                </c:pt>
                <c:pt idx="10">
                  <c:v>3535.9130028954814</c:v>
                </c:pt>
                <c:pt idx="11">
                  <c:v>3308.7465348984852</c:v>
                </c:pt>
                <c:pt idx="12">
                  <c:v>2716.8822483477006</c:v>
                </c:pt>
                <c:pt idx="13">
                  <c:v>2633.0588673499506</c:v>
                </c:pt>
                <c:pt idx="14">
                  <c:v>2146.8130892675185</c:v>
                </c:pt>
                <c:pt idx="15">
                  <c:v>1810.8393208438197</c:v>
                </c:pt>
                <c:pt idx="16">
                  <c:v>1707.640342498383</c:v>
                </c:pt>
                <c:pt idx="17">
                  <c:v>1476.7023840598799</c:v>
                </c:pt>
                <c:pt idx="18">
                  <c:v>1473.7890792070739</c:v>
                </c:pt>
                <c:pt idx="19">
                  <c:v>1467.3106633318937</c:v>
                </c:pt>
                <c:pt idx="20">
                  <c:v>1535.7285326179226</c:v>
                </c:pt>
                <c:pt idx="21">
                  <c:v>1460.7254053980423</c:v>
                </c:pt>
                <c:pt idx="22">
                  <c:v>1427.1149853338136</c:v>
                </c:pt>
                <c:pt idx="23">
                  <c:v>1376.8046182293676</c:v>
                </c:pt>
                <c:pt idx="24">
                  <c:v>1229.5751288314302</c:v>
                </c:pt>
                <c:pt idx="25">
                  <c:v>1208.7889832982014</c:v>
                </c:pt>
                <c:pt idx="26">
                  <c:v>1232.150567589083</c:v>
                </c:pt>
                <c:pt idx="27">
                  <c:v>1137.8977984285716</c:v>
                </c:pt>
                <c:pt idx="28">
                  <c:v>1084.9378325920197</c:v>
                </c:pt>
                <c:pt idx="29">
                  <c:v>1007.6045605269735</c:v>
                </c:pt>
                <c:pt idx="30">
                  <c:v>851.20713407639244</c:v>
                </c:pt>
              </c:numCache>
            </c:numRef>
          </c:val>
          <c:extLst>
            <c:ext xmlns:c16="http://schemas.microsoft.com/office/drawing/2014/chart" uri="{C3380CC4-5D6E-409C-BE32-E72D297353CC}">
              <c16:uniqueId val="{00000001-D8BF-452B-BCB1-659D398690CB}"/>
            </c:ext>
          </c:extLst>
        </c:ser>
        <c:ser>
          <c:idx val="2"/>
          <c:order val="2"/>
          <c:tx>
            <c:v>5. Déchets</c:v>
          </c:tx>
          <c:spPr>
            <a:solidFill>
              <a:schemeClr val="accent3"/>
            </a:solidFill>
            <a:ln w="25400">
              <a:noFill/>
            </a:ln>
            <a:effectLst/>
          </c:spPr>
          <c:val>
            <c:numRef>
              <c:f>'Table 10s3 2020 KP'!$B$112:$AF$112</c:f>
              <c:numCache>
                <c:formatCode>0.00</c:formatCode>
                <c:ptCount val="31"/>
                <c:pt idx="0">
                  <c:v>14318.243798268932</c:v>
                </c:pt>
                <c:pt idx="1">
                  <c:v>14954.59272487071</c:v>
                </c:pt>
                <c:pt idx="2">
                  <c:v>15705.732765493334</c:v>
                </c:pt>
                <c:pt idx="3">
                  <c:v>16493.969358850347</c:v>
                </c:pt>
                <c:pt idx="4">
                  <c:v>16822.538631386491</c:v>
                </c:pt>
                <c:pt idx="5">
                  <c:v>17098.584194983981</c:v>
                </c:pt>
                <c:pt idx="6">
                  <c:v>17304.456234639416</c:v>
                </c:pt>
                <c:pt idx="7">
                  <c:v>17515.769332511725</c:v>
                </c:pt>
                <c:pt idx="8">
                  <c:v>18024.560728171095</c:v>
                </c:pt>
                <c:pt idx="9">
                  <c:v>18319.159935388587</c:v>
                </c:pt>
                <c:pt idx="10">
                  <c:v>18601.96609167257</c:v>
                </c:pt>
                <c:pt idx="11">
                  <c:v>18859.649006729709</c:v>
                </c:pt>
                <c:pt idx="12">
                  <c:v>19089.801692806319</c:v>
                </c:pt>
                <c:pt idx="13">
                  <c:v>19231.408194473759</c:v>
                </c:pt>
                <c:pt idx="14">
                  <c:v>19222.035036921694</c:v>
                </c:pt>
                <c:pt idx="15">
                  <c:v>19129.034668169821</c:v>
                </c:pt>
                <c:pt idx="16">
                  <c:v>19090.621122619068</c:v>
                </c:pt>
                <c:pt idx="17">
                  <c:v>19118.511541230433</c:v>
                </c:pt>
                <c:pt idx="18">
                  <c:v>19085.815991578915</c:v>
                </c:pt>
                <c:pt idx="19">
                  <c:v>18487.372147108355</c:v>
                </c:pt>
                <c:pt idx="20">
                  <c:v>18487.319719549734</c:v>
                </c:pt>
                <c:pt idx="21">
                  <c:v>18043.362741579498</c:v>
                </c:pt>
                <c:pt idx="22">
                  <c:v>17441.827045261089</c:v>
                </c:pt>
                <c:pt idx="23">
                  <c:v>17343.173969714884</c:v>
                </c:pt>
                <c:pt idx="24">
                  <c:v>16778.770147277166</c:v>
                </c:pt>
                <c:pt idx="25">
                  <c:v>15752.923662820487</c:v>
                </c:pt>
                <c:pt idx="26">
                  <c:v>15668.587508933948</c:v>
                </c:pt>
                <c:pt idx="27">
                  <c:v>15787.280279748882</c:v>
                </c:pt>
                <c:pt idx="28">
                  <c:v>15586.426051086908</c:v>
                </c:pt>
                <c:pt idx="29">
                  <c:v>15830.263962869862</c:v>
                </c:pt>
                <c:pt idx="30">
                  <c:v>15458.253187830755</c:v>
                </c:pt>
              </c:numCache>
            </c:numRef>
          </c:val>
          <c:extLst>
            <c:ext xmlns:c16="http://schemas.microsoft.com/office/drawing/2014/chart" uri="{C3380CC4-5D6E-409C-BE32-E72D297353CC}">
              <c16:uniqueId val="{00000002-D8BF-452B-BCB1-659D398690CB}"/>
            </c:ext>
          </c:extLst>
        </c:ser>
        <c:dLbls>
          <c:showLegendKey val="0"/>
          <c:showVal val="0"/>
          <c:showCatName val="0"/>
          <c:showSerName val="0"/>
          <c:showPercent val="0"/>
          <c:showBubbleSize val="0"/>
        </c:dLbls>
        <c:axId val="7715055"/>
        <c:axId val="7717551"/>
      </c:areaChart>
      <c:catAx>
        <c:axId val="771505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7551"/>
        <c:crosses val="autoZero"/>
        <c:auto val="1"/>
        <c:lblAlgn val="ctr"/>
        <c:lblOffset val="100"/>
        <c:noMultiLvlLbl val="0"/>
      </c:catAx>
      <c:valAx>
        <c:axId val="77175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5055"/>
        <c:crosses val="autoZero"/>
        <c:crossBetween val="midCat"/>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Trend in N</a:t>
            </a:r>
            <a:r>
              <a:rPr lang="en-GB" sz="1100" baseline="-25000"/>
              <a:t>2</a:t>
            </a:r>
            <a:r>
              <a:rPr lang="en-GB" sz="1100"/>
              <a:t>O emissions (in ktCO</a:t>
            </a:r>
            <a:r>
              <a:rPr lang="en-GB" sz="1100" baseline="-25000"/>
              <a:t>2eq</a:t>
            </a:r>
            <a:r>
              <a:rPr lang="en-GB" sz="11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1"/>
          <c:order val="0"/>
          <c:tx>
            <c:v>1. Energie</c:v>
          </c:tx>
          <c:spPr>
            <a:solidFill>
              <a:schemeClr val="accent2"/>
            </a:solidFill>
            <a:ln w="25400">
              <a:noFill/>
            </a:ln>
            <a:effectLst/>
          </c:spPr>
          <c:cat>
            <c:strRef>
              <c:f>'Table 10s4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10s4 2020 KP'!$B$71:$AF$71</c:f>
              <c:numCache>
                <c:formatCode>0.00</c:formatCode>
                <c:ptCount val="31"/>
                <c:pt idx="0">
                  <c:v>3432.6384201544979</c:v>
                </c:pt>
                <c:pt idx="1">
                  <c:v>3612.2781053756557</c:v>
                </c:pt>
                <c:pt idx="2">
                  <c:v>3591.6252547566601</c:v>
                </c:pt>
                <c:pt idx="3">
                  <c:v>3673.8460740537557</c:v>
                </c:pt>
                <c:pt idx="4">
                  <c:v>3701.5530402941922</c:v>
                </c:pt>
                <c:pt idx="5">
                  <c:v>4046.207327078967</c:v>
                </c:pt>
                <c:pt idx="6">
                  <c:v>4491.3349704055736</c:v>
                </c:pt>
                <c:pt idx="7">
                  <c:v>4692.7111351957083</c:v>
                </c:pt>
                <c:pt idx="8">
                  <c:v>5084.983972233189</c:v>
                </c:pt>
                <c:pt idx="9">
                  <c:v>3996.6363137838198</c:v>
                </c:pt>
                <c:pt idx="10">
                  <c:v>3900.0857909798888</c:v>
                </c:pt>
                <c:pt idx="11">
                  <c:v>4039.3263183088734</c:v>
                </c:pt>
                <c:pt idx="12">
                  <c:v>4173.6985343171673</c:v>
                </c:pt>
                <c:pt idx="13">
                  <c:v>4239.5369236772212</c:v>
                </c:pt>
                <c:pt idx="14">
                  <c:v>4266.7188836397818</c:v>
                </c:pt>
                <c:pt idx="15">
                  <c:v>4183.4050318514928</c:v>
                </c:pt>
                <c:pt idx="16">
                  <c:v>3942.4811990772882</c:v>
                </c:pt>
                <c:pt idx="17">
                  <c:v>3791.5107321816349</c:v>
                </c:pt>
                <c:pt idx="18">
                  <c:v>3785.2440688985021</c:v>
                </c:pt>
                <c:pt idx="19">
                  <c:v>3543.3886559498842</c:v>
                </c:pt>
                <c:pt idx="20">
                  <c:v>3637.7685520391428</c:v>
                </c:pt>
                <c:pt idx="21">
                  <c:v>3577.803263185363</c:v>
                </c:pt>
                <c:pt idx="22">
                  <c:v>3674.948885183022</c:v>
                </c:pt>
                <c:pt idx="23">
                  <c:v>3801.2311605805257</c:v>
                </c:pt>
                <c:pt idx="24">
                  <c:v>3671.3340694795843</c:v>
                </c:pt>
                <c:pt idx="25">
                  <c:v>3730.7994978461502</c:v>
                </c:pt>
                <c:pt idx="26">
                  <c:v>3731.4160372913202</c:v>
                </c:pt>
                <c:pt idx="27">
                  <c:v>3705.5214760686367</c:v>
                </c:pt>
                <c:pt idx="28">
                  <c:v>3573.5143929032242</c:v>
                </c:pt>
                <c:pt idx="29">
                  <c:v>3536.6719981972747</c:v>
                </c:pt>
                <c:pt idx="30">
                  <c:v>3430.1063871592796</c:v>
                </c:pt>
              </c:numCache>
            </c:numRef>
          </c:val>
          <c:extLst>
            <c:ext xmlns:c16="http://schemas.microsoft.com/office/drawing/2014/chart" uri="{C3380CC4-5D6E-409C-BE32-E72D297353CC}">
              <c16:uniqueId val="{00000000-6605-4401-BD54-9CF03CC855AF}"/>
            </c:ext>
          </c:extLst>
        </c:ser>
        <c:ser>
          <c:idx val="0"/>
          <c:order val="1"/>
          <c:tx>
            <c:v>2. Procédés industriels</c:v>
          </c:tx>
          <c:spPr>
            <a:solidFill>
              <a:schemeClr val="accent1"/>
            </a:solidFill>
            <a:ln w="25400">
              <a:noFill/>
            </a:ln>
            <a:effectLst/>
          </c:spPr>
          <c:cat>
            <c:strRef>
              <c:f>'Table 10s4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10s4 2020 KP'!$B$82:$AF$82</c:f>
              <c:numCache>
                <c:formatCode>0.00</c:formatCode>
                <c:ptCount val="31"/>
                <c:pt idx="0">
                  <c:v>23830.711826511175</c:v>
                </c:pt>
                <c:pt idx="1">
                  <c:v>24003.415714658498</c:v>
                </c:pt>
                <c:pt idx="2">
                  <c:v>24458.625128583531</c:v>
                </c:pt>
                <c:pt idx="3">
                  <c:v>24462.397511529154</c:v>
                </c:pt>
                <c:pt idx="4">
                  <c:v>25112.390457179165</c:v>
                </c:pt>
                <c:pt idx="5">
                  <c:v>25931.9858462704</c:v>
                </c:pt>
                <c:pt idx="6">
                  <c:v>26418.610528536519</c:v>
                </c:pt>
                <c:pt idx="7">
                  <c:v>25833.564683069348</c:v>
                </c:pt>
                <c:pt idx="8">
                  <c:v>18627.228497382297</c:v>
                </c:pt>
                <c:pt idx="9">
                  <c:v>13395.464102184433</c:v>
                </c:pt>
                <c:pt idx="10">
                  <c:v>11923.8333287367</c:v>
                </c:pt>
                <c:pt idx="11">
                  <c:v>11925.012829081637</c:v>
                </c:pt>
                <c:pt idx="12">
                  <c:v>9610.4108860600281</c:v>
                </c:pt>
                <c:pt idx="13">
                  <c:v>9468.9907022321422</c:v>
                </c:pt>
                <c:pt idx="14">
                  <c:v>6705.7171608610442</c:v>
                </c:pt>
                <c:pt idx="15">
                  <c:v>6760.2716896035408</c:v>
                </c:pt>
                <c:pt idx="16">
                  <c:v>6051.9732018352515</c:v>
                </c:pt>
                <c:pt idx="17">
                  <c:v>5631.8115828555983</c:v>
                </c:pt>
                <c:pt idx="18">
                  <c:v>4640.0366859751084</c:v>
                </c:pt>
                <c:pt idx="19">
                  <c:v>3925.545575166439</c:v>
                </c:pt>
                <c:pt idx="20">
                  <c:v>2287.0033158058914</c:v>
                </c:pt>
                <c:pt idx="21">
                  <c:v>1386.1403958220362</c:v>
                </c:pt>
                <c:pt idx="22">
                  <c:v>1021.0978404373012</c:v>
                </c:pt>
                <c:pt idx="23">
                  <c:v>1001.0852102260452</c:v>
                </c:pt>
                <c:pt idx="24">
                  <c:v>1183.5308075428322</c:v>
                </c:pt>
                <c:pt idx="25">
                  <c:v>1291.222944964522</c:v>
                </c:pt>
                <c:pt idx="26">
                  <c:v>1027.4972941966278</c:v>
                </c:pt>
                <c:pt idx="27">
                  <c:v>1658.3759064580895</c:v>
                </c:pt>
                <c:pt idx="28">
                  <c:v>1090.2100569975553</c:v>
                </c:pt>
                <c:pt idx="29">
                  <c:v>917.59233390553743</c:v>
                </c:pt>
                <c:pt idx="30">
                  <c:v>741.7121572625357</c:v>
                </c:pt>
              </c:numCache>
            </c:numRef>
          </c:val>
          <c:extLst>
            <c:ext xmlns:c16="http://schemas.microsoft.com/office/drawing/2014/chart" uri="{C3380CC4-5D6E-409C-BE32-E72D297353CC}">
              <c16:uniqueId val="{00000001-6605-4401-BD54-9CF03CC855AF}"/>
            </c:ext>
          </c:extLst>
        </c:ser>
        <c:ser>
          <c:idx val="2"/>
          <c:order val="2"/>
          <c:tx>
            <c:v>3. Agriculture</c:v>
          </c:tx>
          <c:spPr>
            <a:solidFill>
              <a:srgbClr val="92D050"/>
            </a:solidFill>
            <a:ln w="25400">
              <a:noFill/>
            </a:ln>
            <a:effectLst/>
          </c:spPr>
          <c:cat>
            <c:strRef>
              <c:f>'Table 10s4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10s4 2020 KP'!$B$91:$AF$91</c:f>
              <c:numCache>
                <c:formatCode>0.00</c:formatCode>
                <c:ptCount val="31"/>
                <c:pt idx="0">
                  <c:v>36690.816890244751</c:v>
                </c:pt>
                <c:pt idx="1">
                  <c:v>36910.072876350197</c:v>
                </c:pt>
                <c:pt idx="2">
                  <c:v>36173.958860208877</c:v>
                </c:pt>
                <c:pt idx="3">
                  <c:v>35343.853209026485</c:v>
                </c:pt>
                <c:pt idx="4">
                  <c:v>34785.492319937119</c:v>
                </c:pt>
                <c:pt idx="5">
                  <c:v>35162.439177233755</c:v>
                </c:pt>
                <c:pt idx="6">
                  <c:v>35765.021598632207</c:v>
                </c:pt>
                <c:pt idx="7">
                  <c:v>36103.825717794149</c:v>
                </c:pt>
                <c:pt idx="8">
                  <c:v>36310.178892825497</c:v>
                </c:pt>
                <c:pt idx="9">
                  <c:v>36582.958180731286</c:v>
                </c:pt>
                <c:pt idx="10">
                  <c:v>37106.132537179961</c:v>
                </c:pt>
                <c:pt idx="11">
                  <c:v>36674.640550330732</c:v>
                </c:pt>
                <c:pt idx="12">
                  <c:v>36140.990910720458</c:v>
                </c:pt>
                <c:pt idx="13">
                  <c:v>34449.460119560252</c:v>
                </c:pt>
                <c:pt idx="14">
                  <c:v>35537.57786433673</c:v>
                </c:pt>
                <c:pt idx="15">
                  <c:v>34680.25498495096</c:v>
                </c:pt>
                <c:pt idx="16">
                  <c:v>34237.635956839993</c:v>
                </c:pt>
                <c:pt idx="17">
                  <c:v>34914.719829457339</c:v>
                </c:pt>
                <c:pt idx="18">
                  <c:v>35175.782757875029</c:v>
                </c:pt>
                <c:pt idx="19">
                  <c:v>34551.057341892432</c:v>
                </c:pt>
                <c:pt idx="20">
                  <c:v>33892.04350789258</c:v>
                </c:pt>
                <c:pt idx="21">
                  <c:v>33294.970699722056</c:v>
                </c:pt>
                <c:pt idx="22">
                  <c:v>33826.705642956011</c:v>
                </c:pt>
                <c:pt idx="23">
                  <c:v>33498.505108381301</c:v>
                </c:pt>
                <c:pt idx="24">
                  <c:v>34608.114561828428</c:v>
                </c:pt>
                <c:pt idx="25">
                  <c:v>34263.095673924734</c:v>
                </c:pt>
                <c:pt idx="26">
                  <c:v>33444.620681872962</c:v>
                </c:pt>
                <c:pt idx="27">
                  <c:v>34200.244714180983</c:v>
                </c:pt>
                <c:pt idx="28">
                  <c:v>33265.747788582034</c:v>
                </c:pt>
                <c:pt idx="29">
                  <c:v>33020.189660113698</c:v>
                </c:pt>
                <c:pt idx="30">
                  <c:v>31528.556534395699</c:v>
                </c:pt>
              </c:numCache>
            </c:numRef>
          </c:val>
          <c:extLst>
            <c:ext xmlns:c16="http://schemas.microsoft.com/office/drawing/2014/chart" uri="{C3380CC4-5D6E-409C-BE32-E72D297353CC}">
              <c16:uniqueId val="{00000002-6605-4401-BD54-9CF03CC855AF}"/>
            </c:ext>
          </c:extLst>
        </c:ser>
        <c:ser>
          <c:idx val="3"/>
          <c:order val="3"/>
          <c:tx>
            <c:v>5. Déchets</c:v>
          </c:tx>
          <c:spPr>
            <a:solidFill>
              <a:schemeClr val="accent4"/>
            </a:solidFill>
            <a:ln w="25400">
              <a:noFill/>
            </a:ln>
            <a:effectLst/>
          </c:spPr>
          <c:cat>
            <c:strRef>
              <c:f>'Table 10s4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10s4 2020 KP'!$B$111:$AF$111</c:f>
              <c:numCache>
                <c:formatCode>0.00</c:formatCode>
                <c:ptCount val="31"/>
                <c:pt idx="0">
                  <c:v>770.6733059092212</c:v>
                </c:pt>
                <c:pt idx="1">
                  <c:v>788.71856727816487</c:v>
                </c:pt>
                <c:pt idx="2">
                  <c:v>782.89567985271765</c:v>
                </c:pt>
                <c:pt idx="3">
                  <c:v>782.27661140014595</c:v>
                </c:pt>
                <c:pt idx="4">
                  <c:v>785.31123724118027</c:v>
                </c:pt>
                <c:pt idx="5">
                  <c:v>796.48926930357425</c:v>
                </c:pt>
                <c:pt idx="6">
                  <c:v>785.99743211078885</c:v>
                </c:pt>
                <c:pt idx="7">
                  <c:v>761.79375892845781</c:v>
                </c:pt>
                <c:pt idx="8">
                  <c:v>751.62339737213642</c:v>
                </c:pt>
                <c:pt idx="9">
                  <c:v>741.41290596567922</c:v>
                </c:pt>
                <c:pt idx="10">
                  <c:v>750.48609237602932</c:v>
                </c:pt>
                <c:pt idx="11">
                  <c:v>731.8077487680988</c:v>
                </c:pt>
                <c:pt idx="12">
                  <c:v>714.41995313185623</c:v>
                </c:pt>
                <c:pt idx="13">
                  <c:v>702.85140168887835</c:v>
                </c:pt>
                <c:pt idx="14">
                  <c:v>690.37315035927122</c:v>
                </c:pt>
                <c:pt idx="15">
                  <c:v>683.51556998425872</c:v>
                </c:pt>
                <c:pt idx="16">
                  <c:v>685.74380511761728</c:v>
                </c:pt>
                <c:pt idx="17">
                  <c:v>636.58867833638703</c:v>
                </c:pt>
                <c:pt idx="18">
                  <c:v>633.53279088482657</c:v>
                </c:pt>
                <c:pt idx="19">
                  <c:v>634.64532788345457</c:v>
                </c:pt>
                <c:pt idx="20">
                  <c:v>661.13518250499658</c:v>
                </c:pt>
                <c:pt idx="21">
                  <c:v>620.06584119290801</c:v>
                </c:pt>
                <c:pt idx="22">
                  <c:v>641.04896382038112</c:v>
                </c:pt>
                <c:pt idx="23">
                  <c:v>629.4619966625321</c:v>
                </c:pt>
                <c:pt idx="24">
                  <c:v>599.97662973471313</c:v>
                </c:pt>
                <c:pt idx="25">
                  <c:v>610.37257125210931</c:v>
                </c:pt>
                <c:pt idx="26">
                  <c:v>586.3925346281203</c:v>
                </c:pt>
                <c:pt idx="27">
                  <c:v>597.88699741655739</c:v>
                </c:pt>
                <c:pt idx="28">
                  <c:v>570.58268330508167</c:v>
                </c:pt>
                <c:pt idx="29">
                  <c:v>596.9890050115855</c:v>
                </c:pt>
                <c:pt idx="30">
                  <c:v>596.94909050203705</c:v>
                </c:pt>
              </c:numCache>
            </c:numRef>
          </c:val>
          <c:extLst>
            <c:ext xmlns:c16="http://schemas.microsoft.com/office/drawing/2014/chart" uri="{C3380CC4-5D6E-409C-BE32-E72D297353CC}">
              <c16:uniqueId val="{00000003-6605-4401-BD54-9CF03CC855AF}"/>
            </c:ext>
          </c:extLst>
        </c:ser>
        <c:dLbls>
          <c:showLegendKey val="0"/>
          <c:showVal val="0"/>
          <c:showCatName val="0"/>
          <c:showSerName val="0"/>
          <c:showPercent val="0"/>
          <c:showBubbleSize val="0"/>
        </c:dLbls>
        <c:axId val="75593647"/>
        <c:axId val="75594479"/>
      </c:areaChart>
      <c:catAx>
        <c:axId val="755936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594479"/>
        <c:crosses val="autoZero"/>
        <c:auto val="1"/>
        <c:lblAlgn val="ctr"/>
        <c:lblOffset val="100"/>
        <c:tickLblSkip val="2"/>
        <c:tickMarkSkip val="2"/>
        <c:noMultiLvlLbl val="0"/>
      </c:catAx>
      <c:valAx>
        <c:axId val="7559447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593647"/>
        <c:crosses val="autoZero"/>
        <c:crossBetween val="midCat"/>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Trend in fluorinated gas emissions (in ktCO</a:t>
            </a:r>
            <a:r>
              <a:rPr lang="en-GB" sz="1100" baseline="-25000"/>
              <a:t>2eq</a:t>
            </a:r>
            <a:r>
              <a:rPr lang="en-GB" sz="11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0"/>
          <c:order val="0"/>
          <c:tx>
            <c:v>HFCs</c:v>
          </c:tx>
          <c:spPr>
            <a:solidFill>
              <a:schemeClr val="accent1"/>
            </a:solidFill>
            <a:ln>
              <a:noFill/>
            </a:ln>
            <a:effectLst/>
          </c:spPr>
          <c:cat>
            <c:strRef>
              <c:f>'Table 10s5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10s5 2020 KP'!$B$8:$AF$8</c:f>
              <c:numCache>
                <c:formatCode>0.00</c:formatCode>
                <c:ptCount val="31"/>
                <c:pt idx="0">
                  <c:v>4402.1999432862885</c:v>
                </c:pt>
                <c:pt idx="1">
                  <c:v>5124.3768176149169</c:v>
                </c:pt>
                <c:pt idx="2">
                  <c:v>4418.0113536218887</c:v>
                </c:pt>
                <c:pt idx="3">
                  <c:v>2865.7882351234502</c:v>
                </c:pt>
                <c:pt idx="4">
                  <c:v>1753.6855827155216</c:v>
                </c:pt>
                <c:pt idx="5">
                  <c:v>1702.3380797289115</c:v>
                </c:pt>
                <c:pt idx="6">
                  <c:v>3060.7992021160994</c:v>
                </c:pt>
                <c:pt idx="7">
                  <c:v>3917.4423290002433</c:v>
                </c:pt>
                <c:pt idx="8">
                  <c:v>4304.3188373082494</c:v>
                </c:pt>
                <c:pt idx="9">
                  <c:v>5534.2860023687745</c:v>
                </c:pt>
                <c:pt idx="10">
                  <c:v>6735.7139788457707</c:v>
                </c:pt>
                <c:pt idx="11">
                  <c:v>7960.9409708441326</c:v>
                </c:pt>
                <c:pt idx="12">
                  <c:v>9123.0695631652834</c:v>
                </c:pt>
                <c:pt idx="13">
                  <c:v>10385.851029677364</c:v>
                </c:pt>
                <c:pt idx="14">
                  <c:v>11868.327106745546</c:v>
                </c:pt>
                <c:pt idx="15">
                  <c:v>12862.161691452959</c:v>
                </c:pt>
                <c:pt idx="16">
                  <c:v>14352.623881136171</c:v>
                </c:pt>
                <c:pt idx="17">
                  <c:v>15199.261145746563</c:v>
                </c:pt>
                <c:pt idx="18">
                  <c:v>16307.529181860809</c:v>
                </c:pt>
                <c:pt idx="19">
                  <c:v>16206.870320668324</c:v>
                </c:pt>
                <c:pt idx="20">
                  <c:v>16930.104251024091</c:v>
                </c:pt>
                <c:pt idx="21">
                  <c:v>17628.798748263853</c:v>
                </c:pt>
                <c:pt idx="22">
                  <c:v>17862.070424717534</c:v>
                </c:pt>
                <c:pt idx="23">
                  <c:v>17771.584038401619</c:v>
                </c:pt>
                <c:pt idx="24">
                  <c:v>17661.759377797953</c:v>
                </c:pt>
                <c:pt idx="25">
                  <c:v>17494.30134725857</c:v>
                </c:pt>
                <c:pt idx="26">
                  <c:v>17205.167204115074</c:v>
                </c:pt>
                <c:pt idx="27">
                  <c:v>16637.217448801763</c:v>
                </c:pt>
                <c:pt idx="28">
                  <c:v>14847.43804713845</c:v>
                </c:pt>
                <c:pt idx="29">
                  <c:v>12992.417239861117</c:v>
                </c:pt>
                <c:pt idx="30">
                  <c:v>11735.322229166266</c:v>
                </c:pt>
              </c:numCache>
            </c:numRef>
          </c:val>
          <c:extLst>
            <c:ext xmlns:c16="http://schemas.microsoft.com/office/drawing/2014/chart" uri="{C3380CC4-5D6E-409C-BE32-E72D297353CC}">
              <c16:uniqueId val="{00000000-470D-49E2-AA57-F8003A2D45C0}"/>
            </c:ext>
          </c:extLst>
        </c:ser>
        <c:ser>
          <c:idx val="1"/>
          <c:order val="1"/>
          <c:tx>
            <c:v>PFCs</c:v>
          </c:tx>
          <c:spPr>
            <a:solidFill>
              <a:schemeClr val="accent2"/>
            </a:solidFill>
            <a:ln w="25400">
              <a:noFill/>
            </a:ln>
            <a:effectLst/>
          </c:spPr>
          <c:cat>
            <c:strRef>
              <c:f>'Table 10s5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10s5 2020 KP'!$B$29:$AF$29</c:f>
              <c:numCache>
                <c:formatCode>0.00</c:formatCode>
                <c:ptCount val="31"/>
                <c:pt idx="0">
                  <c:v>5202.4665838441279</c:v>
                </c:pt>
                <c:pt idx="1">
                  <c:v>4822.5434714653293</c:v>
                </c:pt>
                <c:pt idx="2">
                  <c:v>4918.3159797448079</c:v>
                </c:pt>
                <c:pt idx="3">
                  <c:v>4844.0633860352873</c:v>
                </c:pt>
                <c:pt idx="4">
                  <c:v>4325.4854570627749</c:v>
                </c:pt>
                <c:pt idx="5">
                  <c:v>3064.5603425632466</c:v>
                </c:pt>
                <c:pt idx="6">
                  <c:v>2796.2498279007227</c:v>
                </c:pt>
                <c:pt idx="7">
                  <c:v>2895.974045210929</c:v>
                </c:pt>
                <c:pt idx="8">
                  <c:v>3391.7149663391751</c:v>
                </c:pt>
                <c:pt idx="9">
                  <c:v>4218.4014949022685</c:v>
                </c:pt>
                <c:pt idx="10">
                  <c:v>2997.4885642296986</c:v>
                </c:pt>
                <c:pt idx="11">
                  <c:v>2652.9678389673654</c:v>
                </c:pt>
                <c:pt idx="12">
                  <c:v>4174.1632190190185</c:v>
                </c:pt>
                <c:pt idx="13">
                  <c:v>3850.856668143796</c:v>
                </c:pt>
                <c:pt idx="14">
                  <c:v>2638.8552980332306</c:v>
                </c:pt>
                <c:pt idx="15">
                  <c:v>1760.3278872435178</c:v>
                </c:pt>
                <c:pt idx="16">
                  <c:v>1462.3959698177719</c:v>
                </c:pt>
                <c:pt idx="17">
                  <c:v>1179.430309938163</c:v>
                </c:pt>
                <c:pt idx="18">
                  <c:v>777.74679252451597</c:v>
                </c:pt>
                <c:pt idx="19">
                  <c:v>558.81206304373995</c:v>
                </c:pt>
                <c:pt idx="20">
                  <c:v>617.37022190407299</c:v>
                </c:pt>
                <c:pt idx="21">
                  <c:v>774.03822581170971</c:v>
                </c:pt>
                <c:pt idx="22">
                  <c:v>790.34542795832158</c:v>
                </c:pt>
                <c:pt idx="23">
                  <c:v>670.495415269055</c:v>
                </c:pt>
                <c:pt idx="24">
                  <c:v>615.88068018021704</c:v>
                </c:pt>
                <c:pt idx="25">
                  <c:v>536.56518253897093</c:v>
                </c:pt>
                <c:pt idx="26">
                  <c:v>666.00797174926299</c:v>
                </c:pt>
                <c:pt idx="27">
                  <c:v>707.67918733398108</c:v>
                </c:pt>
                <c:pt idx="28">
                  <c:v>676.73478178101595</c:v>
                </c:pt>
                <c:pt idx="29">
                  <c:v>615.40327287488583</c:v>
                </c:pt>
                <c:pt idx="30">
                  <c:v>543.49426779474891</c:v>
                </c:pt>
              </c:numCache>
            </c:numRef>
          </c:val>
          <c:extLst>
            <c:ext xmlns:c16="http://schemas.microsoft.com/office/drawing/2014/chart" uri="{C3380CC4-5D6E-409C-BE32-E72D297353CC}">
              <c16:uniqueId val="{00000001-470D-49E2-AA57-F8003A2D45C0}"/>
            </c:ext>
          </c:extLst>
        </c:ser>
        <c:ser>
          <c:idx val="2"/>
          <c:order val="2"/>
          <c:tx>
            <c:v>SF6</c:v>
          </c:tx>
          <c:spPr>
            <a:solidFill>
              <a:schemeClr val="accent3"/>
            </a:solidFill>
            <a:ln w="25400">
              <a:noFill/>
            </a:ln>
            <a:effectLst/>
          </c:spPr>
          <c:cat>
            <c:strRef>
              <c:f>'Table 10s5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10s5 2020 KP'!$B$41:$AF$41</c:f>
              <c:numCache>
                <c:formatCode>0.00</c:formatCode>
                <c:ptCount val="31"/>
                <c:pt idx="0">
                  <c:v>2154.744186309204</c:v>
                </c:pt>
                <c:pt idx="1">
                  <c:v>2217.4576833056881</c:v>
                </c:pt>
                <c:pt idx="2">
                  <c:v>2256.210416507472</c:v>
                </c:pt>
                <c:pt idx="3">
                  <c:v>2295.577870750788</c:v>
                </c:pt>
                <c:pt idx="4">
                  <c:v>2443.8825106558438</c:v>
                </c:pt>
                <c:pt idx="5">
                  <c:v>2466.59683946934</c:v>
                </c:pt>
                <c:pt idx="6">
                  <c:v>2494.6370632690441</c:v>
                </c:pt>
                <c:pt idx="7">
                  <c:v>2475.9185365035601</c:v>
                </c:pt>
                <c:pt idx="8">
                  <c:v>2593.703923993668</c:v>
                </c:pt>
                <c:pt idx="9">
                  <c:v>2292.7350616642202</c:v>
                </c:pt>
                <c:pt idx="10">
                  <c:v>2180.3301783313441</c:v>
                </c:pt>
                <c:pt idx="11">
                  <c:v>1825.40351853882</c:v>
                </c:pt>
                <c:pt idx="12">
                  <c:v>1597.5376322446441</c:v>
                </c:pt>
                <c:pt idx="13">
                  <c:v>1579.7946160704601</c:v>
                </c:pt>
                <c:pt idx="14">
                  <c:v>1611.0763784374681</c:v>
                </c:pt>
                <c:pt idx="15">
                  <c:v>1354.8469542942601</c:v>
                </c:pt>
                <c:pt idx="16">
                  <c:v>1252.2121864347239</c:v>
                </c:pt>
                <c:pt idx="17">
                  <c:v>1149.0510245232119</c:v>
                </c:pt>
                <c:pt idx="18">
                  <c:v>1136.140843314864</c:v>
                </c:pt>
                <c:pt idx="19">
                  <c:v>951.44885170753196</c:v>
                </c:pt>
                <c:pt idx="20">
                  <c:v>875.09543123525998</c:v>
                </c:pt>
                <c:pt idx="21">
                  <c:v>650.96339648539197</c:v>
                </c:pt>
                <c:pt idx="22">
                  <c:v>655.26093236631596</c:v>
                </c:pt>
                <c:pt idx="23">
                  <c:v>583.57267746883201</c:v>
                </c:pt>
                <c:pt idx="24">
                  <c:v>474.26463118861199</c:v>
                </c:pt>
                <c:pt idx="25">
                  <c:v>498.10935944058002</c:v>
                </c:pt>
                <c:pt idx="26">
                  <c:v>506.57886484975199</c:v>
                </c:pt>
                <c:pt idx="27">
                  <c:v>461.052063541812</c:v>
                </c:pt>
                <c:pt idx="28">
                  <c:v>432.81643634168398</c:v>
                </c:pt>
                <c:pt idx="29">
                  <c:v>385.396416635496</c:v>
                </c:pt>
                <c:pt idx="30">
                  <c:v>346.603901236524</c:v>
                </c:pt>
              </c:numCache>
            </c:numRef>
          </c:val>
          <c:extLst>
            <c:ext xmlns:c16="http://schemas.microsoft.com/office/drawing/2014/chart" uri="{C3380CC4-5D6E-409C-BE32-E72D297353CC}">
              <c16:uniqueId val="{00000002-470D-49E2-AA57-F8003A2D45C0}"/>
            </c:ext>
          </c:extLst>
        </c:ser>
        <c:ser>
          <c:idx val="3"/>
          <c:order val="3"/>
          <c:tx>
            <c:v>NF3</c:v>
          </c:tx>
          <c:spPr>
            <a:solidFill>
              <a:schemeClr val="accent4"/>
            </a:solidFill>
            <a:ln w="25400">
              <a:noFill/>
            </a:ln>
            <a:effectLst/>
          </c:spPr>
          <c:cat>
            <c:strRef>
              <c:f>'Table 10s5 2020 KP'!$B$5:$AF$5</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'Table 10s5 2020 KP'!$B$43:$AF$43</c:f>
              <c:numCache>
                <c:formatCode>0.00</c:formatCode>
                <c:ptCount val="31"/>
                <c:pt idx="0">
                  <c:v>16.480883198436</c:v>
                </c:pt>
                <c:pt idx="1">
                  <c:v>18.1289715184</c:v>
                </c:pt>
                <c:pt idx="2">
                  <c:v>19.941868670240002</c:v>
                </c:pt>
                <c:pt idx="3">
                  <c:v>21.936055537264</c:v>
                </c:pt>
                <c:pt idx="4">
                  <c:v>24.129661090955999</c:v>
                </c:pt>
                <c:pt idx="5">
                  <c:v>6.2599238811919999</c:v>
                </c:pt>
                <c:pt idx="6">
                  <c:v>11.460804045004</c:v>
                </c:pt>
                <c:pt idx="7">
                  <c:v>17.176894665864001</c:v>
                </c:pt>
                <c:pt idx="8">
                  <c:v>21.155172237272001</c:v>
                </c:pt>
                <c:pt idx="9">
                  <c:v>28.409592493876001</c:v>
                </c:pt>
                <c:pt idx="10">
                  <c:v>19.891693827152</c:v>
                </c:pt>
                <c:pt idx="11">
                  <c:v>28.445694444368002</c:v>
                </c:pt>
                <c:pt idx="12">
                  <c:v>35.544820182568003</c:v>
                </c:pt>
                <c:pt idx="13">
                  <c:v>30.466988727939999</c:v>
                </c:pt>
                <c:pt idx="14">
                  <c:v>35.544820182568003</c:v>
                </c:pt>
                <c:pt idx="15">
                  <c:v>31.269600000000001</c:v>
                </c:pt>
                <c:pt idx="16">
                  <c:v>29.756</c:v>
                </c:pt>
                <c:pt idx="17">
                  <c:v>42.105600000000003</c:v>
                </c:pt>
                <c:pt idx="18">
                  <c:v>46.353999999999999</c:v>
                </c:pt>
                <c:pt idx="19">
                  <c:v>24.9572</c:v>
                </c:pt>
                <c:pt idx="20">
                  <c:v>32.129600000000003</c:v>
                </c:pt>
                <c:pt idx="21">
                  <c:v>31.355599999999999</c:v>
                </c:pt>
                <c:pt idx="22">
                  <c:v>20.3992</c:v>
                </c:pt>
                <c:pt idx="23">
                  <c:v>10.6296</c:v>
                </c:pt>
                <c:pt idx="24">
                  <c:v>6.3714991999999997</c:v>
                </c:pt>
                <c:pt idx="25">
                  <c:v>6.2338066640000003</c:v>
                </c:pt>
                <c:pt idx="26">
                  <c:v>5.8383581959999997</c:v>
                </c:pt>
                <c:pt idx="27">
                  <c:v>7.6374456879999997</c:v>
                </c:pt>
                <c:pt idx="28">
                  <c:v>12.250677260052001</c:v>
                </c:pt>
                <c:pt idx="29">
                  <c:v>10.290631531996</c:v>
                </c:pt>
                <c:pt idx="30">
                  <c:v>8.5404853959199993</c:v>
                </c:pt>
              </c:numCache>
            </c:numRef>
          </c:val>
          <c:extLst>
            <c:ext xmlns:c16="http://schemas.microsoft.com/office/drawing/2014/chart" uri="{C3380CC4-5D6E-409C-BE32-E72D297353CC}">
              <c16:uniqueId val="{00000003-470D-49E2-AA57-F8003A2D45C0}"/>
            </c:ext>
          </c:extLst>
        </c:ser>
        <c:dLbls>
          <c:showLegendKey val="0"/>
          <c:showVal val="0"/>
          <c:showCatName val="0"/>
          <c:showSerName val="0"/>
          <c:showPercent val="0"/>
          <c:showBubbleSize val="0"/>
        </c:dLbls>
        <c:axId val="1959856463"/>
        <c:axId val="1959850639"/>
      </c:areaChart>
      <c:catAx>
        <c:axId val="195985646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850639"/>
        <c:crosses val="autoZero"/>
        <c:auto val="1"/>
        <c:lblAlgn val="ctr"/>
        <c:lblOffset val="100"/>
        <c:tickLblSkip val="2"/>
        <c:noMultiLvlLbl val="0"/>
      </c:catAx>
      <c:valAx>
        <c:axId val="195985063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856463"/>
        <c:crosses val="autoZero"/>
        <c:crossBetween val="midCat"/>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26501155956216"/>
          <c:y val="0.10286883569846991"/>
          <c:w val="0.83346112998026678"/>
          <c:h val="0.69271696568861962"/>
        </c:manualLayout>
      </c:layout>
      <c:scatterChart>
        <c:scatterStyle val="lineMarker"/>
        <c:varyColors val="0"/>
        <c:ser>
          <c:idx val="1"/>
          <c:order val="1"/>
          <c:tx>
            <c:strRef>
              <c:f>Feuil1!$A$4</c:f>
              <c:strCache>
                <c:ptCount val="1"/>
                <c:pt idx="0">
                  <c:v>ESD target</c:v>
                </c:pt>
              </c:strCache>
            </c:strRef>
          </c:tx>
          <c:spPr>
            <a:ln w="25400" cap="rnd">
              <a:noFill/>
              <a:round/>
            </a:ln>
            <a:effectLst/>
          </c:spPr>
          <c:marker>
            <c:symbol val="circle"/>
            <c:size val="5"/>
            <c:spPr>
              <a:solidFill>
                <a:schemeClr val="accent2"/>
              </a:solidFill>
              <a:ln w="9525">
                <a:solidFill>
                  <a:schemeClr val="accent2"/>
                </a:solidFill>
              </a:ln>
              <a:effectLst/>
            </c:spPr>
          </c:marker>
          <c:xVal>
            <c:numRef>
              <c:f>Feuil1!$B$2:$AA$2</c:f>
              <c:numCache>
                <c:formatCode>General</c:formatCode>
                <c:ptCount val="2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pt idx="25">
                  <c:v>2030</c:v>
                </c:pt>
              </c:numCache>
            </c:numRef>
          </c:xVal>
          <c:yVal>
            <c:numRef>
              <c:f>Feuil1!$B$4:$AA$4</c:f>
              <c:numCache>
                <c:formatCode>General</c:formatCode>
                <c:ptCount val="26"/>
                <c:pt idx="8">
                  <c:v>394076.34700000001</c:v>
                </c:pt>
                <c:pt idx="9">
                  <c:v>389460.75799999997</c:v>
                </c:pt>
                <c:pt idx="10">
                  <c:v>384432.81400000001</c:v>
                </c:pt>
                <c:pt idx="11">
                  <c:v>379404.87</c:v>
                </c:pt>
                <c:pt idx="12">
                  <c:v>358181.61</c:v>
                </c:pt>
                <c:pt idx="13">
                  <c:v>352946.1</c:v>
                </c:pt>
                <c:pt idx="14">
                  <c:v>347710.587</c:v>
                </c:pt>
                <c:pt idx="15">
                  <c:v>342475.07500000001</c:v>
                </c:pt>
              </c:numCache>
            </c:numRef>
          </c:yVal>
          <c:smooth val="0"/>
          <c:extLst>
            <c:ext xmlns:c16="http://schemas.microsoft.com/office/drawing/2014/chart" uri="{C3380CC4-5D6E-409C-BE32-E72D297353CC}">
              <c16:uniqueId val="{00000000-569B-4DF5-86E1-BD04576EADE0}"/>
            </c:ext>
          </c:extLst>
        </c:ser>
        <c:dLbls>
          <c:showLegendKey val="0"/>
          <c:showVal val="0"/>
          <c:showCatName val="0"/>
          <c:showSerName val="0"/>
          <c:showPercent val="0"/>
          <c:showBubbleSize val="0"/>
        </c:dLbls>
        <c:axId val="1874848527"/>
        <c:axId val="1874836879"/>
      </c:scatterChart>
      <c:scatterChart>
        <c:scatterStyle val="smoothMarker"/>
        <c:varyColors val="0"/>
        <c:ser>
          <c:idx val="0"/>
          <c:order val="0"/>
          <c:tx>
            <c:strRef>
              <c:f>Feuil1!$A$3</c:f>
              <c:strCache>
                <c:ptCount val="1"/>
                <c:pt idx="0">
                  <c:v>Historical ESD emissions</c:v>
                </c:pt>
              </c:strCache>
            </c:strRef>
          </c:tx>
          <c:spPr>
            <a:ln w="34925" cap="rnd">
              <a:solidFill>
                <a:schemeClr val="accent1"/>
              </a:solidFill>
              <a:round/>
            </a:ln>
            <a:effectLst/>
          </c:spPr>
          <c:marker>
            <c:symbol val="none"/>
          </c:marker>
          <c:xVal>
            <c:numRef>
              <c:f>Feuil1!$B$2:$AA$2</c:f>
              <c:numCache>
                <c:formatCode>General</c:formatCode>
                <c:ptCount val="2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pt idx="25">
                  <c:v>2030</c:v>
                </c:pt>
              </c:numCache>
            </c:numRef>
          </c:xVal>
          <c:yVal>
            <c:numRef>
              <c:f>Feuil1!$B$3:$AA$3</c:f>
              <c:numCache>
                <c:formatCode>#,##0.00</c:formatCode>
                <c:ptCount val="26"/>
                <c:pt idx="0">
                  <c:v>392260.08</c:v>
                </c:pt>
                <c:pt idx="1">
                  <c:v>387214.45</c:v>
                </c:pt>
                <c:pt idx="2">
                  <c:v>378980.58</c:v>
                </c:pt>
                <c:pt idx="3">
                  <c:v>381986.21</c:v>
                </c:pt>
                <c:pt idx="4">
                  <c:v>373463.83</c:v>
                </c:pt>
                <c:pt idx="5">
                  <c:v>375013.6</c:v>
                </c:pt>
                <c:pt idx="6">
                  <c:v>361531.58</c:v>
                </c:pt>
                <c:pt idx="7">
                  <c:v>365369.12</c:v>
                </c:pt>
                <c:pt idx="8" formatCode="General">
                  <c:v>366116.65100000001</c:v>
                </c:pt>
                <c:pt idx="9" formatCode="General">
                  <c:v>353528.78600000002</c:v>
                </c:pt>
                <c:pt idx="10" formatCode="General">
                  <c:v>353009.85100000002</c:v>
                </c:pt>
                <c:pt idx="11" formatCode="General">
                  <c:v>351924.66800000001</c:v>
                </c:pt>
                <c:pt idx="12" formatCode="General">
                  <c:v>352795.70600000001</c:v>
                </c:pt>
                <c:pt idx="13" formatCode="General">
                  <c:v>342199.87300000002</c:v>
                </c:pt>
                <c:pt idx="14" formatCode="General">
                  <c:v>336358.31699999998</c:v>
                </c:pt>
                <c:pt idx="15" formatCode="General">
                  <c:v>307767.71500000003</c:v>
                </c:pt>
                <c:pt idx="16">
                  <c:v>327477.53000000003</c:v>
                </c:pt>
              </c:numCache>
            </c:numRef>
          </c:yVal>
          <c:smooth val="1"/>
          <c:extLst>
            <c:ext xmlns:c16="http://schemas.microsoft.com/office/drawing/2014/chart" uri="{C3380CC4-5D6E-409C-BE32-E72D297353CC}">
              <c16:uniqueId val="{00000001-569B-4DF5-86E1-BD04576EADE0}"/>
            </c:ext>
          </c:extLst>
        </c:ser>
        <c:dLbls>
          <c:showLegendKey val="0"/>
          <c:showVal val="0"/>
          <c:showCatName val="0"/>
          <c:showSerName val="0"/>
          <c:showPercent val="0"/>
          <c:showBubbleSize val="0"/>
        </c:dLbls>
        <c:axId val="1874848527"/>
        <c:axId val="1874836879"/>
      </c:scatterChart>
      <c:valAx>
        <c:axId val="1874848527"/>
        <c:scaling>
          <c:orientation val="minMax"/>
          <c:max val="2021"/>
          <c:min val="20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4836879"/>
        <c:crosses val="autoZero"/>
        <c:crossBetween val="midCat"/>
      </c:valAx>
      <c:valAx>
        <c:axId val="18748368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ktCO2eq</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4848527"/>
        <c:crosses val="autoZero"/>
        <c:crossBetween val="midCat"/>
      </c:valAx>
      <c:spPr>
        <a:noFill/>
        <a:ln>
          <a:noFill/>
        </a:ln>
        <a:effectLst/>
      </c:spPr>
    </c:plotArea>
    <c:legend>
      <c:legendPos val="b"/>
      <c:layout>
        <c:manualLayout>
          <c:xMode val="edge"/>
          <c:yMode val="edge"/>
          <c:x val="1.0937442136058956E-2"/>
          <c:y val="0.87343016308845511"/>
          <c:w val="0.96436854238417968"/>
          <c:h val="0.1265698369115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OUVERNEMENT PPT">
      <a:majorFont>
        <a:latin typeface="Marianne"/>
        <a:ea typeface=""/>
        <a:cs typeface=""/>
      </a:majorFont>
      <a:minorFont>
        <a:latin typeface="Mariann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C Submission" ma:contentTypeID="0x0101001FA945B3443244438EF3675AF0DF0D3D00235752C2D8300F4D9968B1A001C59A41" ma:contentTypeVersion="2" ma:contentTypeDescription="National Communication Submission Content Type" ma:contentTypeScope="" ma:versionID="60292ed444e994c802f5758afe27c882">
  <xsd:schema xmlns:xsd="http://www.w3.org/2001/XMLSchema" xmlns:xs="http://www.w3.org/2001/XMLSchema" xmlns:p="http://schemas.microsoft.com/office/2006/metadata/properties" xmlns:ns2="e797f6dd-fd82-440c-8368-2d31177d6268" targetNamespace="http://schemas.microsoft.com/office/2006/metadata/properties" ma:root="true" ma:fieldsID="313ea55eeae046745620c338e30844ec" ns2:_="">
    <xsd:import namespace="e797f6dd-fd82-440c-8368-2d31177d6268"/>
    <xsd:element name="properties">
      <xsd:complexType>
        <xsd:sequence>
          <xsd:element name="documentManagement">
            <xsd:complexType>
              <xsd:all>
                <xsd:element ref="ns2:SubmissionStatus" minOccurs="0"/>
                <xsd:element ref="ns2:Party" minOccurs="0"/>
                <xsd:element ref="ns2:SubmissionCycle" minOccurs="0"/>
                <xsd:element ref="ns2:SubmissionNumber" minOccurs="0"/>
                <xsd:element ref="ns2:RecordType" minOccurs="0"/>
                <xsd:element ref="ns2:SubmissionDate" minOccurs="0"/>
                <xsd:element ref="ns2:UNF3CLanguage" minOccurs="0"/>
                <xsd:element ref="ns2:PartyComment" minOccurs="0"/>
                <xsd:element ref="ns2:SecretariatComment" minOccurs="0"/>
                <xsd:element ref="ns2:AnnexIPar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7f6dd-fd82-440c-8368-2d31177d6268" elementFormDefault="qualified">
    <xsd:import namespace="http://schemas.microsoft.com/office/2006/documentManagement/types"/>
    <xsd:import namespace="http://schemas.microsoft.com/office/infopath/2007/PartnerControls"/>
    <xsd:element name="SubmissionStatus" ma:index="8" nillable="true" ma:displayName="Submission Status" ma:internalName="SubmissionStatus">
      <xsd:simpleType>
        <xsd:restriction base="dms:Choice">
          <xsd:enumeration value="Submitted"/>
          <xsd:enumeration value="Validated"/>
          <xsd:enumeration value="Published"/>
          <xsd:enumeration value="Rejected"/>
        </xsd:restriction>
      </xsd:simpleType>
    </xsd:element>
    <xsd:element name="Party" ma:index="9" nillable="true" ma:displayName="Party" ma:internalName="Party">
      <xsd:simpleType>
        <xsd:restriction base="dms:Text"/>
      </xsd:simpleType>
    </xsd:element>
    <xsd:element name="SubmissionCycle" ma:index="10" nillable="true" ma:displayName="Submission Cycle" ma:internalName="SubmissionCycle">
      <xsd:simpleType>
        <xsd:restriction base="dms:Choice">
          <xsd:enumeration value="NC1"/>
          <xsd:enumeration value="NC2"/>
          <xsd:enumeration value="NC3"/>
          <xsd:enumeration value="NC4"/>
          <xsd:enumeration value="NC5"/>
          <xsd:enumeration value="NC6"/>
          <xsd:enumeration value="NC7"/>
          <xsd:enumeration value="NC8"/>
          <xsd:enumeration value="NC9"/>
          <xsd:enumeration value="NC10"/>
          <xsd:enumeration value="BR1"/>
          <xsd:enumeration value="BR2"/>
          <xsd:enumeration value="BR3"/>
          <xsd:enumeration value="BR4"/>
          <xsd:enumeration value="BR5"/>
          <xsd:enumeration value="BUR1"/>
          <xsd:enumeration value="BUR2"/>
          <xsd:enumeration value="BUR3"/>
          <xsd:enumeration value="BUR4"/>
          <xsd:enumeration value="BUR5"/>
        </xsd:restriction>
      </xsd:simpleType>
    </xsd:element>
    <xsd:element name="SubmissionNumber" ma:index="11" nillable="true" ma:displayName="Submission Number" ma:internalName="SubmissionNumber">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element name="RecordType" ma:index="12" nillable="true" ma:displayName="Record Type" ma:internalName="RecordType">
      <xsd:simpleType>
        <xsd:restriction base="dms:Choice">
          <xsd:enumeration value="National Communication"/>
          <xsd:enumeration value="Biennial Report"/>
          <xsd:enumeration value="Biennial Update Report"/>
          <xsd:enumeration value="National Inventory Report"/>
          <xsd:enumeration value="Additional Information"/>
          <xsd:enumeration value="Cover Letter"/>
          <xsd:enumeration value="Acknowlegement of receipt"/>
          <xsd:enumeration value="Communication"/>
        </xsd:restriction>
      </xsd:simpleType>
    </xsd:element>
    <xsd:element name="SubmissionDate" ma:index="13" nillable="true" ma:displayName="Submission Date" ma:internalName="SubmissionDate">
      <xsd:simpleType>
        <xsd:restriction base="dms:DateTime"/>
      </xsd:simpleType>
    </xsd:element>
    <xsd:element name="UNF3CLanguage" ma:index="14" nillable="true" ma:displayName="Language" ma:internalName="UNF3CLanguage">
      <xsd:simpleType>
        <xsd:restriction base="dms:Choice">
          <xsd:enumeration value="English"/>
          <xsd:enumeration value="Arabic"/>
          <xsd:enumeration value="Chinese"/>
          <xsd:enumeration value="French"/>
          <xsd:enumeration value="Spanish"/>
          <xsd:enumeration value="Russian"/>
        </xsd:restriction>
      </xsd:simpleType>
    </xsd:element>
    <xsd:element name="PartyComment" ma:index="15" nillable="true" ma:displayName="Party Comment" ma:internalName="PartyComment">
      <xsd:simpleType>
        <xsd:restriction base="dms:Note">
          <xsd:maxLength value="255"/>
        </xsd:restriction>
      </xsd:simpleType>
    </xsd:element>
    <xsd:element name="SecretariatComment" ma:index="16" nillable="true" ma:displayName="Secretariat Comment" ma:internalName="SecretariatComment">
      <xsd:simpleType>
        <xsd:restriction base="dms:Note">
          <xsd:maxLength value="255"/>
        </xsd:restriction>
      </xsd:simpleType>
    </xsd:element>
    <xsd:element name="AnnexIParty" ma:index="17" nillable="true" ma:displayName="Annex I Party" ma:internalName="AnnexIParty">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rty xmlns="e797f6dd-fd82-440c-8368-2d31177d6268">France</Party>
    <SubmissionCycle xmlns="e797f6dd-fd82-440c-8368-2d31177d6268" xsi:nil="true"/>
    <SecretariatComment xmlns="e797f6dd-fd82-440c-8368-2d31177d6268" xsi:nil="true"/>
    <SubmissionStatus xmlns="e797f6dd-fd82-440c-8368-2d31177d6268" xsi:nil="true"/>
    <PartyComment xmlns="e797f6dd-fd82-440c-8368-2d31177d6268" xsi:nil="true"/>
    <SubmissionNumber xmlns="e797f6dd-fd82-440c-8368-2d31177d6268" xsi:nil="true"/>
    <AnnexIParty xmlns="e797f6dd-fd82-440c-8368-2d31177d6268" xsi:nil="true"/>
    <RecordType xmlns="e797f6dd-fd82-440c-8368-2d31177d6268" xsi:nil="true"/>
    <UNF3CLanguage xmlns="e797f6dd-fd82-440c-8368-2d31177d6268" xsi:nil="true"/>
    <SubmissionDate xmlns="e797f6dd-fd82-440c-8368-2d31177d62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80CC6-AC5F-4B3F-8621-FD45F2A3E744}">
  <ds:schemaRefs>
    <ds:schemaRef ds:uri="http://schemas.microsoft.com/sharepoint/v3/contenttype/forms"/>
  </ds:schemaRefs>
</ds:datastoreItem>
</file>

<file path=customXml/itemProps2.xml><?xml version="1.0" encoding="utf-8"?>
<ds:datastoreItem xmlns:ds="http://schemas.openxmlformats.org/officeDocument/2006/customXml" ds:itemID="{7B002847-F7EC-4CEE-B04C-D1C55F178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7f6dd-fd82-440c-8368-2d31177d6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3BBDB-15C4-4895-B353-AF9A324C4A2D}">
  <ds:schemaRefs>
    <ds:schemaRef ds:uri="http://schemas.microsoft.com/office/2006/metadata/properties"/>
    <ds:schemaRef ds:uri="http://schemas.microsoft.com/office/infopath/2007/PartnerControls"/>
    <ds:schemaRef ds:uri="e797f6dd-fd82-440c-8368-2d31177d6268"/>
  </ds:schemaRefs>
</ds:datastoreItem>
</file>

<file path=customXml/itemProps4.xml><?xml version="1.0" encoding="utf-8"?>
<ds:datastoreItem xmlns:ds="http://schemas.openxmlformats.org/officeDocument/2006/customXml" ds:itemID="{54EFE586-6473-4AA8-A033-C1AB9AC50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69814</Words>
  <Characters>397942</Characters>
  <Application>Microsoft Office Word</Application>
  <DocSecurity>0</DocSecurity>
  <Lines>3316</Lines>
  <Paragraphs>933</Paragraphs>
  <ScaleCrop>false</ScaleCrop>
  <HeadingPairs>
    <vt:vector size="2" baseType="variant">
      <vt:variant>
        <vt:lpstr>Titre</vt:lpstr>
      </vt:variant>
      <vt:variant>
        <vt:i4>1</vt:i4>
      </vt:variant>
    </vt:vector>
  </HeadingPairs>
  <TitlesOfParts>
    <vt:vector size="1" baseType="lpstr">
      <vt:lpstr>GOUVERNEMENT</vt:lpstr>
    </vt:vector>
  </TitlesOfParts>
  <Manager>GOUVERNEMENT</Manager>
  <Company>GOUVERNEMENT</Company>
  <LinksUpToDate>false</LinksUpToDate>
  <CharactersWithSpaces>466823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NC/NC8/2023</dc:title>
  <dc:subject>GOUVERNEMENT</dc:subject>
  <dc:creator>FONDEVILLE Coralie</dc:creator>
  <cp:keywords/>
  <dc:description/>
  <cp:lastModifiedBy>Lolo Gardesie-Grove</cp:lastModifiedBy>
  <cp:revision>2</cp:revision>
  <cp:lastPrinted>2023-02-24T15:07:00Z</cp:lastPrinted>
  <dcterms:created xsi:type="dcterms:W3CDTF">2023-07-17T10:05:00Z</dcterms:created>
  <dcterms:modified xsi:type="dcterms:W3CDTF">2023-07-17T10:05:00Z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0x0101001FA945B3443244438EF3675AF0DF0D3D00235752C2D8300F4D9968B1A001C59A41</vt:lpwstr>
  </property>
</Properties>
</file>