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4B3B4F" w14:textId="77777777" w:rsidR="0040710E" w:rsidRDefault="0040710E">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923" w:type="dxa"/>
        <w:tblInd w:w="0" w:type="dxa"/>
        <w:tblLayout w:type="fixed"/>
        <w:tblLook w:val="0000" w:firstRow="0" w:lastRow="0" w:firstColumn="0" w:lastColumn="0" w:noHBand="0" w:noVBand="0"/>
      </w:tblPr>
      <w:tblGrid>
        <w:gridCol w:w="4962"/>
        <w:gridCol w:w="4961"/>
      </w:tblGrid>
      <w:tr w:rsidR="0040710E" w14:paraId="4B948F4B" w14:textId="77777777">
        <w:trPr>
          <w:cantSplit/>
          <w:trHeight w:val="1474"/>
        </w:trPr>
        <w:tc>
          <w:tcPr>
            <w:tcW w:w="9923" w:type="dxa"/>
            <w:gridSpan w:val="2"/>
            <w:tcBorders>
              <w:top w:val="single" w:sz="4" w:space="0" w:color="000000"/>
              <w:left w:val="single" w:sz="4" w:space="0" w:color="000000"/>
              <w:bottom w:val="single" w:sz="4" w:space="0" w:color="000000"/>
              <w:right w:val="single" w:sz="4" w:space="0" w:color="000000"/>
            </w:tcBorders>
            <w:vAlign w:val="center"/>
          </w:tcPr>
          <w:p w14:paraId="712F2707" w14:textId="77777777" w:rsidR="0040710E" w:rsidRDefault="00000000">
            <w:pPr>
              <w:ind w:left="86"/>
            </w:pPr>
            <w:r>
              <w:rPr>
                <w:noProof/>
              </w:rPr>
              <mc:AlternateContent>
                <mc:Choice Requires="wps">
                  <w:drawing>
                    <wp:anchor distT="0" distB="0" distL="114300" distR="114300" simplePos="0" relativeHeight="251658240" behindDoc="0" locked="0" layoutInCell="1" hidden="0" allowOverlap="1" wp14:anchorId="067489F3" wp14:editId="3FDCEEE4">
                      <wp:simplePos x="0" y="0"/>
                      <wp:positionH relativeFrom="column">
                        <wp:posOffset>1498600</wp:posOffset>
                      </wp:positionH>
                      <wp:positionV relativeFrom="paragraph">
                        <wp:posOffset>101600</wp:posOffset>
                      </wp:positionV>
                      <wp:extent cx="4688205" cy="809625"/>
                      <wp:effectExtent l="0" t="0" r="0" b="0"/>
                      <wp:wrapNone/>
                      <wp:docPr id="1" name="Rectangle 1"/>
                      <wp:cNvGraphicFramePr/>
                      <a:graphic xmlns:a="http://schemas.openxmlformats.org/drawingml/2006/main">
                        <a:graphicData uri="http://schemas.microsoft.com/office/word/2010/wordprocessingShape">
                          <wps:wsp>
                            <wps:cNvSpPr/>
                            <wps:spPr>
                              <a:xfrm>
                                <a:off x="3006660" y="3379950"/>
                                <a:ext cx="4678680" cy="800100"/>
                              </a:xfrm>
                              <a:prstGeom prst="rect">
                                <a:avLst/>
                              </a:prstGeom>
                              <a:noFill/>
                              <a:ln>
                                <a:noFill/>
                              </a:ln>
                            </wps:spPr>
                            <wps:txbx>
                              <w:txbxContent>
                                <w:p w14:paraId="77DA1257" w14:textId="77777777" w:rsidR="0040710E" w:rsidRDefault="00000000">
                                  <w:pPr>
                                    <w:jc w:val="center"/>
                                    <w:textDirection w:val="btLr"/>
                                  </w:pPr>
                                  <w:r>
                                    <w:rPr>
                                      <w:rFonts w:ascii="Arial" w:eastAsia="Arial" w:hAnsi="Arial" w:cs="Arial"/>
                                      <w:b/>
                                      <w:color w:val="000000"/>
                                    </w:rPr>
                                    <w:t xml:space="preserve"> GLOBAL STAKEHOLDER CONSULTATION FORM FOR PROPOSED NEW BASELINE AND MONITORING METHODOLOGY OR METHODOLOGICAL TOOL </w:t>
                                  </w:r>
                                  <w:r>
                                    <w:rPr>
                                      <w:rFonts w:ascii="Arial" w:eastAsia="Arial" w:hAnsi="Arial" w:cs="Arial"/>
                                      <w:b/>
                                      <w:color w:val="000000"/>
                                    </w:rPr>
                                    <w:br/>
                                    <w:t>(version 01.0)</w:t>
                                  </w:r>
                                </w:p>
                                <w:p w14:paraId="03FE9BAE" w14:textId="77777777" w:rsidR="0040710E" w:rsidRDefault="0040710E">
                                  <w:pPr>
                                    <w:jc w:val="center"/>
                                    <w:textDirection w:val="btLr"/>
                                  </w:pPr>
                                </w:p>
                                <w:p w14:paraId="59A7104A" w14:textId="77777777" w:rsidR="0040710E" w:rsidRDefault="0040710E">
                                  <w:pPr>
                                    <w:jc w:val="right"/>
                                    <w:textDirection w:val="btLr"/>
                                  </w:pPr>
                                </w:p>
                                <w:p w14:paraId="7928DBEB" w14:textId="77777777" w:rsidR="0040710E" w:rsidRDefault="00000000">
                                  <w:pPr>
                                    <w:jc w:val="center"/>
                                    <w:textDirection w:val="btLr"/>
                                  </w:pPr>
                                  <w:r>
                                    <w:rPr>
                                      <w:rFonts w:ascii="Arial" w:eastAsia="Arial" w:hAnsi="Arial" w:cs="Arial"/>
                                      <w:b/>
                                      <w:color w:val="000000"/>
                                    </w:rPr>
                                    <w:t xml:space="preserve"> </w:t>
                                  </w:r>
                                </w:p>
                                <w:p w14:paraId="2F89BBEF" w14:textId="77777777" w:rsidR="0040710E" w:rsidRDefault="0040710E">
                                  <w:pPr>
                                    <w:textDirection w:val="btLr"/>
                                  </w:pPr>
                                </w:p>
                                <w:p w14:paraId="51FB9983" w14:textId="77777777" w:rsidR="0040710E" w:rsidRDefault="0040710E">
                                  <w:pPr>
                                    <w:textDirection w:val="btLr"/>
                                  </w:pPr>
                                </w:p>
                              </w:txbxContent>
                            </wps:txbx>
                            <wps:bodyPr spcFirstLastPara="1" wrap="square" lIns="91425" tIns="45700" rIns="91425" bIns="45700" anchor="t" anchorCtr="0">
                              <a:noAutofit/>
                            </wps:bodyPr>
                          </wps:wsp>
                        </a:graphicData>
                      </a:graphic>
                    </wp:anchor>
                  </w:drawing>
                </mc:Choice>
                <mc:Fallback>
                  <w:pict>
                    <v:rect w14:anchorId="067489F3" id="Rectangle 1" o:spid="_x0000_s1026" style="position:absolute;left:0;text-align:left;margin-left:118pt;margin-top:8pt;width:369.15pt;height:63.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" filled="f" stroked="f">
                      <v:textbox inset="2.53958mm,1.2694mm,2.53958mm,1.2694mm">
                        <w:txbxContent>
                          <w:p w14:paraId="77DA1257" w14:textId="77777777" w:rsidR="0040710E" w:rsidRDefault="00000000">
                            <w:pPr>
                              <w:jc w:val="center"/>
                              <w:textDirection w:val="btLr"/>
                            </w:pPr>
                            <w:r>
                              <w:rPr>
                                <w:rFonts w:ascii="Arial" w:eastAsia="Arial" w:hAnsi="Arial" w:cs="Arial"/>
                                <w:b/>
                                <w:color w:val="000000"/>
                              </w:rPr>
                              <w:t xml:space="preserve"> GLOBAL STAKEHOLDER CONSULTATION FORM FOR PROPOSED NEW BASELINE AND MONITORING METHODOLOGY OR METHODOLOGICAL TOOL </w:t>
                            </w:r>
                            <w:r>
                              <w:rPr>
                                <w:rFonts w:ascii="Arial" w:eastAsia="Arial" w:hAnsi="Arial" w:cs="Arial"/>
                                <w:b/>
                                <w:color w:val="000000"/>
                              </w:rPr>
                              <w:br/>
                              <w:t>(version 01.0)</w:t>
                            </w:r>
                          </w:p>
                          <w:p w14:paraId="03FE9BAE" w14:textId="77777777" w:rsidR="0040710E" w:rsidRDefault="0040710E">
                            <w:pPr>
                              <w:jc w:val="center"/>
                              <w:textDirection w:val="btLr"/>
                            </w:pPr>
                          </w:p>
                          <w:p w14:paraId="59A7104A" w14:textId="77777777" w:rsidR="0040710E" w:rsidRDefault="0040710E">
                            <w:pPr>
                              <w:jc w:val="right"/>
                              <w:textDirection w:val="btLr"/>
                            </w:pPr>
                          </w:p>
                          <w:p w14:paraId="7928DBEB" w14:textId="77777777" w:rsidR="0040710E" w:rsidRDefault="00000000">
                            <w:pPr>
                              <w:jc w:val="center"/>
                              <w:textDirection w:val="btLr"/>
                            </w:pPr>
                            <w:r>
                              <w:rPr>
                                <w:rFonts w:ascii="Arial" w:eastAsia="Arial" w:hAnsi="Arial" w:cs="Arial"/>
                                <w:b/>
                                <w:color w:val="000000"/>
                              </w:rPr>
                              <w:t xml:space="preserve"> </w:t>
                            </w:r>
                          </w:p>
                          <w:p w14:paraId="2F89BBEF" w14:textId="77777777" w:rsidR="0040710E" w:rsidRDefault="0040710E">
                            <w:pPr>
                              <w:textDirection w:val="btLr"/>
                            </w:pPr>
                          </w:p>
                          <w:p w14:paraId="51FB9983" w14:textId="77777777" w:rsidR="0040710E" w:rsidRDefault="0040710E">
                            <w:pPr>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19C582D6" wp14:editId="493915B2">
                  <wp:simplePos x="0" y="0"/>
                  <wp:positionH relativeFrom="column">
                    <wp:posOffset>130175</wp:posOffset>
                  </wp:positionH>
                  <wp:positionV relativeFrom="paragraph">
                    <wp:posOffset>137795</wp:posOffset>
                  </wp:positionV>
                  <wp:extent cx="571500" cy="4572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71500" cy="457200"/>
                          </a:xfrm>
                          <a:prstGeom prst="rect">
                            <a:avLst/>
                          </a:prstGeom>
                          <a:ln/>
                        </pic:spPr>
                      </pic:pic>
                    </a:graphicData>
                  </a:graphic>
                </wp:anchor>
              </w:drawing>
            </w:r>
          </w:p>
          <w:p w14:paraId="38F935DF" w14:textId="77777777" w:rsidR="0040710E" w:rsidRDefault="0040710E">
            <w:pPr>
              <w:ind w:left="86"/>
            </w:pPr>
          </w:p>
        </w:tc>
      </w:tr>
      <w:tr w:rsidR="0040710E" w14:paraId="02E3A269" w14:textId="77777777">
        <w:trPr>
          <w:cantSplit/>
          <w:trHeight w:val="348"/>
        </w:trPr>
        <w:tc>
          <w:tcPr>
            <w:tcW w:w="496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D49FD93" w14:textId="77777777" w:rsidR="0040710E" w:rsidRDefault="00000000">
            <w:p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i/>
                <w:color w:val="000000"/>
                <w:sz w:val="22"/>
                <w:szCs w:val="22"/>
              </w:rPr>
              <w:t>Name of submitter</w:t>
            </w:r>
          </w:p>
        </w:tc>
        <w:tc>
          <w:tcPr>
            <w:tcW w:w="4961" w:type="dxa"/>
            <w:tcBorders>
              <w:top w:val="single" w:sz="4" w:space="0" w:color="000000"/>
              <w:bottom w:val="single" w:sz="4" w:space="0" w:color="000000"/>
              <w:right w:val="single" w:sz="4" w:space="0" w:color="000000"/>
            </w:tcBorders>
          </w:tcPr>
          <w:p w14:paraId="3A91B543" w14:textId="77777777" w:rsidR="0040710E" w:rsidRDefault="00000000">
            <w:pPr>
              <w:spacing w:before="120"/>
              <w:ind w:left="227"/>
              <w:rPr>
                <w:color w:val="0000FF"/>
                <w:sz w:val="22"/>
                <w:szCs w:val="22"/>
              </w:rPr>
            </w:pPr>
            <w:r>
              <w:rPr>
                <w:color w:val="0000FF"/>
                <w:sz w:val="22"/>
                <w:szCs w:val="22"/>
              </w:rPr>
              <w:t>Annelise Gill-Wiehl</w:t>
            </w:r>
          </w:p>
        </w:tc>
      </w:tr>
      <w:tr w:rsidR="0040710E" w14:paraId="108DE4ED" w14:textId="77777777">
        <w:trPr>
          <w:cantSplit/>
          <w:trHeight w:val="348"/>
        </w:trPr>
        <w:tc>
          <w:tcPr>
            <w:tcW w:w="496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71DA4C2A" w14:textId="77777777" w:rsidR="0040710E" w:rsidRDefault="00000000">
            <w:p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i/>
                <w:color w:val="000000"/>
                <w:sz w:val="22"/>
                <w:szCs w:val="22"/>
              </w:rPr>
              <w:t>Affiliated organization of submitter (if any)</w:t>
            </w:r>
          </w:p>
        </w:tc>
        <w:tc>
          <w:tcPr>
            <w:tcW w:w="4961" w:type="dxa"/>
            <w:tcBorders>
              <w:top w:val="single" w:sz="4" w:space="0" w:color="000000"/>
              <w:bottom w:val="single" w:sz="4" w:space="0" w:color="000000"/>
              <w:right w:val="single" w:sz="4" w:space="0" w:color="000000"/>
            </w:tcBorders>
          </w:tcPr>
          <w:p w14:paraId="5EA8E60A" w14:textId="77777777" w:rsidR="0040710E" w:rsidRDefault="00000000">
            <w:pPr>
              <w:spacing w:before="120"/>
              <w:ind w:left="227"/>
              <w:rPr>
                <w:color w:val="0000FF"/>
                <w:sz w:val="22"/>
                <w:szCs w:val="22"/>
              </w:rPr>
            </w:pPr>
            <w:r>
              <w:rPr>
                <w:color w:val="0000FF"/>
                <w:sz w:val="22"/>
                <w:szCs w:val="22"/>
              </w:rPr>
              <w:t xml:space="preserve">Columbia University </w:t>
            </w:r>
          </w:p>
        </w:tc>
      </w:tr>
      <w:tr w:rsidR="0040710E" w14:paraId="0A61A213" w14:textId="77777777">
        <w:trPr>
          <w:cantSplit/>
          <w:trHeight w:val="348"/>
        </w:trPr>
        <w:tc>
          <w:tcPr>
            <w:tcW w:w="496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2E942307" w14:textId="77777777" w:rsidR="0040710E" w:rsidRDefault="00000000">
            <w:p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i/>
                <w:color w:val="000000"/>
                <w:sz w:val="22"/>
                <w:szCs w:val="22"/>
              </w:rPr>
              <w:t>Email of submitter</w:t>
            </w:r>
          </w:p>
        </w:tc>
        <w:tc>
          <w:tcPr>
            <w:tcW w:w="4961" w:type="dxa"/>
            <w:tcBorders>
              <w:top w:val="single" w:sz="4" w:space="0" w:color="000000"/>
              <w:bottom w:val="single" w:sz="4" w:space="0" w:color="000000"/>
              <w:right w:val="single" w:sz="4" w:space="0" w:color="000000"/>
            </w:tcBorders>
          </w:tcPr>
          <w:p w14:paraId="04108F99" w14:textId="77777777" w:rsidR="0040710E" w:rsidRDefault="00000000">
            <w:pPr>
              <w:spacing w:before="120"/>
              <w:ind w:left="227"/>
              <w:rPr>
                <w:color w:val="0000FF"/>
                <w:sz w:val="22"/>
                <w:szCs w:val="22"/>
              </w:rPr>
            </w:pPr>
            <w:r>
              <w:rPr>
                <w:color w:val="0000FF"/>
                <w:sz w:val="22"/>
                <w:szCs w:val="22"/>
              </w:rPr>
              <w:t>Ag5050@cumc.columbia.edu</w:t>
            </w:r>
          </w:p>
        </w:tc>
      </w:tr>
      <w:tr w:rsidR="0040710E" w14:paraId="7651EA65" w14:textId="77777777">
        <w:trPr>
          <w:cantSplit/>
          <w:trHeight w:val="348"/>
        </w:trPr>
        <w:tc>
          <w:tcPr>
            <w:tcW w:w="4962"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E935CF0" w14:textId="77777777" w:rsidR="0040710E" w:rsidRDefault="00000000">
            <w:p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i/>
                <w:color w:val="000000"/>
                <w:sz w:val="22"/>
                <w:szCs w:val="22"/>
              </w:rPr>
              <w:t xml:space="preserve">Reference number of proposed new methodology or methodological tool </w:t>
            </w:r>
          </w:p>
        </w:tc>
        <w:tc>
          <w:tcPr>
            <w:tcW w:w="4961" w:type="dxa"/>
            <w:tcBorders>
              <w:top w:val="single" w:sz="4" w:space="0" w:color="000000"/>
              <w:bottom w:val="single" w:sz="4" w:space="0" w:color="000000"/>
              <w:right w:val="single" w:sz="4" w:space="0" w:color="000000"/>
            </w:tcBorders>
          </w:tcPr>
          <w:p w14:paraId="56613934" w14:textId="77777777" w:rsidR="0040710E" w:rsidRDefault="00000000">
            <w:pPr>
              <w:spacing w:before="120"/>
              <w:ind w:left="227"/>
              <w:rPr>
                <w:color w:val="0000FF"/>
                <w:sz w:val="22"/>
                <w:szCs w:val="22"/>
              </w:rPr>
            </w:pPr>
            <w:r>
              <w:rPr>
                <w:color w:val="0000FF"/>
                <w:sz w:val="22"/>
                <w:szCs w:val="22"/>
              </w:rPr>
              <w:t>A6.4-PNM004</w:t>
            </w:r>
          </w:p>
          <w:p w14:paraId="6ADC6DCF" w14:textId="77777777" w:rsidR="0040710E" w:rsidRDefault="0040710E">
            <w:pPr>
              <w:spacing w:before="120"/>
              <w:ind w:left="227"/>
              <w:rPr>
                <w:color w:val="0000FF"/>
                <w:sz w:val="22"/>
                <w:szCs w:val="22"/>
              </w:rPr>
            </w:pPr>
          </w:p>
          <w:p w14:paraId="256D89F3" w14:textId="77777777" w:rsidR="0040710E" w:rsidRDefault="00000000">
            <w:pPr>
              <w:spacing w:before="120"/>
              <w:ind w:left="227"/>
              <w:rPr>
                <w:color w:val="0000FF"/>
                <w:sz w:val="22"/>
                <w:szCs w:val="22"/>
              </w:rPr>
            </w:pPr>
            <w:r>
              <w:rPr>
                <w:color w:val="0000FF"/>
                <w:sz w:val="22"/>
                <w:szCs w:val="22"/>
              </w:rPr>
              <w:t>Please note all line numbers/section refer to the Appendix document with the CLEAR METHODOLOGY - REVISED MAY 2025</w:t>
            </w:r>
          </w:p>
        </w:tc>
      </w:tr>
      <w:tr w:rsidR="0040710E" w14:paraId="6068660D" w14:textId="77777777">
        <w:trPr>
          <w:cantSplit/>
        </w:trPr>
        <w:tc>
          <w:tcPr>
            <w:tcW w:w="9923" w:type="dxa"/>
            <w:gridSpan w:val="2"/>
            <w:tcBorders>
              <w:left w:val="single" w:sz="4" w:space="0" w:color="000000"/>
              <w:bottom w:val="single" w:sz="4" w:space="0" w:color="000000"/>
              <w:right w:val="single" w:sz="4" w:space="0" w:color="000000"/>
            </w:tcBorders>
            <w:shd w:val="clear" w:color="auto" w:fill="BFBFBF"/>
          </w:tcPr>
          <w:p w14:paraId="3F9A0A98" w14:textId="77777777" w:rsidR="0040710E" w:rsidRDefault="00000000">
            <w:pPr>
              <w:pBdr>
                <w:top w:val="nil"/>
                <w:left w:val="nil"/>
                <w:bottom w:val="nil"/>
                <w:right w:val="nil"/>
                <w:between w:val="nil"/>
              </w:pBdr>
              <w:spacing w:before="120"/>
              <w:rPr>
                <w:rFonts w:ascii="Arial" w:eastAsia="Arial" w:hAnsi="Arial" w:cs="Arial"/>
                <w:color w:val="000000"/>
                <w:sz w:val="22"/>
                <w:szCs w:val="22"/>
              </w:rPr>
            </w:pPr>
            <w:r>
              <w:rPr>
                <w:rFonts w:ascii="Arial" w:eastAsia="Arial" w:hAnsi="Arial" w:cs="Arial"/>
                <w:i/>
                <w:color w:val="000000"/>
                <w:sz w:val="22"/>
                <w:szCs w:val="22"/>
              </w:rPr>
              <w:t>Based on an assessment of information in the A6.4-FORM-METH-002 and its application in sections A to C of the submitted draft project design document (A6.4-FORM-AC-020), provide your comments to the proposed new methodology using the tabular format below.  Please indicate the sections or issues to which your comments refer to.</w:t>
            </w:r>
          </w:p>
          <w:p w14:paraId="13954442" w14:textId="77777777" w:rsidR="0040710E" w:rsidRDefault="0040710E">
            <w:pPr>
              <w:pBdr>
                <w:top w:val="nil"/>
                <w:left w:val="nil"/>
                <w:bottom w:val="nil"/>
                <w:right w:val="nil"/>
                <w:between w:val="nil"/>
              </w:pBdr>
              <w:spacing w:before="120"/>
              <w:rPr>
                <w:rFonts w:ascii="Arial" w:eastAsia="Arial" w:hAnsi="Arial" w:cs="Arial"/>
                <w:color w:val="000000"/>
              </w:rPr>
            </w:pPr>
          </w:p>
        </w:tc>
      </w:tr>
      <w:tr w:rsidR="0040710E" w14:paraId="66988CD9" w14:textId="77777777">
        <w:trPr>
          <w:cantSplit/>
        </w:trPr>
        <w:tc>
          <w:tcPr>
            <w:tcW w:w="4962" w:type="dxa"/>
            <w:tcBorders>
              <w:left w:val="single" w:sz="4" w:space="0" w:color="000000"/>
              <w:bottom w:val="single" w:sz="4" w:space="0" w:color="000000"/>
            </w:tcBorders>
            <w:shd w:val="clear" w:color="auto" w:fill="E0E0E0"/>
          </w:tcPr>
          <w:p w14:paraId="201FE4E7" w14:textId="77777777" w:rsidR="0040710E" w:rsidRDefault="00000000">
            <w:pPr>
              <w:spacing w:before="120" w:after="120"/>
              <w:rPr>
                <w:rFonts w:ascii="Arial" w:eastAsia="Arial" w:hAnsi="Arial" w:cs="Arial"/>
                <w:sz w:val="20"/>
                <w:szCs w:val="20"/>
              </w:rPr>
            </w:pPr>
            <w:r>
              <w:rPr>
                <w:rFonts w:ascii="Arial" w:eastAsia="Arial" w:hAnsi="Arial" w:cs="Arial"/>
                <w:i/>
                <w:sz w:val="22"/>
                <w:szCs w:val="22"/>
              </w:rPr>
              <w:t>Date received by the secretariat</w:t>
            </w:r>
          </w:p>
        </w:tc>
        <w:tc>
          <w:tcPr>
            <w:tcW w:w="4961" w:type="dxa"/>
            <w:tcBorders>
              <w:bottom w:val="single" w:sz="4" w:space="0" w:color="000000"/>
              <w:right w:val="single" w:sz="4" w:space="0" w:color="000000"/>
            </w:tcBorders>
          </w:tcPr>
          <w:p w14:paraId="029D4624" w14:textId="77777777" w:rsidR="0040710E" w:rsidRDefault="00000000">
            <w:pPr>
              <w:spacing w:before="60"/>
              <w:rPr>
                <w:rFonts w:ascii="Arial" w:eastAsia="Arial" w:hAnsi="Arial" w:cs="Arial"/>
                <w:sz w:val="20"/>
                <w:szCs w:val="20"/>
              </w:rPr>
            </w:pPr>
            <w:r>
              <w:rPr>
                <w:rFonts w:ascii="Arial" w:eastAsia="Arial" w:hAnsi="Arial" w:cs="Arial"/>
                <w:sz w:val="20"/>
                <w:szCs w:val="20"/>
              </w:rPr>
              <w:t>6 July 2025</w:t>
            </w:r>
          </w:p>
        </w:tc>
      </w:tr>
    </w:tbl>
    <w:p w14:paraId="05603C67" w14:textId="77777777" w:rsidR="0040710E" w:rsidRDefault="0040710E"/>
    <w:p w14:paraId="57F9DE2F" w14:textId="77777777" w:rsidR="0040710E" w:rsidRDefault="0040710E">
      <w:pPr>
        <w:sectPr w:rsidR="0040710E">
          <w:headerReference w:type="default" r:id="rId8"/>
          <w:footerReference w:type="default" r:id="rId9"/>
          <w:pgSz w:w="11907" w:h="16840"/>
          <w:pgMar w:top="1440" w:right="850" w:bottom="1276" w:left="1134" w:header="720" w:footer="720" w:gutter="0"/>
          <w:pgNumType w:start="1"/>
          <w:cols w:space="720"/>
        </w:sectPr>
      </w:pPr>
    </w:p>
    <w:p w14:paraId="27CD95B4" w14:textId="77777777" w:rsidR="0040710E" w:rsidRDefault="0040710E"/>
    <w:tbl>
      <w:tblPr>
        <w:tblStyle w:val="a0"/>
        <w:tblW w:w="14235" w:type="dxa"/>
        <w:jc w:val="righ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95"/>
        <w:gridCol w:w="1605"/>
        <w:gridCol w:w="1560"/>
        <w:gridCol w:w="5430"/>
        <w:gridCol w:w="4545"/>
      </w:tblGrid>
      <w:tr w:rsidR="0040710E" w14:paraId="33AB5AAE" w14:textId="77777777">
        <w:trPr>
          <w:cantSplit/>
          <w:tblHeader/>
          <w:jc w:val="right"/>
        </w:trPr>
        <w:tc>
          <w:tcPr>
            <w:tcW w:w="1095" w:type="dxa"/>
            <w:tcBorders>
              <w:top w:val="single" w:sz="6" w:space="0" w:color="000000"/>
              <w:left w:val="single" w:sz="6" w:space="0" w:color="000000"/>
              <w:bottom w:val="single" w:sz="6" w:space="0" w:color="000000"/>
              <w:right w:val="single" w:sz="6" w:space="0" w:color="000000"/>
            </w:tcBorders>
            <w:shd w:val="clear" w:color="auto" w:fill="E6E6E6"/>
          </w:tcPr>
          <w:p w14:paraId="14F4F20F" w14:textId="77777777" w:rsidR="0040710E" w:rsidRDefault="00000000">
            <w:pPr>
              <w:keepLines/>
              <w:spacing w:before="40" w:after="40"/>
              <w:jc w:val="center"/>
              <w:rPr>
                <w:rFonts w:ascii="Arial" w:eastAsia="Arial" w:hAnsi="Arial" w:cs="Arial"/>
                <w:sz w:val="20"/>
                <w:szCs w:val="20"/>
              </w:rPr>
            </w:pPr>
            <w:r>
              <w:rPr>
                <w:rFonts w:ascii="Arial" w:eastAsia="Arial" w:hAnsi="Arial" w:cs="Arial"/>
                <w:b/>
                <w:sz w:val="20"/>
                <w:szCs w:val="20"/>
              </w:rPr>
              <w:t>#</w:t>
            </w:r>
          </w:p>
          <w:p w14:paraId="13F6F0DC" w14:textId="77777777" w:rsidR="0040710E" w:rsidRDefault="0040710E">
            <w:pPr>
              <w:keepLines/>
              <w:spacing w:before="40" w:after="40"/>
              <w:rPr>
                <w:rFonts w:ascii="Arial" w:eastAsia="Arial" w:hAnsi="Arial" w:cs="Arial"/>
                <w:sz w:val="20"/>
                <w:szCs w:val="20"/>
              </w:rPr>
            </w:pPr>
          </w:p>
        </w:tc>
        <w:tc>
          <w:tcPr>
            <w:tcW w:w="1605" w:type="dxa"/>
            <w:tcBorders>
              <w:top w:val="single" w:sz="6" w:space="0" w:color="000000"/>
              <w:left w:val="single" w:sz="6" w:space="0" w:color="000000"/>
              <w:bottom w:val="single" w:sz="6" w:space="0" w:color="000000"/>
              <w:right w:val="single" w:sz="6" w:space="0" w:color="000000"/>
            </w:tcBorders>
            <w:shd w:val="clear" w:color="auto" w:fill="E6E6E6"/>
          </w:tcPr>
          <w:p w14:paraId="0382DF5F" w14:textId="77777777" w:rsidR="0040710E" w:rsidRDefault="00000000">
            <w:pPr>
              <w:keepLines/>
              <w:spacing w:before="40" w:after="40"/>
              <w:jc w:val="center"/>
              <w:rPr>
                <w:rFonts w:ascii="Arial" w:eastAsia="Arial" w:hAnsi="Arial" w:cs="Arial"/>
                <w:sz w:val="20"/>
                <w:szCs w:val="20"/>
              </w:rPr>
            </w:pPr>
            <w:r>
              <w:rPr>
                <w:rFonts w:ascii="Arial" w:eastAsia="Arial" w:hAnsi="Arial" w:cs="Arial"/>
                <w:b/>
                <w:sz w:val="20"/>
                <w:szCs w:val="20"/>
              </w:rPr>
              <w:t>Section / Para no./</w:t>
            </w:r>
            <w:r>
              <w:rPr>
                <w:rFonts w:ascii="Arial" w:eastAsia="Arial" w:hAnsi="Arial" w:cs="Arial"/>
                <w:b/>
                <w:sz w:val="20"/>
                <w:szCs w:val="20"/>
              </w:rPr>
              <w:br/>
              <w:t>Annex / Figure / Table</w:t>
            </w:r>
          </w:p>
        </w:tc>
        <w:tc>
          <w:tcPr>
            <w:tcW w:w="1560" w:type="dxa"/>
            <w:tcBorders>
              <w:top w:val="single" w:sz="6" w:space="0" w:color="000000"/>
              <w:left w:val="single" w:sz="6" w:space="0" w:color="000000"/>
              <w:bottom w:val="single" w:sz="6" w:space="0" w:color="000000"/>
              <w:right w:val="single" w:sz="6" w:space="0" w:color="000000"/>
            </w:tcBorders>
            <w:shd w:val="clear" w:color="auto" w:fill="E6E6E6"/>
          </w:tcPr>
          <w:p w14:paraId="4EC002DF" w14:textId="77777777" w:rsidR="0040710E" w:rsidRDefault="00000000">
            <w:pPr>
              <w:keepLines/>
              <w:spacing w:before="40" w:after="40"/>
              <w:jc w:val="center"/>
              <w:rPr>
                <w:rFonts w:ascii="Arial" w:eastAsia="Arial" w:hAnsi="Arial" w:cs="Arial"/>
                <w:sz w:val="20"/>
                <w:szCs w:val="20"/>
              </w:rPr>
            </w:pPr>
            <w:r>
              <w:rPr>
                <w:rFonts w:ascii="Arial" w:eastAsia="Arial" w:hAnsi="Arial" w:cs="Arial"/>
                <w:b/>
                <w:sz w:val="20"/>
                <w:szCs w:val="20"/>
              </w:rPr>
              <w:t>Type of comment</w:t>
            </w:r>
          </w:p>
          <w:p w14:paraId="373B0A2A" w14:textId="77777777" w:rsidR="0040710E" w:rsidRDefault="00000000">
            <w:pPr>
              <w:keepLines/>
              <w:spacing w:before="40" w:after="40"/>
              <w:rPr>
                <w:rFonts w:ascii="Arial" w:eastAsia="Arial" w:hAnsi="Arial" w:cs="Arial"/>
                <w:sz w:val="20"/>
                <w:szCs w:val="20"/>
              </w:rPr>
            </w:pPr>
            <w:proofErr w:type="spellStart"/>
            <w:r>
              <w:rPr>
                <w:rFonts w:ascii="Arial" w:eastAsia="Arial" w:hAnsi="Arial" w:cs="Arial"/>
                <w:b/>
                <w:sz w:val="20"/>
                <w:szCs w:val="20"/>
              </w:rPr>
              <w:t>ge</w:t>
            </w:r>
            <w:proofErr w:type="spellEnd"/>
            <w:r>
              <w:rPr>
                <w:rFonts w:ascii="Arial" w:eastAsia="Arial" w:hAnsi="Arial" w:cs="Arial"/>
                <w:sz w:val="20"/>
                <w:szCs w:val="20"/>
              </w:rPr>
              <w:t xml:space="preserve"> = general</w:t>
            </w:r>
          </w:p>
          <w:p w14:paraId="6F01CF56" w14:textId="77777777" w:rsidR="0040710E" w:rsidRDefault="00000000">
            <w:pPr>
              <w:keepLines/>
              <w:spacing w:before="40" w:after="40"/>
              <w:rPr>
                <w:rFonts w:ascii="Arial" w:eastAsia="Arial" w:hAnsi="Arial" w:cs="Arial"/>
                <w:sz w:val="20"/>
                <w:szCs w:val="20"/>
              </w:rPr>
            </w:pPr>
            <w:proofErr w:type="spellStart"/>
            <w:r>
              <w:rPr>
                <w:rFonts w:ascii="Arial" w:eastAsia="Arial" w:hAnsi="Arial" w:cs="Arial"/>
                <w:b/>
                <w:sz w:val="20"/>
                <w:szCs w:val="20"/>
              </w:rPr>
              <w:t>te</w:t>
            </w:r>
            <w:proofErr w:type="spellEnd"/>
            <w:r>
              <w:rPr>
                <w:rFonts w:ascii="Arial" w:eastAsia="Arial" w:hAnsi="Arial" w:cs="Arial"/>
                <w:sz w:val="20"/>
                <w:szCs w:val="20"/>
              </w:rPr>
              <w:t xml:space="preserve"> = technical </w:t>
            </w:r>
          </w:p>
          <w:p w14:paraId="337C0D87" w14:textId="77777777" w:rsidR="0040710E" w:rsidRDefault="00000000">
            <w:pPr>
              <w:keepLines/>
              <w:spacing w:before="40" w:after="40"/>
              <w:rPr>
                <w:rFonts w:ascii="Arial" w:eastAsia="Arial" w:hAnsi="Arial" w:cs="Arial"/>
                <w:sz w:val="20"/>
                <w:szCs w:val="20"/>
              </w:rPr>
            </w:pPr>
            <w:r>
              <w:rPr>
                <w:rFonts w:ascii="Arial" w:eastAsia="Arial" w:hAnsi="Arial" w:cs="Arial"/>
                <w:b/>
                <w:sz w:val="20"/>
                <w:szCs w:val="20"/>
              </w:rPr>
              <w:t>ed</w:t>
            </w:r>
            <w:r>
              <w:rPr>
                <w:rFonts w:ascii="Arial" w:eastAsia="Arial" w:hAnsi="Arial" w:cs="Arial"/>
                <w:sz w:val="20"/>
                <w:szCs w:val="20"/>
              </w:rPr>
              <w:t xml:space="preserve"> = editorial </w:t>
            </w:r>
          </w:p>
        </w:tc>
        <w:tc>
          <w:tcPr>
            <w:tcW w:w="5430" w:type="dxa"/>
            <w:tcBorders>
              <w:top w:val="single" w:sz="6" w:space="0" w:color="000000"/>
              <w:left w:val="single" w:sz="6" w:space="0" w:color="000000"/>
              <w:bottom w:val="single" w:sz="6" w:space="0" w:color="000000"/>
              <w:right w:val="single" w:sz="6" w:space="0" w:color="000000"/>
            </w:tcBorders>
            <w:shd w:val="clear" w:color="auto" w:fill="E6E6E6"/>
          </w:tcPr>
          <w:p w14:paraId="391FD47A" w14:textId="77777777" w:rsidR="0040710E" w:rsidRDefault="00000000">
            <w:pPr>
              <w:keepLines/>
              <w:spacing w:before="40" w:after="40"/>
              <w:jc w:val="center"/>
              <w:rPr>
                <w:rFonts w:ascii="Arial" w:eastAsia="Arial" w:hAnsi="Arial" w:cs="Arial"/>
                <w:sz w:val="20"/>
                <w:szCs w:val="20"/>
              </w:rPr>
            </w:pPr>
            <w:r>
              <w:rPr>
                <w:rFonts w:ascii="Arial" w:eastAsia="Arial" w:hAnsi="Arial" w:cs="Arial"/>
                <w:b/>
                <w:sz w:val="20"/>
                <w:szCs w:val="20"/>
              </w:rPr>
              <w:t xml:space="preserve">Comment </w:t>
            </w:r>
          </w:p>
          <w:p w14:paraId="15271D65" w14:textId="77777777" w:rsidR="0040710E" w:rsidRDefault="00000000">
            <w:pPr>
              <w:keepLines/>
              <w:spacing w:before="40" w:after="40"/>
              <w:jc w:val="center"/>
              <w:rPr>
                <w:rFonts w:ascii="Arial" w:eastAsia="Arial" w:hAnsi="Arial" w:cs="Arial"/>
                <w:sz w:val="20"/>
                <w:szCs w:val="20"/>
              </w:rPr>
            </w:pPr>
            <w:r>
              <w:rPr>
                <w:rFonts w:ascii="Arial" w:eastAsia="Arial" w:hAnsi="Arial" w:cs="Arial"/>
                <w:b/>
                <w:sz w:val="20"/>
                <w:szCs w:val="20"/>
              </w:rPr>
              <w:t>(including justification for change)</w:t>
            </w:r>
          </w:p>
        </w:tc>
        <w:tc>
          <w:tcPr>
            <w:tcW w:w="4545" w:type="dxa"/>
            <w:tcBorders>
              <w:top w:val="single" w:sz="6" w:space="0" w:color="000000"/>
              <w:left w:val="single" w:sz="6" w:space="0" w:color="000000"/>
              <w:bottom w:val="single" w:sz="6" w:space="0" w:color="000000"/>
              <w:right w:val="single" w:sz="6" w:space="0" w:color="000000"/>
            </w:tcBorders>
            <w:shd w:val="clear" w:color="auto" w:fill="E6E6E6"/>
          </w:tcPr>
          <w:p w14:paraId="189F73B3" w14:textId="77777777" w:rsidR="0040710E" w:rsidRDefault="00000000">
            <w:pPr>
              <w:keepLines/>
              <w:spacing w:before="40" w:after="40"/>
              <w:jc w:val="center"/>
              <w:rPr>
                <w:rFonts w:ascii="Arial" w:eastAsia="Arial" w:hAnsi="Arial" w:cs="Arial"/>
                <w:sz w:val="20"/>
                <w:szCs w:val="20"/>
              </w:rPr>
            </w:pPr>
            <w:r>
              <w:rPr>
                <w:rFonts w:ascii="Arial" w:eastAsia="Arial" w:hAnsi="Arial" w:cs="Arial"/>
                <w:b/>
                <w:sz w:val="20"/>
                <w:szCs w:val="20"/>
              </w:rPr>
              <w:t xml:space="preserve">Proposed change </w:t>
            </w:r>
          </w:p>
          <w:p w14:paraId="382662DC" w14:textId="77777777" w:rsidR="0040710E" w:rsidRDefault="00000000">
            <w:pPr>
              <w:keepLines/>
              <w:spacing w:before="40" w:after="40"/>
              <w:jc w:val="center"/>
              <w:rPr>
                <w:rFonts w:ascii="Arial" w:eastAsia="Arial" w:hAnsi="Arial" w:cs="Arial"/>
                <w:sz w:val="20"/>
                <w:szCs w:val="20"/>
              </w:rPr>
            </w:pPr>
            <w:r>
              <w:rPr>
                <w:rFonts w:ascii="Arial" w:eastAsia="Arial" w:hAnsi="Arial" w:cs="Arial"/>
                <w:b/>
                <w:sz w:val="20"/>
                <w:szCs w:val="20"/>
              </w:rPr>
              <w:t>(including proposed text)</w:t>
            </w:r>
          </w:p>
        </w:tc>
      </w:tr>
      <w:tr w:rsidR="00BA4589" w14:paraId="6EB75518"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0E98CB11" w14:textId="055C452D" w:rsidR="00BA4589" w:rsidRDefault="00BA4589">
            <w:pPr>
              <w:keepLines/>
              <w:spacing w:before="40" w:after="40"/>
              <w:jc w:val="center"/>
              <w:rPr>
                <w:rFonts w:ascii="Arial" w:eastAsia="Arial" w:hAnsi="Arial" w:cs="Arial"/>
                <w:sz w:val="20"/>
                <w:szCs w:val="20"/>
              </w:rPr>
            </w:pPr>
            <w:r>
              <w:rPr>
                <w:rFonts w:ascii="Arial" w:eastAsia="Arial" w:hAnsi="Arial" w:cs="Arial"/>
                <w:sz w:val="20"/>
                <w:szCs w:val="20"/>
              </w:rPr>
              <w:t>N/A</w:t>
            </w:r>
          </w:p>
        </w:tc>
        <w:tc>
          <w:tcPr>
            <w:tcW w:w="1605" w:type="dxa"/>
            <w:tcBorders>
              <w:top w:val="single" w:sz="6" w:space="0" w:color="000000"/>
              <w:left w:val="single" w:sz="6" w:space="0" w:color="000000"/>
              <w:bottom w:val="single" w:sz="6" w:space="0" w:color="000000"/>
              <w:right w:val="single" w:sz="6" w:space="0" w:color="000000"/>
            </w:tcBorders>
          </w:tcPr>
          <w:p w14:paraId="16B2F178" w14:textId="634FAB6A" w:rsidR="00BA4589" w:rsidRDefault="00BA4589">
            <w:pPr>
              <w:keepLines/>
              <w:spacing w:before="40" w:after="40"/>
              <w:jc w:val="center"/>
              <w:rPr>
                <w:rFonts w:ascii="Arial" w:eastAsia="Arial" w:hAnsi="Arial" w:cs="Arial"/>
                <w:sz w:val="20"/>
                <w:szCs w:val="20"/>
              </w:rPr>
            </w:pPr>
            <w:r>
              <w:rPr>
                <w:rFonts w:ascii="Arial" w:eastAsia="Arial" w:hAnsi="Arial" w:cs="Arial"/>
                <w:sz w:val="20"/>
                <w:szCs w:val="20"/>
              </w:rPr>
              <w:t>N/A</w:t>
            </w:r>
          </w:p>
        </w:tc>
        <w:tc>
          <w:tcPr>
            <w:tcW w:w="1560" w:type="dxa"/>
            <w:tcBorders>
              <w:top w:val="single" w:sz="6" w:space="0" w:color="000000"/>
              <w:left w:val="single" w:sz="6" w:space="0" w:color="000000"/>
              <w:bottom w:val="single" w:sz="6" w:space="0" w:color="000000"/>
              <w:right w:val="single" w:sz="6" w:space="0" w:color="000000"/>
            </w:tcBorders>
          </w:tcPr>
          <w:p w14:paraId="69E63519" w14:textId="795F0DD5" w:rsidR="00BA4589" w:rsidRDefault="00BA4589">
            <w:pPr>
              <w:keepLines/>
              <w:spacing w:before="40" w:after="40"/>
              <w:jc w:val="center"/>
              <w:rPr>
                <w:rFonts w:ascii="Arial" w:eastAsia="Arial" w:hAnsi="Arial" w:cs="Arial"/>
                <w:sz w:val="20"/>
                <w:szCs w:val="20"/>
              </w:rPr>
            </w:pPr>
            <w:proofErr w:type="spellStart"/>
            <w:r>
              <w:rPr>
                <w:rFonts w:ascii="Arial" w:eastAsia="Arial" w:hAnsi="Arial" w:cs="Arial"/>
                <w:sz w:val="20"/>
                <w:szCs w:val="20"/>
              </w:rPr>
              <w:t>ge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75CD830A" w14:textId="77777777" w:rsidR="00BA4589" w:rsidRPr="00BA4589" w:rsidRDefault="00BA4589" w:rsidP="00BA4589">
            <w:pPr>
              <w:keepLines/>
              <w:spacing w:before="40" w:after="40"/>
              <w:rPr>
                <w:rFonts w:ascii="Arial" w:eastAsia="Arial" w:hAnsi="Arial" w:cs="Arial"/>
                <w:sz w:val="20"/>
                <w:szCs w:val="20"/>
                <w:lang w:val="en-US"/>
              </w:rPr>
            </w:pPr>
            <w:r w:rsidRPr="00BA4589">
              <w:rPr>
                <w:rFonts w:ascii="Arial" w:eastAsia="Arial" w:hAnsi="Arial" w:cs="Arial"/>
                <w:sz w:val="20"/>
                <w:szCs w:val="20"/>
                <w:lang w:val="en-US"/>
              </w:rPr>
              <w:t>I applaud the robust steps this methodology takes to ensure high-quality cookstove credits that both the market and buyers can trust. The rigor on display is truly encouraging, and I recognize the many hours of work invested in its development. Below, I share my remaining comments, followed by areas that need no changes but deserve special acknowledgment for their noteworthy advancements.</w:t>
            </w:r>
          </w:p>
          <w:p w14:paraId="3F8FFC3D" w14:textId="4FF04A75" w:rsidR="00BA4589" w:rsidRDefault="00BA4589">
            <w:pPr>
              <w:keepLines/>
              <w:spacing w:before="40" w:after="40"/>
              <w:rPr>
                <w:rFonts w:ascii="Arial" w:eastAsia="Arial" w:hAnsi="Arial" w:cs="Arial"/>
                <w:sz w:val="20"/>
                <w:szCs w:val="20"/>
              </w:rPr>
            </w:pPr>
          </w:p>
        </w:tc>
        <w:tc>
          <w:tcPr>
            <w:tcW w:w="4545" w:type="dxa"/>
            <w:tcBorders>
              <w:top w:val="single" w:sz="6" w:space="0" w:color="000000"/>
              <w:left w:val="single" w:sz="6" w:space="0" w:color="000000"/>
              <w:bottom w:val="single" w:sz="6" w:space="0" w:color="000000"/>
              <w:right w:val="single" w:sz="6" w:space="0" w:color="000000"/>
            </w:tcBorders>
          </w:tcPr>
          <w:p w14:paraId="11CC892E" w14:textId="77777777" w:rsidR="00BA4589" w:rsidRDefault="00BA4589">
            <w:pPr>
              <w:keepLines/>
              <w:spacing w:before="40" w:after="40"/>
              <w:rPr>
                <w:rFonts w:ascii="Arial" w:eastAsia="Arial" w:hAnsi="Arial" w:cs="Arial"/>
                <w:sz w:val="20"/>
                <w:szCs w:val="20"/>
              </w:rPr>
            </w:pPr>
          </w:p>
        </w:tc>
      </w:tr>
      <w:tr w:rsidR="0040710E" w14:paraId="5E1D9AEE"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4FC286FF"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737</w:t>
            </w:r>
          </w:p>
        </w:tc>
        <w:tc>
          <w:tcPr>
            <w:tcW w:w="1605" w:type="dxa"/>
            <w:tcBorders>
              <w:top w:val="single" w:sz="6" w:space="0" w:color="000000"/>
              <w:left w:val="single" w:sz="6" w:space="0" w:color="000000"/>
              <w:bottom w:val="single" w:sz="6" w:space="0" w:color="000000"/>
              <w:right w:val="single" w:sz="6" w:space="0" w:color="000000"/>
            </w:tcBorders>
          </w:tcPr>
          <w:p w14:paraId="74C1D0E8"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Equation 4</w:t>
            </w:r>
          </w:p>
        </w:tc>
        <w:tc>
          <w:tcPr>
            <w:tcW w:w="1560" w:type="dxa"/>
            <w:tcBorders>
              <w:top w:val="single" w:sz="6" w:space="0" w:color="000000"/>
              <w:left w:val="single" w:sz="6" w:space="0" w:color="000000"/>
              <w:bottom w:val="single" w:sz="6" w:space="0" w:color="000000"/>
              <w:right w:val="single" w:sz="6" w:space="0" w:color="000000"/>
            </w:tcBorders>
          </w:tcPr>
          <w:p w14:paraId="4A78402D"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te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0242EDC5" w14:textId="5B073D40"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Rebound for back-calculated metered projects – The back-calculation accounts for stacking but doesn’t protect against rebound. Until more peer-reviewed research, </w:t>
            </w:r>
            <w:r w:rsidR="00AA223E">
              <w:rPr>
                <w:rFonts w:ascii="Arial" w:eastAsia="Arial" w:hAnsi="Arial" w:cs="Arial"/>
                <w:sz w:val="20"/>
                <w:szCs w:val="20"/>
              </w:rPr>
              <w:t xml:space="preserve">Gill-Wiehl et al. 2024 </w:t>
            </w:r>
            <w:r>
              <w:rPr>
                <w:rFonts w:ascii="Arial" w:eastAsia="Arial" w:hAnsi="Arial" w:cs="Arial"/>
                <w:sz w:val="20"/>
                <w:szCs w:val="20"/>
              </w:rPr>
              <w:t>recommend</w:t>
            </w:r>
            <w:r w:rsidR="00AA223E">
              <w:rPr>
                <w:rFonts w:ascii="Arial" w:eastAsia="Arial" w:hAnsi="Arial" w:cs="Arial"/>
                <w:sz w:val="20"/>
                <w:szCs w:val="20"/>
              </w:rPr>
              <w:t>s</w:t>
            </w:r>
            <w:r>
              <w:rPr>
                <w:rFonts w:ascii="Arial" w:eastAsia="Arial" w:hAnsi="Arial" w:cs="Arial"/>
                <w:sz w:val="20"/>
                <w:szCs w:val="20"/>
              </w:rPr>
              <w:t xml:space="preserve"> a 22% discount for rebound in this case. </w:t>
            </w:r>
          </w:p>
          <w:p w14:paraId="5CA855DD" w14:textId="77777777" w:rsidR="0040710E" w:rsidRDefault="0040710E">
            <w:pPr>
              <w:keepLines/>
              <w:spacing w:before="40" w:after="40"/>
              <w:rPr>
                <w:rFonts w:ascii="Arial" w:eastAsia="Arial" w:hAnsi="Arial" w:cs="Arial"/>
                <w:sz w:val="20"/>
                <w:szCs w:val="20"/>
              </w:rPr>
            </w:pPr>
          </w:p>
          <w:p w14:paraId="40F2DB13" w14:textId="679B2869" w:rsidR="0040710E" w:rsidRDefault="00000000">
            <w:pPr>
              <w:keepLines/>
              <w:spacing w:before="40" w:after="40"/>
              <w:rPr>
                <w:rFonts w:ascii="Arial" w:eastAsia="Arial" w:hAnsi="Arial" w:cs="Arial"/>
                <w:sz w:val="20"/>
                <w:szCs w:val="20"/>
              </w:rPr>
            </w:pPr>
            <w:r>
              <w:rPr>
                <w:rFonts w:ascii="Arial" w:eastAsia="Arial" w:hAnsi="Arial" w:cs="Arial"/>
                <w:sz w:val="20"/>
                <w:szCs w:val="20"/>
              </w:rPr>
              <w:t>Projects correcting for suppressed demand should be rewarded through SDG</w:t>
            </w:r>
            <w:r w:rsidR="00AA223E">
              <w:rPr>
                <w:rFonts w:ascii="Arial" w:eastAsia="Arial" w:hAnsi="Arial" w:cs="Arial"/>
                <w:sz w:val="20"/>
                <w:szCs w:val="20"/>
              </w:rPr>
              <w:t xml:space="preserve"> contributions attached to their credits</w:t>
            </w:r>
            <w:r>
              <w:rPr>
                <w:rFonts w:ascii="Arial" w:eastAsia="Arial" w:hAnsi="Arial" w:cs="Arial"/>
                <w:sz w:val="20"/>
                <w:szCs w:val="20"/>
              </w:rPr>
              <w:t xml:space="preserve"> or high prices from buyers for helping with suppressed demand, but the carbon accounting shouldn’t be altered to accommodate it. I’d be open to an exception for suppressed demand if the baseline is very low. </w:t>
            </w:r>
          </w:p>
          <w:p w14:paraId="3FCB45F0" w14:textId="77777777" w:rsidR="0040710E" w:rsidRDefault="0040710E">
            <w:pPr>
              <w:keepLines/>
              <w:spacing w:before="40" w:after="40"/>
              <w:rPr>
                <w:rFonts w:ascii="Arial" w:eastAsia="Arial" w:hAnsi="Arial" w:cs="Arial"/>
                <w:sz w:val="20"/>
                <w:szCs w:val="20"/>
              </w:rPr>
            </w:pPr>
          </w:p>
        </w:tc>
        <w:tc>
          <w:tcPr>
            <w:tcW w:w="4545" w:type="dxa"/>
            <w:tcBorders>
              <w:top w:val="single" w:sz="6" w:space="0" w:color="000000"/>
              <w:left w:val="single" w:sz="6" w:space="0" w:color="000000"/>
              <w:bottom w:val="single" w:sz="6" w:space="0" w:color="000000"/>
              <w:right w:val="single" w:sz="6" w:space="0" w:color="000000"/>
            </w:tcBorders>
          </w:tcPr>
          <w:p w14:paraId="7446E073" w14:textId="1F20EB7C"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Require a rebound deduction for projects that select this option. Implement an exception for suppressed demand. </w:t>
            </w:r>
            <w:r w:rsidR="00AA223E">
              <w:rPr>
                <w:rFonts w:ascii="Arial" w:eastAsia="Arial" w:hAnsi="Arial" w:cs="Arial"/>
                <w:sz w:val="20"/>
                <w:szCs w:val="20"/>
              </w:rPr>
              <w:t>Perhaps, if</w:t>
            </w:r>
            <w:r>
              <w:rPr>
                <w:rFonts w:ascii="Arial" w:eastAsia="Arial" w:hAnsi="Arial" w:cs="Arial"/>
                <w:sz w:val="20"/>
                <w:szCs w:val="20"/>
              </w:rPr>
              <w:t xml:space="preserve"> the baseline fuel is lower or equal to the global default (that I suggest lowering for firewood), then this rebound correction is excused. </w:t>
            </w:r>
          </w:p>
        </w:tc>
      </w:tr>
      <w:tr w:rsidR="0040710E" w14:paraId="061DF481"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30CD7FBE"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756</w:t>
            </w:r>
          </w:p>
        </w:tc>
        <w:tc>
          <w:tcPr>
            <w:tcW w:w="1605" w:type="dxa"/>
            <w:tcBorders>
              <w:top w:val="single" w:sz="6" w:space="0" w:color="000000"/>
              <w:left w:val="single" w:sz="6" w:space="0" w:color="000000"/>
              <w:bottom w:val="single" w:sz="6" w:space="0" w:color="000000"/>
              <w:right w:val="single" w:sz="6" w:space="0" w:color="000000"/>
            </w:tcBorders>
          </w:tcPr>
          <w:p w14:paraId="56AA6959"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 xml:space="preserve">Description of Equation 5 </w:t>
            </w:r>
          </w:p>
        </w:tc>
        <w:tc>
          <w:tcPr>
            <w:tcW w:w="1560" w:type="dxa"/>
            <w:tcBorders>
              <w:top w:val="single" w:sz="6" w:space="0" w:color="000000"/>
              <w:left w:val="single" w:sz="6" w:space="0" w:color="000000"/>
              <w:bottom w:val="single" w:sz="6" w:space="0" w:color="000000"/>
              <w:right w:val="single" w:sz="6" w:space="0" w:color="000000"/>
            </w:tcBorders>
          </w:tcPr>
          <w:p w14:paraId="6298668D"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ed</w:t>
            </w:r>
          </w:p>
        </w:tc>
        <w:tc>
          <w:tcPr>
            <w:tcW w:w="5430" w:type="dxa"/>
            <w:tcBorders>
              <w:top w:val="single" w:sz="6" w:space="0" w:color="000000"/>
              <w:left w:val="single" w:sz="6" w:space="0" w:color="000000"/>
              <w:bottom w:val="single" w:sz="6" w:space="0" w:color="000000"/>
              <w:right w:val="single" w:sz="6" w:space="0" w:color="000000"/>
            </w:tcBorders>
          </w:tcPr>
          <w:p w14:paraId="0BA32CA8"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Error in the equation reference </w:t>
            </w:r>
          </w:p>
        </w:tc>
        <w:tc>
          <w:tcPr>
            <w:tcW w:w="4545" w:type="dxa"/>
            <w:tcBorders>
              <w:top w:val="single" w:sz="6" w:space="0" w:color="000000"/>
              <w:left w:val="single" w:sz="6" w:space="0" w:color="000000"/>
              <w:bottom w:val="single" w:sz="6" w:space="0" w:color="000000"/>
              <w:right w:val="single" w:sz="6" w:space="0" w:color="000000"/>
            </w:tcBorders>
          </w:tcPr>
          <w:p w14:paraId="0DF4DF0F" w14:textId="77777777" w:rsidR="0040710E" w:rsidRDefault="0040710E">
            <w:pPr>
              <w:keepLines/>
              <w:spacing w:before="40" w:after="40"/>
              <w:rPr>
                <w:rFonts w:ascii="Arial" w:eastAsia="Arial" w:hAnsi="Arial" w:cs="Arial"/>
                <w:sz w:val="20"/>
                <w:szCs w:val="20"/>
              </w:rPr>
            </w:pPr>
          </w:p>
        </w:tc>
      </w:tr>
      <w:tr w:rsidR="0040710E" w14:paraId="2477CD63"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4639B93A"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lastRenderedPageBreak/>
              <w:t>462</w:t>
            </w:r>
          </w:p>
        </w:tc>
        <w:tc>
          <w:tcPr>
            <w:tcW w:w="1605" w:type="dxa"/>
            <w:tcBorders>
              <w:top w:val="single" w:sz="6" w:space="0" w:color="000000"/>
              <w:left w:val="single" w:sz="6" w:space="0" w:color="000000"/>
              <w:bottom w:val="single" w:sz="6" w:space="0" w:color="000000"/>
              <w:right w:val="single" w:sz="6" w:space="0" w:color="000000"/>
            </w:tcBorders>
          </w:tcPr>
          <w:p w14:paraId="2F83C109"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Section 7: Project Boundary</w:t>
            </w:r>
          </w:p>
        </w:tc>
        <w:tc>
          <w:tcPr>
            <w:tcW w:w="1560" w:type="dxa"/>
            <w:tcBorders>
              <w:top w:val="single" w:sz="6" w:space="0" w:color="000000"/>
              <w:left w:val="single" w:sz="6" w:space="0" w:color="000000"/>
              <w:bottom w:val="single" w:sz="6" w:space="0" w:color="000000"/>
              <w:right w:val="single" w:sz="6" w:space="0" w:color="000000"/>
            </w:tcBorders>
          </w:tcPr>
          <w:p w14:paraId="6C913D60"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te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1AEC742E" w14:textId="77777777" w:rsidR="0040710E" w:rsidRDefault="00000000">
            <w:pPr>
              <w:widowControl w:val="0"/>
              <w:rPr>
                <w:rFonts w:ascii="Arial" w:eastAsia="Arial" w:hAnsi="Arial" w:cs="Arial"/>
                <w:sz w:val="20"/>
                <w:szCs w:val="20"/>
              </w:rPr>
            </w:pPr>
            <w:r>
              <w:rPr>
                <w:rFonts w:ascii="Arial" w:eastAsia="Arial" w:hAnsi="Arial" w:cs="Arial"/>
                <w:sz w:val="20"/>
                <w:szCs w:val="20"/>
              </w:rPr>
              <w:t>There is no guidance on how to define project scope/where projects are concentrated. Without guidance here it is unclear if it should be where the project hopes to expand in the crediting period or where it currently is operating. For example, plenty of current projects operate in Nairobi, yet define their project scope at the national level (all of Kenya). Further, should that guidance change depending on the fuel? That is, should charcoal projects use a national value if the charcoal is sourced from other areas or use the specific value for the area it is sourced from (harder to establish of course)? Our guidance evolved after the paper came out to recommend that charcoal projects use the national value, while firewood projects should use the appropriate sub-national value. Further, I’d recommend it to be a weighted value based on the relative proportion of stoves in different sub-national areas if applicable.</w:t>
            </w:r>
          </w:p>
        </w:tc>
        <w:tc>
          <w:tcPr>
            <w:tcW w:w="4545" w:type="dxa"/>
            <w:tcBorders>
              <w:top w:val="single" w:sz="6" w:space="0" w:color="000000"/>
              <w:left w:val="single" w:sz="6" w:space="0" w:color="000000"/>
              <w:bottom w:val="single" w:sz="6" w:space="0" w:color="000000"/>
              <w:right w:val="single" w:sz="6" w:space="0" w:color="000000"/>
            </w:tcBorders>
          </w:tcPr>
          <w:p w14:paraId="7C31B630" w14:textId="77777777" w:rsidR="0040710E" w:rsidRDefault="00000000">
            <w:pPr>
              <w:widowControl w:val="0"/>
              <w:rPr>
                <w:rFonts w:ascii="Arial" w:eastAsia="Arial" w:hAnsi="Arial" w:cs="Arial"/>
                <w:sz w:val="20"/>
                <w:szCs w:val="20"/>
              </w:rPr>
            </w:pPr>
            <w:r>
              <w:rPr>
                <w:rFonts w:ascii="Arial" w:eastAsia="Arial" w:hAnsi="Arial" w:cs="Arial"/>
                <w:sz w:val="20"/>
                <w:szCs w:val="20"/>
              </w:rPr>
              <w:t xml:space="preserve">Require projects to establish the scope/boundary based on where stoves are currently </w:t>
            </w:r>
            <w:proofErr w:type="gramStart"/>
            <w:r>
              <w:rPr>
                <w:rFonts w:ascii="Arial" w:eastAsia="Arial" w:hAnsi="Arial" w:cs="Arial"/>
                <w:sz w:val="20"/>
                <w:szCs w:val="20"/>
              </w:rPr>
              <w:t>deployed</w:t>
            </w:r>
            <w:proofErr w:type="gramEnd"/>
            <w:r>
              <w:rPr>
                <w:rFonts w:ascii="Arial" w:eastAsia="Arial" w:hAnsi="Arial" w:cs="Arial"/>
                <w:sz w:val="20"/>
                <w:szCs w:val="20"/>
              </w:rPr>
              <w:t xml:space="preserve"> and they can update it with every monitoring period. </w:t>
            </w:r>
          </w:p>
          <w:p w14:paraId="1A275975" w14:textId="77777777" w:rsidR="0040710E" w:rsidRDefault="0040710E">
            <w:pPr>
              <w:widowControl w:val="0"/>
              <w:rPr>
                <w:rFonts w:ascii="Arial" w:eastAsia="Arial" w:hAnsi="Arial" w:cs="Arial"/>
                <w:sz w:val="20"/>
                <w:szCs w:val="20"/>
              </w:rPr>
            </w:pPr>
          </w:p>
          <w:p w14:paraId="729FA74E" w14:textId="77777777" w:rsidR="0040710E" w:rsidRDefault="00000000">
            <w:pPr>
              <w:widowControl w:val="0"/>
              <w:rPr>
                <w:rFonts w:ascii="Arial" w:eastAsia="Arial" w:hAnsi="Arial" w:cs="Arial"/>
                <w:sz w:val="20"/>
                <w:szCs w:val="20"/>
              </w:rPr>
            </w:pPr>
            <w:r>
              <w:rPr>
                <w:rFonts w:ascii="Arial" w:eastAsia="Arial" w:hAnsi="Arial" w:cs="Arial"/>
                <w:sz w:val="20"/>
                <w:szCs w:val="20"/>
              </w:rPr>
              <w:t xml:space="preserve">Require fNRB to be treated at the national level if the majority fuel is charcoal and at the lowest sub-national level if firewood. </w:t>
            </w:r>
          </w:p>
          <w:p w14:paraId="71E25850" w14:textId="77777777" w:rsidR="0040710E" w:rsidRDefault="0040710E">
            <w:pPr>
              <w:widowControl w:val="0"/>
              <w:rPr>
                <w:rFonts w:ascii="Arial" w:eastAsia="Arial" w:hAnsi="Arial" w:cs="Arial"/>
                <w:sz w:val="20"/>
                <w:szCs w:val="20"/>
              </w:rPr>
            </w:pPr>
          </w:p>
          <w:p w14:paraId="1362F45E" w14:textId="77777777" w:rsidR="0040710E" w:rsidRDefault="00000000">
            <w:pPr>
              <w:widowControl w:val="0"/>
              <w:rPr>
                <w:rFonts w:ascii="Arial" w:eastAsia="Arial" w:hAnsi="Arial" w:cs="Arial"/>
                <w:sz w:val="20"/>
                <w:szCs w:val="20"/>
              </w:rPr>
            </w:pPr>
            <w:r>
              <w:rPr>
                <w:rFonts w:ascii="Arial" w:eastAsia="Arial" w:hAnsi="Arial" w:cs="Arial"/>
                <w:sz w:val="20"/>
                <w:szCs w:val="20"/>
              </w:rPr>
              <w:t xml:space="preserve">Require projects to weight fNRB based on the breakdown of what districts/regions stoves are deployed. </w:t>
            </w:r>
          </w:p>
          <w:p w14:paraId="56458500" w14:textId="77777777" w:rsidR="0040710E" w:rsidRDefault="0040710E">
            <w:pPr>
              <w:widowControl w:val="0"/>
              <w:rPr>
                <w:rFonts w:ascii="Arial" w:eastAsia="Arial" w:hAnsi="Arial" w:cs="Arial"/>
                <w:sz w:val="20"/>
                <w:szCs w:val="20"/>
              </w:rPr>
            </w:pPr>
          </w:p>
          <w:p w14:paraId="440C3C72" w14:textId="77777777" w:rsidR="0040710E" w:rsidRDefault="0040710E">
            <w:pPr>
              <w:keepLines/>
              <w:spacing w:before="40" w:after="40"/>
              <w:rPr>
                <w:rFonts w:ascii="Arial" w:eastAsia="Arial" w:hAnsi="Arial" w:cs="Arial"/>
                <w:sz w:val="20"/>
                <w:szCs w:val="20"/>
              </w:rPr>
            </w:pPr>
          </w:p>
        </w:tc>
      </w:tr>
      <w:tr w:rsidR="0040710E" w14:paraId="0EA0059A"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230F1EFE" w14:textId="77777777" w:rsidR="0040710E" w:rsidRDefault="0040710E">
            <w:pPr>
              <w:keepLines/>
              <w:spacing w:before="40" w:after="40"/>
              <w:jc w:val="center"/>
              <w:rPr>
                <w:rFonts w:ascii="Arial" w:eastAsia="Arial" w:hAnsi="Arial" w:cs="Arial"/>
                <w:sz w:val="20"/>
                <w:szCs w:val="20"/>
              </w:rPr>
            </w:pPr>
          </w:p>
        </w:tc>
        <w:tc>
          <w:tcPr>
            <w:tcW w:w="1605" w:type="dxa"/>
            <w:tcBorders>
              <w:top w:val="single" w:sz="6" w:space="0" w:color="000000"/>
              <w:left w:val="single" w:sz="6" w:space="0" w:color="000000"/>
              <w:bottom w:val="single" w:sz="6" w:space="0" w:color="000000"/>
              <w:right w:val="single" w:sz="6" w:space="0" w:color="000000"/>
            </w:tcBorders>
          </w:tcPr>
          <w:p w14:paraId="1624A974" w14:textId="77777777" w:rsidR="0040710E" w:rsidRDefault="0040710E">
            <w:pPr>
              <w:keepLines/>
              <w:spacing w:before="40" w:after="40"/>
              <w:jc w:val="center"/>
              <w:rPr>
                <w:rFonts w:ascii="Arial" w:eastAsia="Arial" w:hAnsi="Arial" w:cs="Arial"/>
                <w:sz w:val="20"/>
                <w:szCs w:val="20"/>
              </w:rPr>
            </w:pPr>
          </w:p>
        </w:tc>
        <w:tc>
          <w:tcPr>
            <w:tcW w:w="1560" w:type="dxa"/>
            <w:tcBorders>
              <w:top w:val="single" w:sz="6" w:space="0" w:color="000000"/>
              <w:left w:val="single" w:sz="6" w:space="0" w:color="000000"/>
              <w:bottom w:val="single" w:sz="6" w:space="0" w:color="000000"/>
              <w:right w:val="single" w:sz="6" w:space="0" w:color="000000"/>
            </w:tcBorders>
          </w:tcPr>
          <w:p w14:paraId="17857CF1"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te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7716ED0F"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Usage cap – 75% and 90%; The customer support actions are insufficient to justify only a 10% cap. They do not require an in-person touch </w:t>
            </w:r>
            <w:proofErr w:type="gramStart"/>
            <w:r>
              <w:rPr>
                <w:rFonts w:ascii="Arial" w:eastAsia="Arial" w:hAnsi="Arial" w:cs="Arial"/>
                <w:sz w:val="20"/>
                <w:szCs w:val="20"/>
              </w:rPr>
              <w:t>points</w:t>
            </w:r>
            <w:proofErr w:type="gramEnd"/>
            <w:r>
              <w:rPr>
                <w:rFonts w:ascii="Arial" w:eastAsia="Arial" w:hAnsi="Arial" w:cs="Arial"/>
                <w:sz w:val="20"/>
                <w:szCs w:val="20"/>
              </w:rPr>
              <w:t xml:space="preserve">. The </w:t>
            </w:r>
            <w:proofErr w:type="spellStart"/>
            <w:r>
              <w:rPr>
                <w:rFonts w:ascii="Arial" w:eastAsia="Arial" w:hAnsi="Arial" w:cs="Arial"/>
                <w:sz w:val="20"/>
                <w:szCs w:val="20"/>
              </w:rPr>
              <w:t>worse case</w:t>
            </w:r>
            <w:proofErr w:type="spellEnd"/>
            <w:r>
              <w:rPr>
                <w:rFonts w:ascii="Arial" w:eastAsia="Arial" w:hAnsi="Arial" w:cs="Arial"/>
                <w:sz w:val="20"/>
                <w:szCs w:val="20"/>
              </w:rPr>
              <w:t xml:space="preserve"> of this is that a woman buys a stove in the market (where I’ve seen carbon credited stoves sold) and is handed a flyer with stove instructions and a phone number to call. Even if in the local language, many cooks, particularly older ones in rural areas are illiterate, and may only speak a tribal language rather than the more widely spoken local language (i.e., Twi or Swahili). Further, even a 75% cap is too generous. </w:t>
            </w:r>
          </w:p>
          <w:p w14:paraId="45914B8A" w14:textId="77777777" w:rsidR="0040710E" w:rsidRDefault="0040710E">
            <w:pPr>
              <w:keepLines/>
              <w:spacing w:before="40" w:after="40"/>
              <w:rPr>
                <w:rFonts w:ascii="Arial" w:eastAsia="Arial" w:hAnsi="Arial" w:cs="Arial"/>
                <w:sz w:val="20"/>
                <w:szCs w:val="20"/>
              </w:rPr>
            </w:pPr>
          </w:p>
          <w:p w14:paraId="720BC6F8"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If the project can use KPTs and usage surveys and have a cap at 90% or use KPTs and SUMs which will show likely much lower usage (so the lack of the cap doesn’t really matter), then you are only incentivized to use SUMs if the HE deduction with SUMs is less 10%. </w:t>
            </w:r>
          </w:p>
        </w:tc>
        <w:tc>
          <w:tcPr>
            <w:tcW w:w="4545" w:type="dxa"/>
            <w:tcBorders>
              <w:top w:val="single" w:sz="6" w:space="0" w:color="000000"/>
              <w:left w:val="single" w:sz="6" w:space="0" w:color="000000"/>
              <w:bottom w:val="single" w:sz="6" w:space="0" w:color="000000"/>
              <w:right w:val="single" w:sz="6" w:space="0" w:color="000000"/>
            </w:tcBorders>
          </w:tcPr>
          <w:p w14:paraId="48DD1021"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Incorporate stricter usage caps for projects without customer support—based on the literature. You could use our 52% (Gill-Wiehl et al. 2024) or include further literature and use that average. </w:t>
            </w:r>
          </w:p>
          <w:p w14:paraId="63C09B60" w14:textId="77777777" w:rsidR="0040710E" w:rsidRDefault="0040710E">
            <w:pPr>
              <w:keepLines/>
              <w:spacing w:before="40" w:after="40"/>
              <w:rPr>
                <w:rFonts w:ascii="Arial" w:eastAsia="Arial" w:hAnsi="Arial" w:cs="Arial"/>
                <w:sz w:val="20"/>
                <w:szCs w:val="20"/>
              </w:rPr>
            </w:pPr>
          </w:p>
          <w:p w14:paraId="6F15A676"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Require in-person touch points with customers to achieve the higher cap and have third party surveyors to balance social desirability bias </w:t>
            </w:r>
          </w:p>
          <w:p w14:paraId="2C9FEEFC"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 </w:t>
            </w:r>
          </w:p>
        </w:tc>
      </w:tr>
      <w:tr w:rsidR="0040710E" w14:paraId="08F173EA"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2C03A66F"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lastRenderedPageBreak/>
              <w:t>569</w:t>
            </w:r>
          </w:p>
        </w:tc>
        <w:tc>
          <w:tcPr>
            <w:tcW w:w="1605" w:type="dxa"/>
            <w:tcBorders>
              <w:top w:val="single" w:sz="6" w:space="0" w:color="000000"/>
              <w:left w:val="single" w:sz="6" w:space="0" w:color="000000"/>
              <w:bottom w:val="single" w:sz="6" w:space="0" w:color="000000"/>
              <w:right w:val="single" w:sz="6" w:space="0" w:color="000000"/>
            </w:tcBorders>
          </w:tcPr>
          <w:p w14:paraId="2314C0B9"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Global default</w:t>
            </w:r>
          </w:p>
        </w:tc>
        <w:tc>
          <w:tcPr>
            <w:tcW w:w="1560" w:type="dxa"/>
            <w:tcBorders>
              <w:top w:val="single" w:sz="6" w:space="0" w:color="000000"/>
              <w:left w:val="single" w:sz="6" w:space="0" w:color="000000"/>
              <w:bottom w:val="single" w:sz="6" w:space="0" w:color="000000"/>
              <w:right w:val="single" w:sz="6" w:space="0" w:color="000000"/>
            </w:tcBorders>
          </w:tcPr>
          <w:p w14:paraId="6E324F39"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te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1B162BA1"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Global default– if we want to motivate KPTs, the default </w:t>
            </w:r>
            <w:proofErr w:type="gramStart"/>
            <w:r>
              <w:rPr>
                <w:rFonts w:ascii="Arial" w:eastAsia="Arial" w:hAnsi="Arial" w:cs="Arial"/>
                <w:sz w:val="20"/>
                <w:szCs w:val="20"/>
              </w:rPr>
              <w:t>has to</w:t>
            </w:r>
            <w:proofErr w:type="gramEnd"/>
            <w:r>
              <w:rPr>
                <w:rFonts w:ascii="Arial" w:eastAsia="Arial" w:hAnsi="Arial" w:cs="Arial"/>
                <w:sz w:val="20"/>
                <w:szCs w:val="20"/>
              </w:rPr>
              <w:t xml:space="preserve"> be conservative; the charcoal one is, the firewood one is reasonable, not conservative. We can see in Figure 1 in the Explanation of Decisions </w:t>
            </w:r>
            <w:proofErr w:type="gramStart"/>
            <w:r>
              <w:rPr>
                <w:rFonts w:ascii="Arial" w:eastAsia="Arial" w:hAnsi="Arial" w:cs="Arial"/>
                <w:sz w:val="20"/>
                <w:szCs w:val="20"/>
              </w:rPr>
              <w:t>document  –</w:t>
            </w:r>
            <w:proofErr w:type="gramEnd"/>
            <w:r>
              <w:rPr>
                <w:rFonts w:ascii="Arial" w:eastAsia="Arial" w:hAnsi="Arial" w:cs="Arial"/>
                <w:sz w:val="20"/>
                <w:szCs w:val="20"/>
              </w:rPr>
              <w:t xml:space="preserve"> it looks like the average not the min. </w:t>
            </w:r>
          </w:p>
          <w:p w14:paraId="3C9484F3" w14:textId="77777777" w:rsidR="0040710E" w:rsidRDefault="0040710E">
            <w:pPr>
              <w:keepLines/>
              <w:spacing w:before="40" w:after="40"/>
              <w:rPr>
                <w:rFonts w:ascii="Arial" w:eastAsia="Arial" w:hAnsi="Arial" w:cs="Arial"/>
                <w:sz w:val="20"/>
                <w:szCs w:val="20"/>
              </w:rPr>
            </w:pPr>
          </w:p>
        </w:tc>
        <w:tc>
          <w:tcPr>
            <w:tcW w:w="4545" w:type="dxa"/>
            <w:tcBorders>
              <w:top w:val="single" w:sz="6" w:space="0" w:color="000000"/>
              <w:left w:val="single" w:sz="6" w:space="0" w:color="000000"/>
              <w:bottom w:val="single" w:sz="6" w:space="0" w:color="000000"/>
              <w:right w:val="single" w:sz="6" w:space="0" w:color="000000"/>
            </w:tcBorders>
          </w:tcPr>
          <w:p w14:paraId="28BD205E" w14:textId="77777777" w:rsidR="0040710E" w:rsidRDefault="00000000">
            <w:pPr>
              <w:widowControl w:val="0"/>
              <w:rPr>
                <w:rFonts w:ascii="Arial" w:eastAsia="Arial" w:hAnsi="Arial" w:cs="Arial"/>
                <w:sz w:val="20"/>
                <w:szCs w:val="20"/>
              </w:rPr>
            </w:pPr>
            <w:r>
              <w:rPr>
                <w:rFonts w:ascii="Arial" w:eastAsia="Arial" w:hAnsi="Arial" w:cs="Arial"/>
                <w:sz w:val="20"/>
                <w:szCs w:val="20"/>
              </w:rPr>
              <w:t xml:space="preserve">Make the conservative global default 2MJ-delivered/capita/day. This is a conservative value. But if the goal is to get projects to do KPTs, we need to incentivize them to do so. </w:t>
            </w:r>
          </w:p>
          <w:p w14:paraId="7A8F7190" w14:textId="77777777" w:rsidR="0040710E" w:rsidRDefault="0040710E">
            <w:pPr>
              <w:widowControl w:val="0"/>
              <w:rPr>
                <w:rFonts w:ascii="Arial" w:eastAsia="Arial" w:hAnsi="Arial" w:cs="Arial"/>
                <w:sz w:val="20"/>
                <w:szCs w:val="20"/>
              </w:rPr>
            </w:pPr>
          </w:p>
          <w:p w14:paraId="6C04A316" w14:textId="77777777" w:rsidR="0040710E" w:rsidRDefault="00000000">
            <w:pPr>
              <w:widowControl w:val="0"/>
              <w:rPr>
                <w:rFonts w:ascii="Arial" w:eastAsia="Arial" w:hAnsi="Arial" w:cs="Arial"/>
                <w:sz w:val="20"/>
                <w:szCs w:val="20"/>
              </w:rPr>
            </w:pPr>
            <w:r>
              <w:rPr>
                <w:rFonts w:ascii="Arial" w:eastAsia="Arial" w:hAnsi="Arial" w:cs="Arial"/>
                <w:sz w:val="20"/>
                <w:szCs w:val="20"/>
              </w:rPr>
              <w:t>At the very least, go with the new CDM default of 0.4 tons/capita/year – that is within the 2-4MJ-delivered range and is more conservative than the 0.5</w:t>
            </w:r>
          </w:p>
        </w:tc>
      </w:tr>
      <w:tr w:rsidR="0040710E" w14:paraId="7AD89B86"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31F8814B"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585</w:t>
            </w:r>
          </w:p>
        </w:tc>
        <w:tc>
          <w:tcPr>
            <w:tcW w:w="1605" w:type="dxa"/>
            <w:tcBorders>
              <w:top w:val="single" w:sz="6" w:space="0" w:color="000000"/>
              <w:left w:val="single" w:sz="6" w:space="0" w:color="000000"/>
              <w:bottom w:val="single" w:sz="6" w:space="0" w:color="000000"/>
              <w:right w:val="single" w:sz="6" w:space="0" w:color="000000"/>
            </w:tcBorders>
          </w:tcPr>
          <w:p w14:paraId="2584F74F"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Baseline caps</w:t>
            </w:r>
          </w:p>
        </w:tc>
        <w:tc>
          <w:tcPr>
            <w:tcW w:w="1560" w:type="dxa"/>
            <w:tcBorders>
              <w:top w:val="single" w:sz="6" w:space="0" w:color="000000"/>
              <w:left w:val="single" w:sz="6" w:space="0" w:color="000000"/>
              <w:bottom w:val="single" w:sz="6" w:space="0" w:color="000000"/>
              <w:right w:val="single" w:sz="6" w:space="0" w:color="000000"/>
            </w:tcBorders>
          </w:tcPr>
          <w:p w14:paraId="79105C1A"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te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03AA3973"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Baseline flags/caps – not conservative, but good to see using 15% and 25% efficiencies </w:t>
            </w:r>
          </w:p>
        </w:tc>
        <w:tc>
          <w:tcPr>
            <w:tcW w:w="4545" w:type="dxa"/>
            <w:tcBorders>
              <w:top w:val="single" w:sz="6" w:space="0" w:color="000000"/>
              <w:left w:val="single" w:sz="6" w:space="0" w:color="000000"/>
              <w:bottom w:val="single" w:sz="6" w:space="0" w:color="000000"/>
              <w:right w:val="single" w:sz="6" w:space="0" w:color="000000"/>
            </w:tcBorders>
          </w:tcPr>
          <w:p w14:paraId="346AA8C0"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From Figure 1 in the Explanation of Decisions document, wood D and H should be the flag value and cap it a standard deviation over that. </w:t>
            </w:r>
          </w:p>
        </w:tc>
      </w:tr>
      <w:tr w:rsidR="0040710E" w14:paraId="372D147E"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62D35259"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506</w:t>
            </w:r>
          </w:p>
        </w:tc>
        <w:tc>
          <w:tcPr>
            <w:tcW w:w="1605" w:type="dxa"/>
            <w:tcBorders>
              <w:top w:val="single" w:sz="6" w:space="0" w:color="000000"/>
              <w:left w:val="single" w:sz="6" w:space="0" w:color="000000"/>
              <w:bottom w:val="single" w:sz="6" w:space="0" w:color="000000"/>
              <w:right w:val="single" w:sz="6" w:space="0" w:color="000000"/>
            </w:tcBorders>
          </w:tcPr>
          <w:p w14:paraId="600B051C"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Baseline scenarios</w:t>
            </w:r>
          </w:p>
        </w:tc>
        <w:tc>
          <w:tcPr>
            <w:tcW w:w="1560" w:type="dxa"/>
            <w:tcBorders>
              <w:top w:val="single" w:sz="6" w:space="0" w:color="000000"/>
              <w:left w:val="single" w:sz="6" w:space="0" w:color="000000"/>
              <w:bottom w:val="single" w:sz="6" w:space="0" w:color="000000"/>
              <w:right w:val="single" w:sz="6" w:space="0" w:color="000000"/>
            </w:tcBorders>
          </w:tcPr>
          <w:p w14:paraId="21CFE8C7"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te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4021D975"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Baseline scenarios -- Baseline scenarios, when possible, will be cross checked? Could we have more details on this process </w:t>
            </w:r>
          </w:p>
        </w:tc>
        <w:tc>
          <w:tcPr>
            <w:tcW w:w="4545" w:type="dxa"/>
            <w:tcBorders>
              <w:top w:val="single" w:sz="6" w:space="0" w:color="000000"/>
              <w:left w:val="single" w:sz="6" w:space="0" w:color="000000"/>
              <w:bottom w:val="single" w:sz="6" w:space="0" w:color="000000"/>
              <w:right w:val="single" w:sz="6" w:space="0" w:color="000000"/>
            </w:tcBorders>
          </w:tcPr>
          <w:p w14:paraId="6DA03C10"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Provide more detail on the cross-checking and auditing process for flagged values</w:t>
            </w:r>
          </w:p>
        </w:tc>
      </w:tr>
      <w:tr w:rsidR="0040710E" w14:paraId="4E6AB0B0"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57780827"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N/a</w:t>
            </w:r>
          </w:p>
        </w:tc>
        <w:tc>
          <w:tcPr>
            <w:tcW w:w="1605" w:type="dxa"/>
            <w:tcBorders>
              <w:top w:val="single" w:sz="6" w:space="0" w:color="000000"/>
              <w:left w:val="single" w:sz="6" w:space="0" w:color="000000"/>
              <w:bottom w:val="single" w:sz="6" w:space="0" w:color="000000"/>
              <w:right w:val="single" w:sz="6" w:space="0" w:color="000000"/>
            </w:tcBorders>
          </w:tcPr>
          <w:p w14:paraId="32DDACF7"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N/A</w:t>
            </w:r>
          </w:p>
        </w:tc>
        <w:tc>
          <w:tcPr>
            <w:tcW w:w="1560" w:type="dxa"/>
            <w:tcBorders>
              <w:top w:val="single" w:sz="6" w:space="0" w:color="000000"/>
              <w:left w:val="single" w:sz="6" w:space="0" w:color="000000"/>
              <w:bottom w:val="single" w:sz="6" w:space="0" w:color="000000"/>
              <w:right w:val="single" w:sz="6" w:space="0" w:color="000000"/>
            </w:tcBorders>
          </w:tcPr>
          <w:p w14:paraId="7D414FAD"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te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4D9A98C8"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Lack of project consumption flags/floors – In our article Gill-Wiehl et al. 2024, we found that </w:t>
            </w:r>
            <w:proofErr w:type="gramStart"/>
            <w:r>
              <w:rPr>
                <w:rFonts w:ascii="Arial" w:eastAsia="Arial" w:hAnsi="Arial" w:cs="Arial"/>
                <w:sz w:val="20"/>
                <w:szCs w:val="20"/>
              </w:rPr>
              <w:t>a number of</w:t>
            </w:r>
            <w:proofErr w:type="gramEnd"/>
            <w:r>
              <w:rPr>
                <w:rFonts w:ascii="Arial" w:eastAsia="Arial" w:hAnsi="Arial" w:cs="Arial"/>
                <w:sz w:val="20"/>
                <w:szCs w:val="20"/>
              </w:rPr>
              <w:t xml:space="preserve"> projects claimed project fuel consumption was under basic needs levels (2MJ-delivered/capita/day)</w:t>
            </w:r>
          </w:p>
        </w:tc>
        <w:tc>
          <w:tcPr>
            <w:tcW w:w="4545" w:type="dxa"/>
            <w:tcBorders>
              <w:top w:val="single" w:sz="6" w:space="0" w:color="000000"/>
              <w:left w:val="single" w:sz="6" w:space="0" w:color="000000"/>
              <w:bottom w:val="single" w:sz="6" w:space="0" w:color="000000"/>
              <w:right w:val="single" w:sz="6" w:space="0" w:color="000000"/>
            </w:tcBorders>
          </w:tcPr>
          <w:p w14:paraId="3EE410F1"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Include a flag and floor value for project consumption of 2.1 and 2 MJ-delivered/capita/day. </w:t>
            </w:r>
          </w:p>
        </w:tc>
      </w:tr>
      <w:tr w:rsidR="0040710E" w14:paraId="364E1437"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6E09202F"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lastRenderedPageBreak/>
              <w:t>608</w:t>
            </w:r>
          </w:p>
        </w:tc>
        <w:tc>
          <w:tcPr>
            <w:tcW w:w="1605" w:type="dxa"/>
            <w:tcBorders>
              <w:top w:val="single" w:sz="6" w:space="0" w:color="000000"/>
              <w:left w:val="single" w:sz="6" w:space="0" w:color="000000"/>
              <w:bottom w:val="single" w:sz="6" w:space="0" w:color="000000"/>
              <w:right w:val="single" w:sz="6" w:space="0" w:color="000000"/>
            </w:tcBorders>
          </w:tcPr>
          <w:p w14:paraId="6F249984"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Section 10: Additionality</w:t>
            </w:r>
          </w:p>
        </w:tc>
        <w:tc>
          <w:tcPr>
            <w:tcW w:w="1560" w:type="dxa"/>
            <w:tcBorders>
              <w:top w:val="single" w:sz="6" w:space="0" w:color="000000"/>
              <w:left w:val="single" w:sz="6" w:space="0" w:color="000000"/>
              <w:bottom w:val="single" w:sz="6" w:space="0" w:color="000000"/>
              <w:right w:val="single" w:sz="6" w:space="0" w:color="000000"/>
            </w:tcBorders>
          </w:tcPr>
          <w:p w14:paraId="6A22531D"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ge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41DB6A9C"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Additionality should be defined at the individual household level, not the project level. For cookstove projects, additionality should be defined as the household would not have adopted and used a project stove (and thus reduced emissions) without the carbon finance. I agree that the rates of adoption have been slow and WHO database shows that. </w:t>
            </w:r>
          </w:p>
          <w:p w14:paraId="1995ABCE" w14:textId="77777777" w:rsidR="0040710E" w:rsidRDefault="0040710E">
            <w:pPr>
              <w:keepLines/>
              <w:spacing w:before="40" w:after="40"/>
              <w:rPr>
                <w:rFonts w:ascii="Arial" w:eastAsia="Arial" w:hAnsi="Arial" w:cs="Arial"/>
                <w:sz w:val="20"/>
                <w:szCs w:val="20"/>
              </w:rPr>
            </w:pPr>
          </w:p>
          <w:p w14:paraId="1DECBC1B"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Further detail on the equivalent technology is great; however, there is a difference in fuels that are routinely tracked. For instance, LPG is included in DHS surveys (if they will continue) while improved biomass stoves are not included in the WHO database but in the few ESMAP Beyond Connection Reports. Therefore, if I’m distributing improved biomass stoves in Accra (and the penetration rate is unavailable), but LPG is higher than 30%, I’m still additional, but an LPG project in Accra is not? </w:t>
            </w:r>
          </w:p>
          <w:p w14:paraId="1DF9091D" w14:textId="77777777" w:rsidR="0040710E" w:rsidRDefault="0040710E">
            <w:pPr>
              <w:keepLines/>
              <w:spacing w:before="40" w:after="40"/>
              <w:rPr>
                <w:rFonts w:ascii="Arial" w:eastAsia="Arial" w:hAnsi="Arial" w:cs="Arial"/>
                <w:sz w:val="20"/>
                <w:szCs w:val="20"/>
              </w:rPr>
            </w:pPr>
          </w:p>
          <w:p w14:paraId="75DF64F0"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Further, if the project is allowed to define the target population, then this is quite arbitrary. For example, I am working in Nairobi and targeting charcoal users, then the fact that there is a greater than 30% adoption of LPG (a better) technology among the larger population. </w:t>
            </w:r>
          </w:p>
          <w:p w14:paraId="16304F5D" w14:textId="77777777" w:rsidR="0040710E" w:rsidRDefault="0040710E">
            <w:pPr>
              <w:keepLines/>
              <w:spacing w:before="40" w:after="40"/>
              <w:rPr>
                <w:rFonts w:ascii="Arial" w:eastAsia="Arial" w:hAnsi="Arial" w:cs="Arial"/>
                <w:sz w:val="20"/>
                <w:szCs w:val="20"/>
              </w:rPr>
            </w:pPr>
          </w:p>
          <w:p w14:paraId="56616625" w14:textId="77777777" w:rsidR="0040710E" w:rsidRDefault="0040710E">
            <w:pPr>
              <w:keepLines/>
              <w:spacing w:before="40" w:after="40"/>
              <w:rPr>
                <w:rFonts w:ascii="Arial" w:eastAsia="Arial" w:hAnsi="Arial" w:cs="Arial"/>
                <w:sz w:val="20"/>
                <w:szCs w:val="20"/>
              </w:rPr>
            </w:pPr>
          </w:p>
        </w:tc>
        <w:tc>
          <w:tcPr>
            <w:tcW w:w="4545" w:type="dxa"/>
            <w:tcBorders>
              <w:top w:val="single" w:sz="6" w:space="0" w:color="000000"/>
              <w:left w:val="single" w:sz="6" w:space="0" w:color="000000"/>
              <w:bottom w:val="single" w:sz="6" w:space="0" w:color="000000"/>
              <w:right w:val="single" w:sz="6" w:space="0" w:color="000000"/>
            </w:tcBorders>
          </w:tcPr>
          <w:p w14:paraId="71987E98"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Define additionality at the household level and discount emissions accordingly:  X% of users likely would not have either purchased the cleaner stove or cleaner fuel without carbon finance.  </w:t>
            </w:r>
          </w:p>
          <w:p w14:paraId="023D6F4E"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Use the information from the recall surveys to create a % of stoves that may not have been additional. A user is considered additional if they face a certain affordability challenge (amortized cost of stove + fuel is greater than 5% of the woman’s monthly expenditure). The % of users over that affordability ratio are considered additional.  Discount the emission reductions for any non-additional users. </w:t>
            </w:r>
          </w:p>
          <w:p w14:paraId="09E3ADF9" w14:textId="77777777" w:rsidR="0040710E" w:rsidRDefault="0040710E">
            <w:pPr>
              <w:keepLines/>
              <w:spacing w:before="40" w:after="40"/>
              <w:rPr>
                <w:rFonts w:ascii="Arial" w:eastAsia="Arial" w:hAnsi="Arial" w:cs="Arial"/>
                <w:sz w:val="20"/>
                <w:szCs w:val="20"/>
              </w:rPr>
            </w:pPr>
          </w:p>
          <w:p w14:paraId="7E95EA7E"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Remove the arbitrary 30% penetration rate or at least define an equivalent technology as one of equal to </w:t>
            </w:r>
            <w:r>
              <w:rPr>
                <w:rFonts w:ascii="Arial" w:eastAsia="Arial" w:hAnsi="Arial" w:cs="Arial"/>
                <w:b/>
                <w:sz w:val="20"/>
                <w:szCs w:val="20"/>
              </w:rPr>
              <w:t xml:space="preserve">or greater </w:t>
            </w:r>
            <w:r>
              <w:rPr>
                <w:rFonts w:ascii="Arial" w:eastAsia="Arial" w:hAnsi="Arial" w:cs="Arial"/>
                <w:sz w:val="20"/>
                <w:szCs w:val="20"/>
              </w:rPr>
              <w:t xml:space="preserve">efficiency </w:t>
            </w:r>
            <w:r>
              <w:rPr>
                <w:rFonts w:ascii="Arial" w:eastAsia="Arial" w:hAnsi="Arial" w:cs="Arial"/>
                <w:b/>
                <w:sz w:val="20"/>
                <w:szCs w:val="20"/>
              </w:rPr>
              <w:t>and/or switches the fuel to ethanol/LPG/electric/etc.</w:t>
            </w:r>
          </w:p>
          <w:p w14:paraId="5851EE15" w14:textId="77777777" w:rsidR="0040710E" w:rsidRDefault="0040710E">
            <w:pPr>
              <w:keepLines/>
              <w:spacing w:before="40" w:after="40"/>
              <w:rPr>
                <w:rFonts w:ascii="Arial" w:eastAsia="Arial" w:hAnsi="Arial" w:cs="Arial"/>
                <w:sz w:val="20"/>
                <w:szCs w:val="20"/>
              </w:rPr>
            </w:pPr>
          </w:p>
          <w:p w14:paraId="5A277205" w14:textId="77777777" w:rsidR="0040710E" w:rsidRDefault="0040710E">
            <w:pPr>
              <w:keepLines/>
              <w:spacing w:before="40" w:after="40"/>
              <w:rPr>
                <w:rFonts w:ascii="Arial" w:eastAsia="Arial" w:hAnsi="Arial" w:cs="Arial"/>
                <w:sz w:val="20"/>
                <w:szCs w:val="20"/>
              </w:rPr>
            </w:pPr>
          </w:p>
        </w:tc>
      </w:tr>
      <w:tr w:rsidR="0040710E" w14:paraId="639BC5C9"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6C6A591F"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356</w:t>
            </w:r>
          </w:p>
        </w:tc>
        <w:tc>
          <w:tcPr>
            <w:tcW w:w="1605" w:type="dxa"/>
            <w:tcBorders>
              <w:top w:val="single" w:sz="6" w:space="0" w:color="000000"/>
              <w:left w:val="single" w:sz="6" w:space="0" w:color="000000"/>
              <w:bottom w:val="single" w:sz="6" w:space="0" w:color="000000"/>
              <w:right w:val="single" w:sz="6" w:space="0" w:color="000000"/>
            </w:tcBorders>
          </w:tcPr>
          <w:p w14:paraId="46E9DD9E"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3. Introduction (paragraph on leakage)</w:t>
            </w:r>
          </w:p>
        </w:tc>
        <w:tc>
          <w:tcPr>
            <w:tcW w:w="1560" w:type="dxa"/>
            <w:tcBorders>
              <w:top w:val="single" w:sz="6" w:space="0" w:color="000000"/>
              <w:left w:val="single" w:sz="6" w:space="0" w:color="000000"/>
              <w:bottom w:val="single" w:sz="6" w:space="0" w:color="000000"/>
              <w:right w:val="single" w:sz="6" w:space="0" w:color="000000"/>
            </w:tcBorders>
          </w:tcPr>
          <w:p w14:paraId="14E7CAB2"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te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1B57CF68" w14:textId="77777777" w:rsidR="0040710E" w:rsidRDefault="00000000">
            <w:pPr>
              <w:keepLines/>
              <w:tabs>
                <w:tab w:val="left" w:pos="1240"/>
              </w:tabs>
              <w:spacing w:before="40" w:after="40"/>
              <w:rPr>
                <w:rFonts w:ascii="Arial" w:eastAsia="Arial" w:hAnsi="Arial" w:cs="Arial"/>
                <w:sz w:val="20"/>
                <w:szCs w:val="20"/>
              </w:rPr>
            </w:pPr>
            <w:r>
              <w:rPr>
                <w:rFonts w:ascii="Arial" w:eastAsia="Arial" w:hAnsi="Arial" w:cs="Arial"/>
                <w:sz w:val="20"/>
                <w:szCs w:val="20"/>
              </w:rPr>
              <w:t xml:space="preserve">Leakage – I appreciate taking into consideration our draft paper on rural leakage from cookstove projects. However, we have no data for urban projects. I agree that a 2% discount for rural projects seems reasonable given our draft paper. </w:t>
            </w:r>
            <w:proofErr w:type="gramStart"/>
            <w:r>
              <w:rPr>
                <w:rFonts w:ascii="Arial" w:eastAsia="Arial" w:hAnsi="Arial" w:cs="Arial"/>
                <w:sz w:val="20"/>
                <w:szCs w:val="20"/>
              </w:rPr>
              <w:t>That being said, our</w:t>
            </w:r>
            <w:proofErr w:type="gramEnd"/>
            <w:r>
              <w:rPr>
                <w:rFonts w:ascii="Arial" w:eastAsia="Arial" w:hAnsi="Arial" w:cs="Arial"/>
                <w:sz w:val="20"/>
                <w:szCs w:val="20"/>
              </w:rPr>
              <w:t xml:space="preserve"> work has not yet gone through peer review. Further, all studies in our paper were small sample sizes (not community wide interventions). </w:t>
            </w:r>
          </w:p>
        </w:tc>
        <w:tc>
          <w:tcPr>
            <w:tcW w:w="4545" w:type="dxa"/>
            <w:tcBorders>
              <w:top w:val="single" w:sz="6" w:space="0" w:color="000000"/>
              <w:left w:val="single" w:sz="6" w:space="0" w:color="000000"/>
              <w:bottom w:val="single" w:sz="6" w:space="0" w:color="000000"/>
              <w:right w:val="single" w:sz="6" w:space="0" w:color="000000"/>
            </w:tcBorders>
          </w:tcPr>
          <w:p w14:paraId="12BC79DD"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Keep the 5% default for urban and projects that reach a certain percentage of the population. </w:t>
            </w:r>
          </w:p>
        </w:tc>
      </w:tr>
      <w:tr w:rsidR="0040710E" w14:paraId="5EC91F47"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69FF9A31"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lastRenderedPageBreak/>
              <w:t>861</w:t>
            </w:r>
          </w:p>
        </w:tc>
        <w:tc>
          <w:tcPr>
            <w:tcW w:w="1605" w:type="dxa"/>
            <w:tcBorders>
              <w:top w:val="single" w:sz="6" w:space="0" w:color="000000"/>
              <w:left w:val="single" w:sz="6" w:space="0" w:color="000000"/>
              <w:bottom w:val="single" w:sz="6" w:space="0" w:color="000000"/>
              <w:right w:val="single" w:sz="6" w:space="0" w:color="000000"/>
            </w:tcBorders>
          </w:tcPr>
          <w:p w14:paraId="0DCB3267"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 xml:space="preserve">11.1.3 </w:t>
            </w:r>
          </w:p>
        </w:tc>
        <w:tc>
          <w:tcPr>
            <w:tcW w:w="1560" w:type="dxa"/>
            <w:tcBorders>
              <w:top w:val="single" w:sz="6" w:space="0" w:color="000000"/>
              <w:left w:val="single" w:sz="6" w:space="0" w:color="000000"/>
              <w:bottom w:val="single" w:sz="6" w:space="0" w:color="000000"/>
              <w:right w:val="single" w:sz="6" w:space="0" w:color="000000"/>
            </w:tcBorders>
          </w:tcPr>
          <w:p w14:paraId="475962C6"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te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4B2F191A" w14:textId="77777777" w:rsidR="0040710E" w:rsidRDefault="00000000">
            <w:pPr>
              <w:keepLines/>
              <w:tabs>
                <w:tab w:val="left" w:pos="1240"/>
              </w:tabs>
              <w:spacing w:before="40" w:after="40"/>
              <w:rPr>
                <w:rFonts w:ascii="Arial" w:eastAsia="Arial" w:hAnsi="Arial" w:cs="Arial"/>
                <w:sz w:val="20"/>
                <w:szCs w:val="20"/>
              </w:rPr>
            </w:pPr>
            <w:r>
              <w:rPr>
                <w:rFonts w:ascii="Arial" w:eastAsia="Arial" w:hAnsi="Arial" w:cs="Arial"/>
                <w:sz w:val="20"/>
                <w:szCs w:val="20"/>
              </w:rPr>
              <w:t>Leakage – If you do not choose the 2% default, the methods are unclear: When using option 2, the project proponent must conduct a leakage investigation every two years using relevant methods. For example, surveys to determine parameters for the leakage calculation may be combined with project monitoring surveys, as is applicable. Monitoring plans should include field-based measurement methods, especially for the quantification of fuel, as data on fuel use estimated via surveys are often insufficiently accurate.</w:t>
            </w:r>
          </w:p>
        </w:tc>
        <w:tc>
          <w:tcPr>
            <w:tcW w:w="4545" w:type="dxa"/>
            <w:tcBorders>
              <w:top w:val="single" w:sz="6" w:space="0" w:color="000000"/>
              <w:left w:val="single" w:sz="6" w:space="0" w:color="000000"/>
              <w:bottom w:val="single" w:sz="6" w:space="0" w:color="000000"/>
              <w:right w:val="single" w:sz="6" w:space="0" w:color="000000"/>
            </w:tcBorders>
          </w:tcPr>
          <w:p w14:paraId="68E2C5BF"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More detailed guidance should be provided for how projects are to quantitatively evaluate each source of leakage from the project activities or simply mandate the 2% discount. This presumably must involve non-project households. </w:t>
            </w:r>
            <w:proofErr w:type="gramStart"/>
            <w:r>
              <w:rPr>
                <w:rFonts w:ascii="Arial" w:eastAsia="Arial" w:hAnsi="Arial" w:cs="Arial"/>
                <w:sz w:val="20"/>
                <w:szCs w:val="20"/>
              </w:rPr>
              <w:t>Thus</w:t>
            </w:r>
            <w:proofErr w:type="gramEnd"/>
            <w:r>
              <w:rPr>
                <w:rFonts w:ascii="Arial" w:eastAsia="Arial" w:hAnsi="Arial" w:cs="Arial"/>
                <w:sz w:val="20"/>
                <w:szCs w:val="20"/>
              </w:rPr>
              <w:t xml:space="preserve"> further guidance on how to sample and engage them ethically should be provided. </w:t>
            </w:r>
          </w:p>
        </w:tc>
      </w:tr>
      <w:tr w:rsidR="0040710E" w14:paraId="55F37D34"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64C1E066"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1154</w:t>
            </w:r>
          </w:p>
        </w:tc>
        <w:tc>
          <w:tcPr>
            <w:tcW w:w="1605" w:type="dxa"/>
            <w:tcBorders>
              <w:top w:val="single" w:sz="6" w:space="0" w:color="000000"/>
              <w:left w:val="single" w:sz="6" w:space="0" w:color="000000"/>
              <w:bottom w:val="single" w:sz="6" w:space="0" w:color="000000"/>
              <w:right w:val="single" w:sz="6" w:space="0" w:color="000000"/>
            </w:tcBorders>
          </w:tcPr>
          <w:p w14:paraId="7CCAA1B0"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Appendix 1</w:t>
            </w:r>
          </w:p>
        </w:tc>
        <w:tc>
          <w:tcPr>
            <w:tcW w:w="1560" w:type="dxa"/>
            <w:tcBorders>
              <w:top w:val="single" w:sz="6" w:space="0" w:color="000000"/>
              <w:left w:val="single" w:sz="6" w:space="0" w:color="000000"/>
              <w:bottom w:val="single" w:sz="6" w:space="0" w:color="000000"/>
              <w:right w:val="single" w:sz="6" w:space="0" w:color="000000"/>
            </w:tcBorders>
          </w:tcPr>
          <w:p w14:paraId="04A9C7B7"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ge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005F64D1"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The calculation sheet must be publicly available for transparency and trust in the market. </w:t>
            </w:r>
          </w:p>
        </w:tc>
        <w:tc>
          <w:tcPr>
            <w:tcW w:w="4545" w:type="dxa"/>
            <w:tcBorders>
              <w:top w:val="single" w:sz="6" w:space="0" w:color="000000"/>
              <w:left w:val="single" w:sz="6" w:space="0" w:color="000000"/>
              <w:bottom w:val="single" w:sz="6" w:space="0" w:color="000000"/>
              <w:right w:val="single" w:sz="6" w:space="0" w:color="000000"/>
            </w:tcBorders>
          </w:tcPr>
          <w:p w14:paraId="66AB5547"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Require the calculation sheet to be publicly released. </w:t>
            </w:r>
          </w:p>
        </w:tc>
      </w:tr>
      <w:tr w:rsidR="0040710E" w14:paraId="08B5A354"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79171824"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327</w:t>
            </w:r>
          </w:p>
        </w:tc>
        <w:tc>
          <w:tcPr>
            <w:tcW w:w="1605" w:type="dxa"/>
            <w:tcBorders>
              <w:top w:val="single" w:sz="6" w:space="0" w:color="000000"/>
              <w:left w:val="single" w:sz="6" w:space="0" w:color="000000"/>
              <w:bottom w:val="single" w:sz="6" w:space="0" w:color="000000"/>
              <w:right w:val="single" w:sz="6" w:space="0" w:color="000000"/>
            </w:tcBorders>
          </w:tcPr>
          <w:p w14:paraId="06061EA2"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Introduction/Approach</w:t>
            </w:r>
          </w:p>
        </w:tc>
        <w:tc>
          <w:tcPr>
            <w:tcW w:w="1560" w:type="dxa"/>
            <w:tcBorders>
              <w:top w:val="single" w:sz="6" w:space="0" w:color="000000"/>
              <w:left w:val="single" w:sz="6" w:space="0" w:color="000000"/>
              <w:bottom w:val="single" w:sz="6" w:space="0" w:color="000000"/>
              <w:right w:val="single" w:sz="6" w:space="0" w:color="000000"/>
            </w:tcBorders>
          </w:tcPr>
          <w:p w14:paraId="33D1E294"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ge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15EE0450"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Require survey teams to be third party; auditors must be, why shouldn’t surveyors? We need higher prices for carbon; but we need credits we can trust to ask for them.  </w:t>
            </w:r>
          </w:p>
        </w:tc>
        <w:tc>
          <w:tcPr>
            <w:tcW w:w="4545" w:type="dxa"/>
            <w:tcBorders>
              <w:top w:val="single" w:sz="6" w:space="0" w:color="000000"/>
              <w:left w:val="single" w:sz="6" w:space="0" w:color="000000"/>
              <w:bottom w:val="single" w:sz="6" w:space="0" w:color="000000"/>
              <w:right w:val="single" w:sz="6" w:space="0" w:color="000000"/>
            </w:tcBorders>
          </w:tcPr>
          <w:p w14:paraId="67281B8B"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Require third party survey teams </w:t>
            </w:r>
          </w:p>
        </w:tc>
      </w:tr>
      <w:tr w:rsidR="0040710E" w14:paraId="6328B3F4"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3B477C59"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1148/1149</w:t>
            </w:r>
          </w:p>
        </w:tc>
        <w:tc>
          <w:tcPr>
            <w:tcW w:w="1605" w:type="dxa"/>
            <w:tcBorders>
              <w:top w:val="single" w:sz="6" w:space="0" w:color="000000"/>
              <w:left w:val="single" w:sz="6" w:space="0" w:color="000000"/>
              <w:bottom w:val="single" w:sz="6" w:space="0" w:color="000000"/>
              <w:right w:val="single" w:sz="6" w:space="0" w:color="000000"/>
            </w:tcBorders>
          </w:tcPr>
          <w:p w14:paraId="407A29F7"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Appendix 1</w:t>
            </w:r>
          </w:p>
        </w:tc>
        <w:tc>
          <w:tcPr>
            <w:tcW w:w="1560" w:type="dxa"/>
            <w:tcBorders>
              <w:top w:val="single" w:sz="6" w:space="0" w:color="000000"/>
              <w:left w:val="single" w:sz="6" w:space="0" w:color="000000"/>
              <w:bottom w:val="single" w:sz="6" w:space="0" w:color="000000"/>
              <w:right w:val="single" w:sz="6" w:space="0" w:color="000000"/>
            </w:tcBorders>
          </w:tcPr>
          <w:p w14:paraId="29A8B516"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ge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4837C3FD"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Reporting ISO tiers shouldn’t be optional </w:t>
            </w:r>
          </w:p>
        </w:tc>
        <w:tc>
          <w:tcPr>
            <w:tcW w:w="4545" w:type="dxa"/>
            <w:tcBorders>
              <w:top w:val="single" w:sz="6" w:space="0" w:color="000000"/>
              <w:left w:val="single" w:sz="6" w:space="0" w:color="000000"/>
              <w:bottom w:val="single" w:sz="6" w:space="0" w:color="000000"/>
              <w:right w:val="single" w:sz="6" w:space="0" w:color="000000"/>
            </w:tcBorders>
          </w:tcPr>
          <w:p w14:paraId="1E66A731"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Require the reporting of ISO tiers for PM2.5 and CO</w:t>
            </w:r>
          </w:p>
        </w:tc>
      </w:tr>
      <w:tr w:rsidR="0040710E" w14:paraId="4E464064"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2B8C777A"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N/A</w:t>
            </w:r>
          </w:p>
        </w:tc>
        <w:tc>
          <w:tcPr>
            <w:tcW w:w="1605" w:type="dxa"/>
            <w:tcBorders>
              <w:top w:val="single" w:sz="6" w:space="0" w:color="000000"/>
              <w:left w:val="single" w:sz="6" w:space="0" w:color="000000"/>
              <w:bottom w:val="single" w:sz="6" w:space="0" w:color="000000"/>
              <w:right w:val="single" w:sz="6" w:space="0" w:color="000000"/>
            </w:tcBorders>
          </w:tcPr>
          <w:p w14:paraId="46D04302"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Appendix 8 - selection of cooks</w:t>
            </w:r>
          </w:p>
        </w:tc>
        <w:tc>
          <w:tcPr>
            <w:tcW w:w="1560" w:type="dxa"/>
            <w:tcBorders>
              <w:top w:val="single" w:sz="6" w:space="0" w:color="000000"/>
              <w:left w:val="single" w:sz="6" w:space="0" w:color="000000"/>
              <w:bottom w:val="single" w:sz="6" w:space="0" w:color="000000"/>
              <w:right w:val="single" w:sz="6" w:space="0" w:color="000000"/>
            </w:tcBorders>
          </w:tcPr>
          <w:p w14:paraId="3EA78CB4"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ge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3CCD9B39"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Non-project cooks recruited for CCTs should be compensated for their time and effort. Project cooks benefit from the project, but non-project cooks should receive some form of compensation.</w:t>
            </w:r>
          </w:p>
        </w:tc>
        <w:tc>
          <w:tcPr>
            <w:tcW w:w="4545" w:type="dxa"/>
            <w:tcBorders>
              <w:top w:val="single" w:sz="6" w:space="0" w:color="000000"/>
              <w:left w:val="single" w:sz="6" w:space="0" w:color="000000"/>
              <w:bottom w:val="single" w:sz="6" w:space="0" w:color="000000"/>
              <w:right w:val="single" w:sz="6" w:space="0" w:color="000000"/>
            </w:tcBorders>
          </w:tcPr>
          <w:p w14:paraId="36C8BEA3"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Compensate non-project cooks involved in CCTs. </w:t>
            </w:r>
          </w:p>
        </w:tc>
      </w:tr>
      <w:tr w:rsidR="0040710E" w14:paraId="5EDF1482"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7821199C"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124/1034</w:t>
            </w:r>
          </w:p>
        </w:tc>
        <w:tc>
          <w:tcPr>
            <w:tcW w:w="1605" w:type="dxa"/>
            <w:tcBorders>
              <w:top w:val="single" w:sz="6" w:space="0" w:color="000000"/>
              <w:left w:val="single" w:sz="6" w:space="0" w:color="000000"/>
              <w:bottom w:val="single" w:sz="6" w:space="0" w:color="000000"/>
              <w:right w:val="single" w:sz="6" w:space="0" w:color="000000"/>
            </w:tcBorders>
          </w:tcPr>
          <w:p w14:paraId="28E07B58"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Definitions</w:t>
            </w:r>
          </w:p>
        </w:tc>
        <w:tc>
          <w:tcPr>
            <w:tcW w:w="1560" w:type="dxa"/>
            <w:tcBorders>
              <w:top w:val="single" w:sz="6" w:space="0" w:color="000000"/>
              <w:left w:val="single" w:sz="6" w:space="0" w:color="000000"/>
              <w:bottom w:val="single" w:sz="6" w:space="0" w:color="000000"/>
              <w:right w:val="single" w:sz="6" w:space="0" w:color="000000"/>
            </w:tcBorders>
          </w:tcPr>
          <w:p w14:paraId="46E8BA9B"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ge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694BABC4"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I think heating bath water should be treated similarly to space heating. My energy needs/KPTs answers to everything will be different if the household is heating water for bathing, as it would be if using the stove for space heating. </w:t>
            </w:r>
          </w:p>
        </w:tc>
        <w:tc>
          <w:tcPr>
            <w:tcW w:w="4545" w:type="dxa"/>
            <w:tcBorders>
              <w:top w:val="single" w:sz="6" w:space="0" w:color="000000"/>
              <w:left w:val="single" w:sz="6" w:space="0" w:color="000000"/>
              <w:bottom w:val="single" w:sz="6" w:space="0" w:color="000000"/>
              <w:right w:val="single" w:sz="6" w:space="0" w:color="000000"/>
            </w:tcBorders>
          </w:tcPr>
          <w:p w14:paraId="170967C8"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If boiling water is common in the project area, the justification must include an explanation of how heating water has been accounted for during KPTs or SUMs – adjusting for the percentage of households that heat water for bathing and the percentage that does not. </w:t>
            </w:r>
          </w:p>
        </w:tc>
      </w:tr>
      <w:tr w:rsidR="0040710E" w14:paraId="7B3BA528"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2F22A98D"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N/A</w:t>
            </w:r>
          </w:p>
        </w:tc>
        <w:tc>
          <w:tcPr>
            <w:tcW w:w="1605" w:type="dxa"/>
            <w:tcBorders>
              <w:top w:val="single" w:sz="6" w:space="0" w:color="000000"/>
              <w:left w:val="single" w:sz="6" w:space="0" w:color="000000"/>
              <w:bottom w:val="single" w:sz="6" w:space="0" w:color="000000"/>
              <w:right w:val="single" w:sz="6" w:space="0" w:color="000000"/>
            </w:tcBorders>
          </w:tcPr>
          <w:p w14:paraId="5FCF5665"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Appendix 10</w:t>
            </w:r>
          </w:p>
        </w:tc>
        <w:tc>
          <w:tcPr>
            <w:tcW w:w="1560" w:type="dxa"/>
            <w:tcBorders>
              <w:top w:val="single" w:sz="6" w:space="0" w:color="000000"/>
              <w:left w:val="single" w:sz="6" w:space="0" w:color="000000"/>
              <w:bottom w:val="single" w:sz="6" w:space="0" w:color="000000"/>
              <w:right w:val="single" w:sz="6" w:space="0" w:color="000000"/>
            </w:tcBorders>
          </w:tcPr>
          <w:p w14:paraId="3032482B"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ge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14076D8B"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Resources for cluster randomizing; Currently, projects will opt for random likely even when no appropriate because of the technical barrier. I think providing more resources could help streamline this. I’m happy to help put resources together, but I think this would be helpful. </w:t>
            </w:r>
          </w:p>
        </w:tc>
        <w:tc>
          <w:tcPr>
            <w:tcW w:w="4545" w:type="dxa"/>
            <w:tcBorders>
              <w:top w:val="single" w:sz="6" w:space="0" w:color="000000"/>
              <w:left w:val="single" w:sz="6" w:space="0" w:color="000000"/>
              <w:bottom w:val="single" w:sz="6" w:space="0" w:color="000000"/>
              <w:right w:val="single" w:sz="6" w:space="0" w:color="000000"/>
            </w:tcBorders>
          </w:tcPr>
          <w:p w14:paraId="7C0231C1"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Provide further resources for projects to pursue cluster random sampling. </w:t>
            </w:r>
          </w:p>
        </w:tc>
      </w:tr>
      <w:tr w:rsidR="0040710E" w14:paraId="4024BED9"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3A3BECE3"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lastRenderedPageBreak/>
              <w:t>N/A</w:t>
            </w:r>
          </w:p>
        </w:tc>
        <w:tc>
          <w:tcPr>
            <w:tcW w:w="1605" w:type="dxa"/>
            <w:tcBorders>
              <w:top w:val="single" w:sz="6" w:space="0" w:color="000000"/>
              <w:left w:val="single" w:sz="6" w:space="0" w:color="000000"/>
              <w:bottom w:val="single" w:sz="6" w:space="0" w:color="000000"/>
              <w:right w:val="single" w:sz="6" w:space="0" w:color="000000"/>
            </w:tcBorders>
          </w:tcPr>
          <w:p w14:paraId="27FB95F6"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Appendix 10</w:t>
            </w:r>
          </w:p>
        </w:tc>
        <w:tc>
          <w:tcPr>
            <w:tcW w:w="1560" w:type="dxa"/>
            <w:tcBorders>
              <w:top w:val="single" w:sz="6" w:space="0" w:color="000000"/>
              <w:left w:val="single" w:sz="6" w:space="0" w:color="000000"/>
              <w:bottom w:val="single" w:sz="6" w:space="0" w:color="000000"/>
              <w:right w:val="single" w:sz="6" w:space="0" w:color="000000"/>
            </w:tcBorders>
          </w:tcPr>
          <w:p w14:paraId="79B4BB81"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ge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258A4C76" w14:textId="77777777" w:rsidR="0040710E" w:rsidRDefault="00000000">
            <w:pPr>
              <w:keepLines/>
              <w:spacing w:before="40" w:after="40"/>
              <w:rPr>
                <w:rFonts w:ascii="Arial" w:eastAsia="Arial" w:hAnsi="Arial" w:cs="Arial"/>
                <w:sz w:val="20"/>
                <w:szCs w:val="20"/>
              </w:rPr>
            </w:pPr>
            <w:r>
              <w:rPr>
                <w:rFonts w:ascii="Arial" w:eastAsia="Arial" w:hAnsi="Arial" w:cs="Arial"/>
                <w:color w:val="000000"/>
                <w:sz w:val="20"/>
                <w:szCs w:val="20"/>
              </w:rPr>
              <w:t>Not clear how projects will be held accountable to random sampling or removing observations (such as the exceptions listed for KPTs logistics)</w:t>
            </w:r>
          </w:p>
        </w:tc>
        <w:tc>
          <w:tcPr>
            <w:tcW w:w="4545" w:type="dxa"/>
            <w:tcBorders>
              <w:top w:val="single" w:sz="6" w:space="0" w:color="000000"/>
              <w:left w:val="single" w:sz="6" w:space="0" w:color="000000"/>
              <w:bottom w:val="single" w:sz="6" w:space="0" w:color="000000"/>
              <w:right w:val="single" w:sz="6" w:space="0" w:color="000000"/>
            </w:tcBorders>
          </w:tcPr>
          <w:p w14:paraId="45A40370" w14:textId="77777777" w:rsidR="0040710E" w:rsidRDefault="00000000">
            <w:pPr>
              <w:keepLines/>
              <w:spacing w:before="40" w:after="40"/>
              <w:rPr>
                <w:rFonts w:ascii="Arial" w:eastAsia="Arial" w:hAnsi="Arial" w:cs="Arial"/>
                <w:sz w:val="20"/>
                <w:szCs w:val="20"/>
              </w:rPr>
            </w:pPr>
            <w:r>
              <w:rPr>
                <w:rFonts w:ascii="Arial" w:eastAsia="Arial" w:hAnsi="Arial" w:cs="Arial"/>
                <w:color w:val="000000"/>
                <w:sz w:val="20"/>
                <w:szCs w:val="20"/>
              </w:rPr>
              <w:t>Require projects to transparently show that they chose randomly (provide code with a set seed, etc.) and outline how projects will be audited to ensure that selection was random</w:t>
            </w:r>
          </w:p>
        </w:tc>
      </w:tr>
      <w:tr w:rsidR="0040710E" w14:paraId="4E546B28"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5CBA5888"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427</w:t>
            </w:r>
          </w:p>
        </w:tc>
        <w:tc>
          <w:tcPr>
            <w:tcW w:w="1605" w:type="dxa"/>
            <w:tcBorders>
              <w:top w:val="single" w:sz="6" w:space="0" w:color="000000"/>
              <w:left w:val="single" w:sz="6" w:space="0" w:color="000000"/>
              <w:bottom w:val="single" w:sz="6" w:space="0" w:color="000000"/>
              <w:right w:val="single" w:sz="6" w:space="0" w:color="000000"/>
            </w:tcBorders>
          </w:tcPr>
          <w:p w14:paraId="73E3411B"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Caveats and restrictions</w:t>
            </w:r>
          </w:p>
        </w:tc>
        <w:tc>
          <w:tcPr>
            <w:tcW w:w="1560" w:type="dxa"/>
            <w:tcBorders>
              <w:top w:val="single" w:sz="6" w:space="0" w:color="000000"/>
              <w:left w:val="single" w:sz="6" w:space="0" w:color="000000"/>
              <w:bottom w:val="single" w:sz="6" w:space="0" w:color="000000"/>
              <w:right w:val="single" w:sz="6" w:space="0" w:color="000000"/>
            </w:tcBorders>
          </w:tcPr>
          <w:p w14:paraId="704591A1"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ge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37F0D230" w14:textId="77777777" w:rsidR="0040710E" w:rsidRDefault="00000000">
            <w:pPr>
              <w:keepLines/>
              <w:spacing w:before="40" w:after="40"/>
              <w:rPr>
                <w:rFonts w:ascii="Arial" w:eastAsia="Arial" w:hAnsi="Arial" w:cs="Arial"/>
                <w:color w:val="000000"/>
                <w:sz w:val="20"/>
                <w:szCs w:val="20"/>
              </w:rPr>
            </w:pPr>
            <w:r>
              <w:rPr>
                <w:rFonts w:ascii="Arial" w:eastAsia="Arial" w:hAnsi="Arial" w:cs="Arial"/>
                <w:color w:val="000000"/>
                <w:sz w:val="20"/>
                <w:szCs w:val="20"/>
              </w:rPr>
              <w:t xml:space="preserve">If a project fuel/stove can be CTEC, then it must be CTEC. </w:t>
            </w:r>
          </w:p>
        </w:tc>
        <w:tc>
          <w:tcPr>
            <w:tcW w:w="4545" w:type="dxa"/>
            <w:tcBorders>
              <w:top w:val="single" w:sz="6" w:space="0" w:color="000000"/>
              <w:left w:val="single" w:sz="6" w:space="0" w:color="000000"/>
              <w:bottom w:val="single" w:sz="6" w:space="0" w:color="000000"/>
              <w:right w:val="single" w:sz="6" w:space="0" w:color="000000"/>
            </w:tcBorders>
          </w:tcPr>
          <w:p w14:paraId="2CBC494A" w14:textId="77777777" w:rsidR="0040710E" w:rsidRDefault="00000000">
            <w:pPr>
              <w:keepLines/>
              <w:spacing w:before="40" w:after="40"/>
              <w:rPr>
                <w:rFonts w:ascii="Arial" w:eastAsia="Arial" w:hAnsi="Arial" w:cs="Arial"/>
                <w:color w:val="000000"/>
                <w:sz w:val="20"/>
                <w:szCs w:val="20"/>
              </w:rPr>
            </w:pPr>
            <w:r>
              <w:rPr>
                <w:rFonts w:ascii="Arial" w:eastAsia="Arial" w:hAnsi="Arial" w:cs="Arial"/>
                <w:color w:val="000000"/>
                <w:sz w:val="20"/>
                <w:szCs w:val="20"/>
              </w:rPr>
              <w:t xml:space="preserve">Require certain fuels that are purchased (LPG, ethanol, pellets, electricity, etc.) to be CTEC projects. </w:t>
            </w:r>
          </w:p>
        </w:tc>
      </w:tr>
      <w:tr w:rsidR="0040710E" w14:paraId="0A22D716"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179FBE1E"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lastRenderedPageBreak/>
              <w:t>456</w:t>
            </w:r>
          </w:p>
        </w:tc>
        <w:tc>
          <w:tcPr>
            <w:tcW w:w="1605" w:type="dxa"/>
            <w:tcBorders>
              <w:top w:val="single" w:sz="6" w:space="0" w:color="000000"/>
              <w:left w:val="single" w:sz="6" w:space="0" w:color="000000"/>
              <w:bottom w:val="single" w:sz="6" w:space="0" w:color="000000"/>
              <w:right w:val="single" w:sz="6" w:space="0" w:color="000000"/>
            </w:tcBorders>
          </w:tcPr>
          <w:p w14:paraId="664D3D8B" w14:textId="77777777" w:rsidR="0040710E" w:rsidRDefault="00000000">
            <w:pPr>
              <w:keepLines/>
              <w:spacing w:before="40" w:after="40"/>
              <w:jc w:val="center"/>
              <w:rPr>
                <w:rFonts w:ascii="Arial" w:eastAsia="Arial" w:hAnsi="Arial" w:cs="Arial"/>
                <w:sz w:val="20"/>
                <w:szCs w:val="20"/>
              </w:rPr>
            </w:pPr>
            <w:r>
              <w:rPr>
                <w:rFonts w:ascii="Arial" w:eastAsia="Arial" w:hAnsi="Arial" w:cs="Arial"/>
                <w:sz w:val="20"/>
                <w:szCs w:val="20"/>
              </w:rPr>
              <w:t>Section 6: Sustainable Development Goals</w:t>
            </w:r>
          </w:p>
        </w:tc>
        <w:tc>
          <w:tcPr>
            <w:tcW w:w="1560" w:type="dxa"/>
            <w:tcBorders>
              <w:top w:val="single" w:sz="6" w:space="0" w:color="000000"/>
              <w:left w:val="single" w:sz="6" w:space="0" w:color="000000"/>
              <w:bottom w:val="single" w:sz="6" w:space="0" w:color="000000"/>
              <w:right w:val="single" w:sz="6" w:space="0" w:color="000000"/>
            </w:tcBorders>
          </w:tcPr>
          <w:p w14:paraId="3C3EE3A0"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ge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53AF3AB4" w14:textId="77777777" w:rsidR="0040710E" w:rsidRDefault="00000000">
            <w:pPr>
              <w:keepLines/>
              <w:spacing w:before="40" w:after="40"/>
              <w:rPr>
                <w:rFonts w:ascii="Arial" w:eastAsia="Arial" w:hAnsi="Arial" w:cs="Arial"/>
                <w:color w:val="000000"/>
                <w:sz w:val="20"/>
                <w:szCs w:val="20"/>
              </w:rPr>
            </w:pPr>
            <w:r>
              <w:rPr>
                <w:rFonts w:ascii="Arial" w:eastAsia="Arial" w:hAnsi="Arial" w:cs="Arial"/>
                <w:color w:val="000000"/>
                <w:sz w:val="20"/>
                <w:szCs w:val="20"/>
              </w:rPr>
              <w:t>SDGs- Cookstove projects of course contribute to multiple SDGs; however, the way in which GS allows projects to measure impact on those SDGs has also been called into question: </w:t>
            </w:r>
          </w:p>
          <w:p w14:paraId="046BF378" w14:textId="77777777" w:rsidR="0040710E" w:rsidRDefault="0040710E">
            <w:pPr>
              <w:keepLines/>
              <w:spacing w:before="40" w:after="40"/>
              <w:rPr>
                <w:rFonts w:ascii="Arial" w:eastAsia="Arial" w:hAnsi="Arial" w:cs="Arial"/>
                <w:color w:val="000000"/>
                <w:sz w:val="20"/>
                <w:szCs w:val="20"/>
              </w:rPr>
            </w:pPr>
          </w:p>
          <w:p w14:paraId="3C680189" w14:textId="77777777" w:rsidR="0040710E" w:rsidRDefault="00000000">
            <w:pPr>
              <w:keepLines/>
              <w:spacing w:before="40" w:after="40"/>
              <w:rPr>
                <w:rFonts w:ascii="Arial" w:eastAsia="Arial" w:hAnsi="Arial" w:cs="Arial"/>
                <w:color w:val="000000"/>
                <w:sz w:val="20"/>
                <w:szCs w:val="20"/>
              </w:rPr>
            </w:pPr>
            <w:hyperlink r:id="rId10">
              <w:r>
                <w:rPr>
                  <w:rFonts w:ascii="Arial" w:eastAsia="Arial" w:hAnsi="Arial" w:cs="Arial"/>
                  <w:color w:val="0563C1"/>
                  <w:sz w:val="20"/>
                  <w:szCs w:val="20"/>
                  <w:u w:val="single"/>
                </w:rPr>
                <w:t>https://climatefocus.com/publications/clean-cooking-projects-certified/</w:t>
              </w:r>
            </w:hyperlink>
          </w:p>
          <w:p w14:paraId="7D0FAE6C" w14:textId="77777777" w:rsidR="0040710E" w:rsidRDefault="0040710E">
            <w:pPr>
              <w:keepLines/>
              <w:spacing w:before="40" w:after="40"/>
              <w:rPr>
                <w:rFonts w:ascii="Arial" w:eastAsia="Arial" w:hAnsi="Arial" w:cs="Arial"/>
                <w:color w:val="000000"/>
                <w:sz w:val="20"/>
                <w:szCs w:val="20"/>
              </w:rPr>
            </w:pPr>
          </w:p>
          <w:p w14:paraId="5DA35447" w14:textId="77777777" w:rsidR="0040710E" w:rsidRDefault="00000000">
            <w:pPr>
              <w:keepLines/>
              <w:spacing w:before="40" w:after="40"/>
              <w:rPr>
                <w:rFonts w:ascii="Arial" w:eastAsia="Arial" w:hAnsi="Arial" w:cs="Arial"/>
                <w:color w:val="000000"/>
                <w:sz w:val="20"/>
                <w:szCs w:val="20"/>
              </w:rPr>
            </w:pPr>
            <w:r>
              <w:rPr>
                <w:rFonts w:ascii="Arial" w:eastAsia="Arial" w:hAnsi="Arial" w:cs="Arial"/>
                <w:color w:val="000000"/>
                <w:sz w:val="20"/>
                <w:szCs w:val="20"/>
              </w:rPr>
              <w:t xml:space="preserve">There have been updates since that report, and projects on GS will have to do this, but why tie questionable SDG quantification to this methodology? </w:t>
            </w:r>
            <w:proofErr w:type="gramStart"/>
            <w:r>
              <w:rPr>
                <w:rFonts w:ascii="Arial" w:eastAsia="Arial" w:hAnsi="Arial" w:cs="Arial"/>
                <w:color w:val="000000"/>
                <w:sz w:val="20"/>
                <w:szCs w:val="20"/>
              </w:rPr>
              <w:t>Instead</w:t>
            </w:r>
            <w:proofErr w:type="gramEnd"/>
            <w:r>
              <w:rPr>
                <w:rFonts w:ascii="Arial" w:eastAsia="Arial" w:hAnsi="Arial" w:cs="Arial"/>
                <w:color w:val="000000"/>
                <w:sz w:val="20"/>
                <w:szCs w:val="20"/>
              </w:rPr>
              <w:t xml:space="preserve"> you could have stricter standards?</w:t>
            </w:r>
          </w:p>
          <w:p w14:paraId="5DE508F9" w14:textId="77777777" w:rsidR="0040710E" w:rsidRDefault="0040710E">
            <w:pPr>
              <w:keepLines/>
              <w:spacing w:before="40" w:after="40"/>
              <w:rPr>
                <w:rFonts w:ascii="Arial" w:eastAsia="Arial" w:hAnsi="Arial" w:cs="Arial"/>
                <w:color w:val="000000"/>
                <w:sz w:val="20"/>
                <w:szCs w:val="20"/>
              </w:rPr>
            </w:pPr>
          </w:p>
          <w:p w14:paraId="369628DA" w14:textId="77777777" w:rsidR="0040710E" w:rsidRDefault="0040710E">
            <w:pPr>
              <w:keepLines/>
              <w:spacing w:before="40" w:after="40"/>
              <w:rPr>
                <w:rFonts w:ascii="Arial" w:eastAsia="Arial" w:hAnsi="Arial" w:cs="Arial"/>
                <w:color w:val="000000"/>
                <w:sz w:val="20"/>
                <w:szCs w:val="20"/>
              </w:rPr>
            </w:pPr>
          </w:p>
        </w:tc>
        <w:tc>
          <w:tcPr>
            <w:tcW w:w="4545" w:type="dxa"/>
            <w:tcBorders>
              <w:top w:val="single" w:sz="6" w:space="0" w:color="000000"/>
              <w:left w:val="single" w:sz="6" w:space="0" w:color="000000"/>
              <w:bottom w:val="single" w:sz="6" w:space="0" w:color="000000"/>
              <w:right w:val="single" w:sz="6" w:space="0" w:color="000000"/>
            </w:tcBorders>
          </w:tcPr>
          <w:p w14:paraId="39A9F85B" w14:textId="77777777" w:rsidR="0040710E" w:rsidRDefault="00000000">
            <w:pPr>
              <w:keepLines/>
              <w:spacing w:before="40" w:after="40"/>
              <w:rPr>
                <w:rFonts w:ascii="Arial" w:eastAsia="Arial" w:hAnsi="Arial" w:cs="Arial"/>
                <w:color w:val="000000"/>
                <w:sz w:val="20"/>
                <w:szCs w:val="20"/>
              </w:rPr>
            </w:pPr>
            <w:r>
              <w:rPr>
                <w:rFonts w:ascii="Arial" w:eastAsia="Arial" w:hAnsi="Arial" w:cs="Arial"/>
                <w:color w:val="000000"/>
                <w:sz w:val="20"/>
                <w:szCs w:val="20"/>
              </w:rPr>
              <w:t>If projects want the 4C stamp on their SDG contribution, create a prespecified methods to establish SDG impacts that goes beyond simple surveys of the users and require this monitoring to be conducted by a third party: </w:t>
            </w:r>
          </w:p>
          <w:p w14:paraId="48A987A3" w14:textId="77777777" w:rsidR="0040710E" w:rsidRDefault="0040710E">
            <w:pPr>
              <w:keepLines/>
              <w:spacing w:before="40" w:after="40"/>
              <w:rPr>
                <w:rFonts w:ascii="Arial" w:eastAsia="Arial" w:hAnsi="Arial" w:cs="Arial"/>
                <w:color w:val="000000"/>
                <w:sz w:val="20"/>
                <w:szCs w:val="20"/>
              </w:rPr>
            </w:pPr>
          </w:p>
          <w:p w14:paraId="2AC5441E" w14:textId="77777777" w:rsidR="0040710E" w:rsidRDefault="00000000">
            <w:pPr>
              <w:keepLines/>
              <w:spacing w:before="40" w:after="40"/>
              <w:rPr>
                <w:rFonts w:ascii="Arial" w:eastAsia="Arial" w:hAnsi="Arial" w:cs="Arial"/>
                <w:color w:val="000000"/>
                <w:sz w:val="20"/>
                <w:szCs w:val="20"/>
              </w:rPr>
            </w:pPr>
            <w:r>
              <w:rPr>
                <w:rFonts w:ascii="Arial" w:eastAsia="Arial" w:hAnsi="Arial" w:cs="Arial"/>
                <w:color w:val="000000"/>
                <w:sz w:val="20"/>
                <w:szCs w:val="20"/>
              </w:rPr>
              <w:t>At the least: </w:t>
            </w:r>
          </w:p>
          <w:p w14:paraId="6CD30CCF" w14:textId="77777777" w:rsidR="0040710E" w:rsidRDefault="0040710E">
            <w:pPr>
              <w:keepLines/>
              <w:spacing w:before="40" w:after="40"/>
              <w:rPr>
                <w:rFonts w:ascii="Arial" w:eastAsia="Arial" w:hAnsi="Arial" w:cs="Arial"/>
                <w:color w:val="000000"/>
                <w:sz w:val="20"/>
                <w:szCs w:val="20"/>
              </w:rPr>
            </w:pPr>
          </w:p>
          <w:p w14:paraId="779F6033" w14:textId="77777777" w:rsidR="0040710E" w:rsidRDefault="00000000">
            <w:pPr>
              <w:keepLines/>
              <w:spacing w:before="40" w:after="40"/>
              <w:rPr>
                <w:rFonts w:ascii="Arial" w:eastAsia="Arial" w:hAnsi="Arial" w:cs="Arial"/>
                <w:color w:val="000000"/>
                <w:sz w:val="20"/>
                <w:szCs w:val="20"/>
              </w:rPr>
            </w:pPr>
            <w:r>
              <w:rPr>
                <w:rFonts w:ascii="Arial" w:eastAsia="Arial" w:hAnsi="Arial" w:cs="Arial"/>
                <w:color w:val="000000"/>
                <w:sz w:val="20"/>
                <w:szCs w:val="20"/>
              </w:rPr>
              <w:t xml:space="preserve">For SDG 3, ensure that the stove deployed meets Tier 4 for PM2.5 from the ISO standards and isn’t being stacked </w:t>
            </w:r>
            <w:proofErr w:type="gramStart"/>
            <w:r>
              <w:rPr>
                <w:rFonts w:ascii="Arial" w:eastAsia="Arial" w:hAnsi="Arial" w:cs="Arial"/>
                <w:color w:val="000000"/>
                <w:sz w:val="20"/>
                <w:szCs w:val="20"/>
              </w:rPr>
              <w:t>in order to</w:t>
            </w:r>
            <w:proofErr w:type="gramEnd"/>
            <w:r>
              <w:rPr>
                <w:rFonts w:ascii="Arial" w:eastAsia="Arial" w:hAnsi="Arial" w:cs="Arial"/>
                <w:color w:val="000000"/>
                <w:sz w:val="20"/>
                <w:szCs w:val="20"/>
              </w:rPr>
              <w:t xml:space="preserve"> claim any health benefit. </w:t>
            </w:r>
          </w:p>
          <w:p w14:paraId="383A803C" w14:textId="77777777" w:rsidR="0040710E" w:rsidRDefault="0040710E">
            <w:pPr>
              <w:keepLines/>
              <w:spacing w:before="40" w:after="40"/>
              <w:rPr>
                <w:rFonts w:ascii="Arial" w:eastAsia="Arial" w:hAnsi="Arial" w:cs="Arial"/>
                <w:color w:val="000000"/>
                <w:sz w:val="20"/>
                <w:szCs w:val="20"/>
              </w:rPr>
            </w:pPr>
          </w:p>
          <w:p w14:paraId="37565371" w14:textId="77777777" w:rsidR="0040710E" w:rsidRDefault="00000000">
            <w:pPr>
              <w:keepLines/>
              <w:spacing w:before="40" w:after="40"/>
              <w:rPr>
                <w:rFonts w:ascii="Arial" w:eastAsia="Arial" w:hAnsi="Arial" w:cs="Arial"/>
                <w:color w:val="000000"/>
                <w:sz w:val="20"/>
                <w:szCs w:val="20"/>
              </w:rPr>
            </w:pPr>
            <w:r>
              <w:rPr>
                <w:rFonts w:ascii="Arial" w:eastAsia="Arial" w:hAnsi="Arial" w:cs="Arial"/>
                <w:color w:val="000000"/>
                <w:sz w:val="20"/>
                <w:szCs w:val="20"/>
              </w:rPr>
              <w:t>For SDG 1, projects must quantify the amount households are spending on cooking fuel at baseline and then track it over time rather than just asking the participant, are you saving money with the new stove</w:t>
            </w:r>
          </w:p>
          <w:p w14:paraId="05CBE122" w14:textId="77777777" w:rsidR="0040710E" w:rsidRDefault="0040710E">
            <w:pPr>
              <w:keepLines/>
              <w:spacing w:before="40" w:after="40"/>
              <w:rPr>
                <w:rFonts w:ascii="Arial" w:eastAsia="Arial" w:hAnsi="Arial" w:cs="Arial"/>
                <w:color w:val="000000"/>
                <w:sz w:val="20"/>
                <w:szCs w:val="20"/>
              </w:rPr>
            </w:pPr>
          </w:p>
          <w:p w14:paraId="798888F9" w14:textId="77777777" w:rsidR="0040710E" w:rsidRDefault="00000000">
            <w:pPr>
              <w:keepLines/>
              <w:spacing w:before="40" w:after="40"/>
              <w:rPr>
                <w:rFonts w:ascii="Arial" w:eastAsia="Arial" w:hAnsi="Arial" w:cs="Arial"/>
                <w:color w:val="000000"/>
                <w:sz w:val="20"/>
                <w:szCs w:val="20"/>
              </w:rPr>
            </w:pPr>
            <w:r>
              <w:rPr>
                <w:rFonts w:ascii="Arial" w:eastAsia="Arial" w:hAnsi="Arial" w:cs="Arial"/>
                <w:color w:val="000000"/>
                <w:sz w:val="20"/>
                <w:szCs w:val="20"/>
              </w:rPr>
              <w:t>For SDG 8, require releasing internal employment records and ensure that the wage is a living wage (above the national poverty line). </w:t>
            </w:r>
          </w:p>
          <w:p w14:paraId="05FBBE6F" w14:textId="77777777" w:rsidR="0040710E" w:rsidRDefault="0040710E">
            <w:pPr>
              <w:keepLines/>
              <w:spacing w:before="40" w:after="40"/>
              <w:rPr>
                <w:rFonts w:ascii="Arial" w:eastAsia="Arial" w:hAnsi="Arial" w:cs="Arial"/>
                <w:color w:val="000000"/>
                <w:sz w:val="20"/>
                <w:szCs w:val="20"/>
              </w:rPr>
            </w:pPr>
          </w:p>
          <w:p w14:paraId="25C5531C" w14:textId="77777777" w:rsidR="0040710E" w:rsidRDefault="00000000">
            <w:pPr>
              <w:keepLines/>
              <w:spacing w:before="40" w:after="40"/>
              <w:rPr>
                <w:rFonts w:ascii="Arial" w:eastAsia="Arial" w:hAnsi="Arial" w:cs="Arial"/>
                <w:color w:val="000000"/>
                <w:sz w:val="20"/>
                <w:szCs w:val="20"/>
              </w:rPr>
            </w:pPr>
            <w:r>
              <w:rPr>
                <w:rFonts w:ascii="Arial" w:eastAsia="Arial" w:hAnsi="Arial" w:cs="Arial"/>
                <w:color w:val="000000"/>
                <w:sz w:val="20"/>
                <w:szCs w:val="20"/>
              </w:rPr>
              <w:t>For SDG 7, require SUM data rather than household survey to report stove usage. </w:t>
            </w:r>
          </w:p>
          <w:p w14:paraId="1E122826" w14:textId="77777777" w:rsidR="0040710E" w:rsidRDefault="0040710E">
            <w:pPr>
              <w:keepLines/>
              <w:spacing w:before="40" w:after="40"/>
              <w:rPr>
                <w:rFonts w:ascii="Arial" w:eastAsia="Arial" w:hAnsi="Arial" w:cs="Arial"/>
                <w:color w:val="000000"/>
                <w:sz w:val="20"/>
                <w:szCs w:val="20"/>
              </w:rPr>
            </w:pPr>
          </w:p>
          <w:p w14:paraId="399AFE84" w14:textId="77777777" w:rsidR="0040710E" w:rsidRDefault="0040710E">
            <w:pPr>
              <w:keepLines/>
              <w:spacing w:before="40" w:after="40"/>
              <w:rPr>
                <w:rFonts w:ascii="Arial" w:eastAsia="Arial" w:hAnsi="Arial" w:cs="Arial"/>
                <w:color w:val="000000"/>
                <w:sz w:val="20"/>
                <w:szCs w:val="20"/>
              </w:rPr>
            </w:pPr>
          </w:p>
        </w:tc>
      </w:tr>
      <w:tr w:rsidR="00BA4589" w14:paraId="7EF4389F" w14:textId="77777777" w:rsidTr="00261094">
        <w:trPr>
          <w:cantSplit/>
          <w:jc w:val="right"/>
        </w:trPr>
        <w:tc>
          <w:tcPr>
            <w:tcW w:w="14235" w:type="dxa"/>
            <w:gridSpan w:val="5"/>
            <w:tcBorders>
              <w:top w:val="single" w:sz="6" w:space="0" w:color="000000"/>
              <w:left w:val="single" w:sz="6" w:space="0" w:color="000000"/>
              <w:bottom w:val="single" w:sz="6" w:space="0" w:color="000000"/>
              <w:right w:val="single" w:sz="6" w:space="0" w:color="000000"/>
            </w:tcBorders>
          </w:tcPr>
          <w:p w14:paraId="67CB57CD" w14:textId="01A83124" w:rsidR="00BA4589" w:rsidRDefault="00BA4589" w:rsidP="00BA4589">
            <w:pPr>
              <w:keepLines/>
              <w:spacing w:before="40" w:after="40"/>
              <w:jc w:val="center"/>
              <w:rPr>
                <w:rFonts w:ascii="Arial" w:eastAsia="Arial" w:hAnsi="Arial" w:cs="Arial"/>
                <w:sz w:val="20"/>
                <w:szCs w:val="20"/>
              </w:rPr>
            </w:pPr>
            <w:r>
              <w:rPr>
                <w:rFonts w:ascii="Arial" w:eastAsia="Arial" w:hAnsi="Arial" w:cs="Arial"/>
                <w:b/>
                <w:sz w:val="20"/>
                <w:szCs w:val="20"/>
              </w:rPr>
              <w:t>I’d like to acknowledge some of the advancements within the methodology.</w:t>
            </w:r>
          </w:p>
        </w:tc>
      </w:tr>
      <w:tr w:rsidR="0040710E" w14:paraId="6436F3F3"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7A2D3434" w14:textId="77777777" w:rsidR="0040710E" w:rsidRDefault="0040710E">
            <w:pPr>
              <w:keepLines/>
              <w:spacing w:before="40" w:after="40"/>
              <w:jc w:val="center"/>
              <w:rPr>
                <w:rFonts w:ascii="Arial" w:eastAsia="Arial" w:hAnsi="Arial" w:cs="Arial"/>
                <w:sz w:val="20"/>
                <w:szCs w:val="20"/>
              </w:rPr>
            </w:pPr>
          </w:p>
        </w:tc>
        <w:tc>
          <w:tcPr>
            <w:tcW w:w="1605" w:type="dxa"/>
            <w:tcBorders>
              <w:top w:val="single" w:sz="6" w:space="0" w:color="000000"/>
              <w:left w:val="single" w:sz="6" w:space="0" w:color="000000"/>
              <w:bottom w:val="single" w:sz="6" w:space="0" w:color="000000"/>
              <w:right w:val="single" w:sz="6" w:space="0" w:color="000000"/>
            </w:tcBorders>
          </w:tcPr>
          <w:p w14:paraId="3338A641" w14:textId="77777777" w:rsidR="0040710E" w:rsidRDefault="0040710E">
            <w:pPr>
              <w:keepLines/>
              <w:spacing w:before="40" w:after="40"/>
              <w:jc w:val="center"/>
              <w:rPr>
                <w:rFonts w:ascii="Arial" w:eastAsia="Arial" w:hAnsi="Arial" w:cs="Arial"/>
                <w:sz w:val="20"/>
                <w:szCs w:val="20"/>
              </w:rPr>
            </w:pPr>
          </w:p>
        </w:tc>
        <w:tc>
          <w:tcPr>
            <w:tcW w:w="1560" w:type="dxa"/>
            <w:tcBorders>
              <w:top w:val="single" w:sz="6" w:space="0" w:color="000000"/>
              <w:left w:val="single" w:sz="6" w:space="0" w:color="000000"/>
              <w:bottom w:val="single" w:sz="6" w:space="0" w:color="000000"/>
              <w:right w:val="single" w:sz="6" w:space="0" w:color="000000"/>
            </w:tcBorders>
          </w:tcPr>
          <w:p w14:paraId="1F4ECCBA"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te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2D10CF7E"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Hawthorne effect. I appreciate that there is limited evidence on the Hawthorne effect. One peer reviewed paper and a white paper. It is difficult to compare apples to apples in these two papers, Simons et al. compares the KPT values (by stove) to the SUMs translating the temperature data into kgs using an algorithm, finding a need for a 35% adjustment for ERs. The Berkeley Air report simply looks at the SUM data before, during, and after fieldwork, finding no difference. However, it doesn’t compare the SUM data to the KPT values. Further, in the report, it doesn’t clarify if all SUM-ed households also had KPTs performed. If each were a sub-sample, then it could average out. And the study has not yet been peer-reviewed. Regardless, further research is </w:t>
            </w:r>
            <w:proofErr w:type="gramStart"/>
            <w:r>
              <w:rPr>
                <w:rFonts w:ascii="Arial" w:eastAsia="Arial" w:hAnsi="Arial" w:cs="Arial"/>
                <w:sz w:val="20"/>
                <w:szCs w:val="20"/>
              </w:rPr>
              <w:t>needed</w:t>
            </w:r>
            <w:proofErr w:type="gramEnd"/>
            <w:r>
              <w:rPr>
                <w:rFonts w:ascii="Arial" w:eastAsia="Arial" w:hAnsi="Arial" w:cs="Arial"/>
                <w:sz w:val="20"/>
                <w:szCs w:val="20"/>
              </w:rPr>
              <w:t xml:space="preserve"> and I am open to the fact that we should not rely on only one study. I think the 25% deduction is reasonable, while not the most conservative approach. I applaud the decision to increase it from 10% in the last </w:t>
            </w:r>
            <w:proofErr w:type="gramStart"/>
            <w:r>
              <w:rPr>
                <w:rFonts w:ascii="Arial" w:eastAsia="Arial" w:hAnsi="Arial" w:cs="Arial"/>
                <w:sz w:val="20"/>
                <w:szCs w:val="20"/>
              </w:rPr>
              <w:t>version, and</w:t>
            </w:r>
            <w:proofErr w:type="gramEnd"/>
            <w:r>
              <w:rPr>
                <w:rFonts w:ascii="Arial" w:eastAsia="Arial" w:hAnsi="Arial" w:cs="Arial"/>
                <w:sz w:val="20"/>
                <w:szCs w:val="20"/>
              </w:rPr>
              <w:t xml:space="preserve"> appreciate the option to adjust it based on SUM data. </w:t>
            </w:r>
          </w:p>
        </w:tc>
        <w:tc>
          <w:tcPr>
            <w:tcW w:w="4545" w:type="dxa"/>
            <w:tcBorders>
              <w:top w:val="single" w:sz="6" w:space="0" w:color="000000"/>
              <w:left w:val="single" w:sz="6" w:space="0" w:color="000000"/>
              <w:bottom w:val="single" w:sz="6" w:space="0" w:color="000000"/>
              <w:right w:val="single" w:sz="6" w:space="0" w:color="000000"/>
            </w:tcBorders>
          </w:tcPr>
          <w:p w14:paraId="78F4D908"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None</w:t>
            </w:r>
          </w:p>
        </w:tc>
      </w:tr>
      <w:tr w:rsidR="0040710E" w14:paraId="5D87A96E"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2B39AEA2" w14:textId="77777777" w:rsidR="0040710E" w:rsidRDefault="0040710E">
            <w:pPr>
              <w:keepLines/>
              <w:spacing w:before="40" w:after="40"/>
              <w:jc w:val="center"/>
              <w:rPr>
                <w:rFonts w:ascii="Arial" w:eastAsia="Arial" w:hAnsi="Arial" w:cs="Arial"/>
                <w:sz w:val="20"/>
                <w:szCs w:val="20"/>
              </w:rPr>
            </w:pPr>
          </w:p>
        </w:tc>
        <w:tc>
          <w:tcPr>
            <w:tcW w:w="1605" w:type="dxa"/>
            <w:tcBorders>
              <w:top w:val="single" w:sz="6" w:space="0" w:color="000000"/>
              <w:left w:val="single" w:sz="6" w:space="0" w:color="000000"/>
              <w:bottom w:val="single" w:sz="6" w:space="0" w:color="000000"/>
              <w:right w:val="single" w:sz="6" w:space="0" w:color="000000"/>
            </w:tcBorders>
          </w:tcPr>
          <w:p w14:paraId="5EED5245" w14:textId="48F17472" w:rsidR="0040710E" w:rsidRDefault="0040710E">
            <w:pPr>
              <w:keepLines/>
              <w:spacing w:before="40" w:after="40"/>
              <w:jc w:val="center"/>
              <w:rPr>
                <w:rFonts w:ascii="Arial" w:eastAsia="Arial" w:hAnsi="Arial" w:cs="Arial"/>
                <w:sz w:val="20"/>
                <w:szCs w:val="20"/>
              </w:rPr>
            </w:pPr>
          </w:p>
        </w:tc>
        <w:tc>
          <w:tcPr>
            <w:tcW w:w="1560" w:type="dxa"/>
            <w:tcBorders>
              <w:top w:val="single" w:sz="6" w:space="0" w:color="000000"/>
              <w:left w:val="single" w:sz="6" w:space="0" w:color="000000"/>
              <w:bottom w:val="single" w:sz="6" w:space="0" w:color="000000"/>
              <w:right w:val="single" w:sz="6" w:space="0" w:color="000000"/>
            </w:tcBorders>
          </w:tcPr>
          <w:p w14:paraId="5179FD9A"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ge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5002E34C"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fNRB – Applaud the commitment to the </w:t>
            </w:r>
            <w:proofErr w:type="spellStart"/>
            <w:r>
              <w:rPr>
                <w:rFonts w:ascii="Arial" w:eastAsia="Arial" w:hAnsi="Arial" w:cs="Arial"/>
                <w:sz w:val="20"/>
                <w:szCs w:val="20"/>
              </w:rPr>
              <w:t>MoFuSS</w:t>
            </w:r>
            <w:proofErr w:type="spellEnd"/>
            <w:r>
              <w:rPr>
                <w:rFonts w:ascii="Arial" w:eastAsia="Arial" w:hAnsi="Arial" w:cs="Arial"/>
                <w:sz w:val="20"/>
                <w:szCs w:val="20"/>
              </w:rPr>
              <w:t xml:space="preserve"> model and the retirement of Tool 30. </w:t>
            </w:r>
          </w:p>
        </w:tc>
        <w:tc>
          <w:tcPr>
            <w:tcW w:w="4545" w:type="dxa"/>
            <w:tcBorders>
              <w:top w:val="single" w:sz="6" w:space="0" w:color="000000"/>
              <w:left w:val="single" w:sz="6" w:space="0" w:color="000000"/>
              <w:bottom w:val="single" w:sz="6" w:space="0" w:color="000000"/>
              <w:right w:val="single" w:sz="6" w:space="0" w:color="000000"/>
            </w:tcBorders>
          </w:tcPr>
          <w:p w14:paraId="19D6B919"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None </w:t>
            </w:r>
          </w:p>
        </w:tc>
      </w:tr>
      <w:tr w:rsidR="0040710E" w14:paraId="7ACEC2F6"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387BC764" w14:textId="77777777" w:rsidR="0040710E" w:rsidRDefault="0040710E">
            <w:pPr>
              <w:keepLines/>
              <w:spacing w:before="40" w:after="40"/>
              <w:jc w:val="center"/>
              <w:rPr>
                <w:rFonts w:ascii="Arial" w:eastAsia="Arial" w:hAnsi="Arial" w:cs="Arial"/>
                <w:sz w:val="20"/>
                <w:szCs w:val="20"/>
              </w:rPr>
            </w:pPr>
          </w:p>
        </w:tc>
        <w:tc>
          <w:tcPr>
            <w:tcW w:w="1605" w:type="dxa"/>
            <w:tcBorders>
              <w:top w:val="single" w:sz="6" w:space="0" w:color="000000"/>
              <w:left w:val="single" w:sz="6" w:space="0" w:color="000000"/>
              <w:bottom w:val="single" w:sz="6" w:space="0" w:color="000000"/>
              <w:right w:val="single" w:sz="6" w:space="0" w:color="000000"/>
            </w:tcBorders>
          </w:tcPr>
          <w:p w14:paraId="7F9D066A" w14:textId="5656B60B" w:rsidR="0040710E" w:rsidRDefault="0040710E">
            <w:pPr>
              <w:keepLines/>
              <w:spacing w:before="40" w:after="40"/>
              <w:jc w:val="center"/>
              <w:rPr>
                <w:rFonts w:ascii="Arial" w:eastAsia="Arial" w:hAnsi="Arial" w:cs="Arial"/>
                <w:sz w:val="20"/>
                <w:szCs w:val="20"/>
              </w:rPr>
            </w:pPr>
          </w:p>
        </w:tc>
        <w:tc>
          <w:tcPr>
            <w:tcW w:w="1560" w:type="dxa"/>
            <w:tcBorders>
              <w:top w:val="single" w:sz="6" w:space="0" w:color="000000"/>
              <w:left w:val="single" w:sz="6" w:space="0" w:color="000000"/>
              <w:bottom w:val="single" w:sz="6" w:space="0" w:color="000000"/>
              <w:right w:val="single" w:sz="6" w:space="0" w:color="000000"/>
            </w:tcBorders>
          </w:tcPr>
          <w:p w14:paraId="460C0E76"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ge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5793ABBE"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Guidance – I very much appreciate the more detailed explanations and directions for sampling/CCTs/KPTs and survey requirements. And on the timing of KPTs! </w:t>
            </w:r>
          </w:p>
        </w:tc>
        <w:tc>
          <w:tcPr>
            <w:tcW w:w="4545" w:type="dxa"/>
            <w:tcBorders>
              <w:top w:val="single" w:sz="6" w:space="0" w:color="000000"/>
              <w:left w:val="single" w:sz="6" w:space="0" w:color="000000"/>
              <w:bottom w:val="single" w:sz="6" w:space="0" w:color="000000"/>
              <w:right w:val="single" w:sz="6" w:space="0" w:color="000000"/>
            </w:tcBorders>
          </w:tcPr>
          <w:p w14:paraId="573080EC"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None</w:t>
            </w:r>
          </w:p>
        </w:tc>
      </w:tr>
      <w:tr w:rsidR="0040710E" w14:paraId="36DB7D15"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691A406A" w14:textId="77777777" w:rsidR="0040710E" w:rsidRDefault="0040710E">
            <w:pPr>
              <w:keepLines/>
              <w:spacing w:before="40" w:after="40"/>
              <w:jc w:val="center"/>
              <w:rPr>
                <w:rFonts w:ascii="Arial" w:eastAsia="Arial" w:hAnsi="Arial" w:cs="Arial"/>
                <w:sz w:val="20"/>
                <w:szCs w:val="20"/>
              </w:rPr>
            </w:pPr>
          </w:p>
        </w:tc>
        <w:tc>
          <w:tcPr>
            <w:tcW w:w="1605" w:type="dxa"/>
            <w:tcBorders>
              <w:top w:val="single" w:sz="6" w:space="0" w:color="000000"/>
              <w:left w:val="single" w:sz="6" w:space="0" w:color="000000"/>
              <w:bottom w:val="single" w:sz="6" w:space="0" w:color="000000"/>
              <w:right w:val="single" w:sz="6" w:space="0" w:color="000000"/>
            </w:tcBorders>
          </w:tcPr>
          <w:p w14:paraId="2F2615AD" w14:textId="77777777" w:rsidR="0040710E" w:rsidRDefault="0040710E">
            <w:pPr>
              <w:keepLines/>
              <w:spacing w:before="40" w:after="40"/>
              <w:jc w:val="center"/>
              <w:rPr>
                <w:rFonts w:ascii="Arial" w:eastAsia="Arial" w:hAnsi="Arial" w:cs="Arial"/>
                <w:sz w:val="20"/>
                <w:szCs w:val="20"/>
              </w:rPr>
            </w:pPr>
          </w:p>
        </w:tc>
        <w:tc>
          <w:tcPr>
            <w:tcW w:w="1560" w:type="dxa"/>
            <w:tcBorders>
              <w:top w:val="single" w:sz="6" w:space="0" w:color="000000"/>
              <w:left w:val="single" w:sz="6" w:space="0" w:color="000000"/>
              <w:bottom w:val="single" w:sz="6" w:space="0" w:color="000000"/>
              <w:right w:val="single" w:sz="6" w:space="0" w:color="000000"/>
            </w:tcBorders>
          </w:tcPr>
          <w:p w14:paraId="631A484A" w14:textId="77777777" w:rsidR="0040710E" w:rsidRDefault="00000000">
            <w:pPr>
              <w:keepLines/>
              <w:spacing w:before="40" w:after="40"/>
              <w:jc w:val="center"/>
              <w:rPr>
                <w:rFonts w:ascii="Arial" w:eastAsia="Arial" w:hAnsi="Arial" w:cs="Arial"/>
                <w:sz w:val="20"/>
                <w:szCs w:val="20"/>
              </w:rPr>
            </w:pPr>
            <w:proofErr w:type="spellStart"/>
            <w:r>
              <w:rPr>
                <w:rFonts w:ascii="Arial" w:eastAsia="Arial" w:hAnsi="Arial" w:cs="Arial"/>
                <w:sz w:val="20"/>
                <w:szCs w:val="20"/>
              </w:rPr>
              <w:t>ge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025432CD"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Uncertainty – I applaud the increase to a 95/10 requirement for statistical analysis</w:t>
            </w:r>
          </w:p>
        </w:tc>
        <w:tc>
          <w:tcPr>
            <w:tcW w:w="4545" w:type="dxa"/>
            <w:tcBorders>
              <w:top w:val="single" w:sz="6" w:space="0" w:color="000000"/>
              <w:left w:val="single" w:sz="6" w:space="0" w:color="000000"/>
              <w:bottom w:val="single" w:sz="6" w:space="0" w:color="000000"/>
              <w:right w:val="single" w:sz="6" w:space="0" w:color="000000"/>
            </w:tcBorders>
          </w:tcPr>
          <w:p w14:paraId="732D95DF"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None</w:t>
            </w:r>
          </w:p>
        </w:tc>
      </w:tr>
      <w:tr w:rsidR="0040710E" w14:paraId="4A0606B1"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1D5A5CC8" w14:textId="77777777" w:rsidR="0040710E" w:rsidRDefault="0040710E">
            <w:pPr>
              <w:keepLines/>
              <w:spacing w:before="40" w:after="40"/>
              <w:jc w:val="center"/>
              <w:rPr>
                <w:rFonts w:ascii="Arial" w:eastAsia="Arial" w:hAnsi="Arial" w:cs="Arial"/>
                <w:sz w:val="20"/>
                <w:szCs w:val="20"/>
              </w:rPr>
            </w:pPr>
          </w:p>
        </w:tc>
        <w:tc>
          <w:tcPr>
            <w:tcW w:w="1605" w:type="dxa"/>
            <w:tcBorders>
              <w:top w:val="single" w:sz="6" w:space="0" w:color="000000"/>
              <w:left w:val="single" w:sz="6" w:space="0" w:color="000000"/>
              <w:bottom w:val="single" w:sz="6" w:space="0" w:color="000000"/>
              <w:right w:val="single" w:sz="6" w:space="0" w:color="000000"/>
            </w:tcBorders>
          </w:tcPr>
          <w:p w14:paraId="2EA62971" w14:textId="77777777" w:rsidR="0040710E" w:rsidRDefault="0040710E">
            <w:pPr>
              <w:keepLines/>
              <w:spacing w:before="40" w:after="40"/>
              <w:jc w:val="center"/>
              <w:rPr>
                <w:rFonts w:ascii="Arial" w:eastAsia="Arial" w:hAnsi="Arial" w:cs="Arial"/>
                <w:sz w:val="20"/>
                <w:szCs w:val="20"/>
              </w:rPr>
            </w:pPr>
          </w:p>
        </w:tc>
        <w:tc>
          <w:tcPr>
            <w:tcW w:w="1560" w:type="dxa"/>
            <w:tcBorders>
              <w:top w:val="single" w:sz="6" w:space="0" w:color="000000"/>
              <w:left w:val="single" w:sz="6" w:space="0" w:color="000000"/>
              <w:bottom w:val="single" w:sz="6" w:space="0" w:color="000000"/>
              <w:right w:val="single" w:sz="6" w:space="0" w:color="000000"/>
            </w:tcBorders>
          </w:tcPr>
          <w:p w14:paraId="3790A426" w14:textId="1EA2D56F" w:rsidR="0040710E" w:rsidRDefault="00BA4589">
            <w:pPr>
              <w:keepLines/>
              <w:spacing w:before="40" w:after="40"/>
              <w:jc w:val="center"/>
              <w:rPr>
                <w:rFonts w:ascii="Arial" w:eastAsia="Arial" w:hAnsi="Arial" w:cs="Arial"/>
                <w:sz w:val="20"/>
                <w:szCs w:val="20"/>
              </w:rPr>
            </w:pPr>
            <w:proofErr w:type="spellStart"/>
            <w:r>
              <w:rPr>
                <w:rFonts w:ascii="Arial" w:eastAsia="Arial" w:hAnsi="Arial" w:cs="Arial"/>
                <w:sz w:val="20"/>
                <w:szCs w:val="20"/>
              </w:rPr>
              <w:t>ge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42F62650"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From the past version, I appreciate the clarification and clear guidance on adoption/usage and triangulating between KPTs and CTEC data.</w:t>
            </w:r>
          </w:p>
        </w:tc>
        <w:tc>
          <w:tcPr>
            <w:tcW w:w="4545" w:type="dxa"/>
            <w:tcBorders>
              <w:top w:val="single" w:sz="6" w:space="0" w:color="000000"/>
              <w:left w:val="single" w:sz="6" w:space="0" w:color="000000"/>
              <w:bottom w:val="single" w:sz="6" w:space="0" w:color="000000"/>
              <w:right w:val="single" w:sz="6" w:space="0" w:color="000000"/>
            </w:tcBorders>
          </w:tcPr>
          <w:p w14:paraId="7828A31A"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None</w:t>
            </w:r>
          </w:p>
        </w:tc>
      </w:tr>
      <w:tr w:rsidR="0040710E" w14:paraId="2930C734"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643BA3DE" w14:textId="77777777" w:rsidR="0040710E" w:rsidRDefault="0040710E">
            <w:pPr>
              <w:keepLines/>
              <w:spacing w:before="40" w:after="40"/>
              <w:jc w:val="center"/>
              <w:rPr>
                <w:rFonts w:ascii="Arial" w:eastAsia="Arial" w:hAnsi="Arial" w:cs="Arial"/>
                <w:sz w:val="20"/>
                <w:szCs w:val="20"/>
              </w:rPr>
            </w:pPr>
          </w:p>
        </w:tc>
        <w:tc>
          <w:tcPr>
            <w:tcW w:w="1605" w:type="dxa"/>
            <w:tcBorders>
              <w:top w:val="single" w:sz="6" w:space="0" w:color="000000"/>
              <w:left w:val="single" w:sz="6" w:space="0" w:color="000000"/>
              <w:bottom w:val="single" w:sz="6" w:space="0" w:color="000000"/>
              <w:right w:val="single" w:sz="6" w:space="0" w:color="000000"/>
            </w:tcBorders>
          </w:tcPr>
          <w:p w14:paraId="5F0A673E" w14:textId="77777777" w:rsidR="0040710E" w:rsidRDefault="0040710E">
            <w:pPr>
              <w:keepLines/>
              <w:spacing w:before="40" w:after="40"/>
              <w:jc w:val="center"/>
              <w:rPr>
                <w:rFonts w:ascii="Arial" w:eastAsia="Arial" w:hAnsi="Arial" w:cs="Arial"/>
                <w:sz w:val="20"/>
                <w:szCs w:val="20"/>
              </w:rPr>
            </w:pPr>
          </w:p>
        </w:tc>
        <w:tc>
          <w:tcPr>
            <w:tcW w:w="1560" w:type="dxa"/>
            <w:tcBorders>
              <w:top w:val="single" w:sz="6" w:space="0" w:color="000000"/>
              <w:left w:val="single" w:sz="6" w:space="0" w:color="000000"/>
              <w:bottom w:val="single" w:sz="6" w:space="0" w:color="000000"/>
              <w:right w:val="single" w:sz="6" w:space="0" w:color="000000"/>
            </w:tcBorders>
          </w:tcPr>
          <w:p w14:paraId="2D27AF6F" w14:textId="024348DA" w:rsidR="0040710E" w:rsidRDefault="00BA4589">
            <w:pPr>
              <w:keepLines/>
              <w:spacing w:before="40" w:after="40"/>
              <w:jc w:val="center"/>
              <w:rPr>
                <w:rFonts w:ascii="Arial" w:eastAsia="Arial" w:hAnsi="Arial" w:cs="Arial"/>
                <w:sz w:val="20"/>
                <w:szCs w:val="20"/>
              </w:rPr>
            </w:pPr>
            <w:proofErr w:type="spellStart"/>
            <w:r>
              <w:rPr>
                <w:rFonts w:ascii="Arial" w:eastAsia="Arial" w:hAnsi="Arial" w:cs="Arial"/>
                <w:sz w:val="20"/>
                <w:szCs w:val="20"/>
              </w:rPr>
              <w:t>ge</w:t>
            </w:r>
            <w:proofErr w:type="spellEnd"/>
          </w:p>
        </w:tc>
        <w:tc>
          <w:tcPr>
            <w:tcW w:w="5430" w:type="dxa"/>
            <w:tcBorders>
              <w:top w:val="single" w:sz="6" w:space="0" w:color="000000"/>
              <w:left w:val="single" w:sz="6" w:space="0" w:color="000000"/>
              <w:bottom w:val="single" w:sz="6" w:space="0" w:color="000000"/>
              <w:right w:val="single" w:sz="6" w:space="0" w:color="000000"/>
            </w:tcBorders>
          </w:tcPr>
          <w:p w14:paraId="6681FD1A"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I appreciate the addition of upstream emissions to include transport emissions and the adoption of Floess et al. EFs. </w:t>
            </w:r>
          </w:p>
        </w:tc>
        <w:tc>
          <w:tcPr>
            <w:tcW w:w="4545" w:type="dxa"/>
            <w:tcBorders>
              <w:top w:val="single" w:sz="6" w:space="0" w:color="000000"/>
              <w:left w:val="single" w:sz="6" w:space="0" w:color="000000"/>
              <w:bottom w:val="single" w:sz="6" w:space="0" w:color="000000"/>
              <w:right w:val="single" w:sz="6" w:space="0" w:color="000000"/>
            </w:tcBorders>
          </w:tcPr>
          <w:p w14:paraId="23D7CF19"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None</w:t>
            </w:r>
          </w:p>
        </w:tc>
      </w:tr>
      <w:tr w:rsidR="0040710E" w14:paraId="0EC76891"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4F56D68E" w14:textId="77777777" w:rsidR="0040710E" w:rsidRDefault="0040710E">
            <w:pPr>
              <w:keepLines/>
              <w:spacing w:before="40" w:after="40"/>
              <w:jc w:val="center"/>
              <w:rPr>
                <w:rFonts w:ascii="Arial" w:eastAsia="Arial" w:hAnsi="Arial" w:cs="Arial"/>
                <w:sz w:val="20"/>
                <w:szCs w:val="20"/>
              </w:rPr>
            </w:pPr>
          </w:p>
        </w:tc>
        <w:tc>
          <w:tcPr>
            <w:tcW w:w="1605" w:type="dxa"/>
            <w:tcBorders>
              <w:top w:val="single" w:sz="6" w:space="0" w:color="000000"/>
              <w:left w:val="single" w:sz="6" w:space="0" w:color="000000"/>
              <w:bottom w:val="single" w:sz="6" w:space="0" w:color="000000"/>
              <w:right w:val="single" w:sz="6" w:space="0" w:color="000000"/>
            </w:tcBorders>
          </w:tcPr>
          <w:p w14:paraId="5171D60F" w14:textId="77777777" w:rsidR="0040710E" w:rsidRDefault="0040710E">
            <w:pPr>
              <w:keepLines/>
              <w:spacing w:before="40" w:after="40"/>
              <w:jc w:val="center"/>
              <w:rPr>
                <w:rFonts w:ascii="Arial" w:eastAsia="Arial" w:hAnsi="Arial" w:cs="Arial"/>
                <w:sz w:val="20"/>
                <w:szCs w:val="20"/>
              </w:rPr>
            </w:pPr>
          </w:p>
        </w:tc>
        <w:tc>
          <w:tcPr>
            <w:tcW w:w="1560" w:type="dxa"/>
            <w:tcBorders>
              <w:top w:val="single" w:sz="6" w:space="0" w:color="000000"/>
              <w:left w:val="single" w:sz="6" w:space="0" w:color="000000"/>
              <w:bottom w:val="single" w:sz="6" w:space="0" w:color="000000"/>
              <w:right w:val="single" w:sz="6" w:space="0" w:color="000000"/>
            </w:tcBorders>
          </w:tcPr>
          <w:p w14:paraId="172DDA70" w14:textId="77777777" w:rsidR="0040710E" w:rsidRDefault="0040710E">
            <w:pPr>
              <w:keepLines/>
              <w:spacing w:before="40" w:after="40"/>
              <w:jc w:val="center"/>
              <w:rPr>
                <w:rFonts w:ascii="Arial" w:eastAsia="Arial" w:hAnsi="Arial" w:cs="Arial"/>
                <w:sz w:val="20"/>
                <w:szCs w:val="20"/>
              </w:rPr>
            </w:pPr>
          </w:p>
        </w:tc>
        <w:tc>
          <w:tcPr>
            <w:tcW w:w="5430" w:type="dxa"/>
            <w:tcBorders>
              <w:top w:val="single" w:sz="6" w:space="0" w:color="000000"/>
              <w:left w:val="single" w:sz="6" w:space="0" w:color="000000"/>
              <w:bottom w:val="single" w:sz="6" w:space="0" w:color="000000"/>
              <w:right w:val="single" w:sz="6" w:space="0" w:color="000000"/>
            </w:tcBorders>
          </w:tcPr>
          <w:p w14:paraId="5521BE1F"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The most promising advance is removing the survey only and WBT option. Requiring KPTs or continuous monitoring is an incredible step towards quality. I would not be opposed to removing the KPT/survey without SUM option; however, I do appreciate the discounts to disincentivize this approach.</w:t>
            </w:r>
          </w:p>
        </w:tc>
        <w:tc>
          <w:tcPr>
            <w:tcW w:w="4545" w:type="dxa"/>
            <w:tcBorders>
              <w:top w:val="single" w:sz="6" w:space="0" w:color="000000"/>
              <w:left w:val="single" w:sz="6" w:space="0" w:color="000000"/>
              <w:bottom w:val="single" w:sz="6" w:space="0" w:color="000000"/>
              <w:right w:val="single" w:sz="6" w:space="0" w:color="000000"/>
            </w:tcBorders>
          </w:tcPr>
          <w:p w14:paraId="0A879763"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None</w:t>
            </w:r>
          </w:p>
        </w:tc>
      </w:tr>
      <w:tr w:rsidR="0040710E" w14:paraId="395859AB" w14:textId="77777777">
        <w:trPr>
          <w:cantSplit/>
          <w:jc w:val="right"/>
        </w:trPr>
        <w:tc>
          <w:tcPr>
            <w:tcW w:w="1095" w:type="dxa"/>
            <w:tcBorders>
              <w:top w:val="single" w:sz="6" w:space="0" w:color="000000"/>
              <w:left w:val="single" w:sz="6" w:space="0" w:color="000000"/>
              <w:bottom w:val="single" w:sz="6" w:space="0" w:color="000000"/>
              <w:right w:val="single" w:sz="6" w:space="0" w:color="000000"/>
            </w:tcBorders>
          </w:tcPr>
          <w:p w14:paraId="13032D9D" w14:textId="77777777" w:rsidR="0040710E" w:rsidRDefault="0040710E">
            <w:pPr>
              <w:keepLines/>
              <w:spacing w:before="40" w:after="40"/>
              <w:jc w:val="center"/>
              <w:rPr>
                <w:rFonts w:ascii="Arial" w:eastAsia="Arial" w:hAnsi="Arial" w:cs="Arial"/>
                <w:sz w:val="20"/>
                <w:szCs w:val="20"/>
              </w:rPr>
            </w:pPr>
          </w:p>
        </w:tc>
        <w:tc>
          <w:tcPr>
            <w:tcW w:w="1605" w:type="dxa"/>
            <w:tcBorders>
              <w:top w:val="single" w:sz="6" w:space="0" w:color="000000"/>
              <w:left w:val="single" w:sz="6" w:space="0" w:color="000000"/>
              <w:bottom w:val="single" w:sz="6" w:space="0" w:color="000000"/>
              <w:right w:val="single" w:sz="6" w:space="0" w:color="000000"/>
            </w:tcBorders>
          </w:tcPr>
          <w:p w14:paraId="7BF99694" w14:textId="77777777" w:rsidR="0040710E" w:rsidRDefault="0040710E">
            <w:pPr>
              <w:keepLines/>
              <w:spacing w:before="40" w:after="40"/>
              <w:jc w:val="center"/>
              <w:rPr>
                <w:rFonts w:ascii="Arial" w:eastAsia="Arial" w:hAnsi="Arial" w:cs="Arial"/>
                <w:sz w:val="20"/>
                <w:szCs w:val="20"/>
              </w:rPr>
            </w:pPr>
          </w:p>
        </w:tc>
        <w:tc>
          <w:tcPr>
            <w:tcW w:w="1560" w:type="dxa"/>
            <w:tcBorders>
              <w:top w:val="single" w:sz="6" w:space="0" w:color="000000"/>
              <w:left w:val="single" w:sz="6" w:space="0" w:color="000000"/>
              <w:bottom w:val="single" w:sz="6" w:space="0" w:color="000000"/>
              <w:right w:val="single" w:sz="6" w:space="0" w:color="000000"/>
            </w:tcBorders>
          </w:tcPr>
          <w:p w14:paraId="3112B4F6" w14:textId="77777777" w:rsidR="0040710E" w:rsidRDefault="0040710E">
            <w:pPr>
              <w:keepLines/>
              <w:spacing w:before="40" w:after="40"/>
              <w:jc w:val="center"/>
              <w:rPr>
                <w:rFonts w:ascii="Arial" w:eastAsia="Arial" w:hAnsi="Arial" w:cs="Arial"/>
                <w:sz w:val="20"/>
                <w:szCs w:val="20"/>
              </w:rPr>
            </w:pPr>
          </w:p>
        </w:tc>
        <w:tc>
          <w:tcPr>
            <w:tcW w:w="5430" w:type="dxa"/>
            <w:tcBorders>
              <w:top w:val="single" w:sz="6" w:space="0" w:color="000000"/>
              <w:left w:val="single" w:sz="6" w:space="0" w:color="000000"/>
              <w:bottom w:val="single" w:sz="6" w:space="0" w:color="000000"/>
              <w:right w:val="single" w:sz="6" w:space="0" w:color="000000"/>
            </w:tcBorders>
          </w:tcPr>
          <w:p w14:paraId="35B50B53"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 xml:space="preserve">The cover sheet is a wonderful addition. </w:t>
            </w:r>
          </w:p>
        </w:tc>
        <w:tc>
          <w:tcPr>
            <w:tcW w:w="4545" w:type="dxa"/>
            <w:tcBorders>
              <w:top w:val="single" w:sz="6" w:space="0" w:color="000000"/>
              <w:left w:val="single" w:sz="6" w:space="0" w:color="000000"/>
              <w:bottom w:val="single" w:sz="6" w:space="0" w:color="000000"/>
              <w:right w:val="single" w:sz="6" w:space="0" w:color="000000"/>
            </w:tcBorders>
          </w:tcPr>
          <w:p w14:paraId="7D802D57" w14:textId="77777777" w:rsidR="0040710E" w:rsidRDefault="00000000">
            <w:pPr>
              <w:keepLines/>
              <w:spacing w:before="40" w:after="40"/>
              <w:rPr>
                <w:rFonts w:ascii="Arial" w:eastAsia="Arial" w:hAnsi="Arial" w:cs="Arial"/>
                <w:sz w:val="20"/>
                <w:szCs w:val="20"/>
              </w:rPr>
            </w:pPr>
            <w:r>
              <w:rPr>
                <w:rFonts w:ascii="Arial" w:eastAsia="Arial" w:hAnsi="Arial" w:cs="Arial"/>
                <w:sz w:val="20"/>
                <w:szCs w:val="20"/>
              </w:rPr>
              <w:t>None</w:t>
            </w:r>
          </w:p>
        </w:tc>
      </w:tr>
    </w:tbl>
    <w:p w14:paraId="0D74C0BA" w14:textId="77777777" w:rsidR="0040710E" w:rsidRDefault="00000000">
      <w:pPr>
        <w:rPr>
          <w:rFonts w:ascii="Arial" w:eastAsia="Arial" w:hAnsi="Arial" w:cs="Arial"/>
          <w:sz w:val="20"/>
          <w:szCs w:val="20"/>
        </w:rPr>
      </w:pPr>
      <w:r>
        <w:rPr>
          <w:rFonts w:ascii="Arial" w:eastAsia="Arial" w:hAnsi="Arial" w:cs="Arial"/>
          <w:i/>
          <w:sz w:val="20"/>
          <w:szCs w:val="20"/>
        </w:rPr>
        <w:t>(Please add rows as required)</w:t>
      </w:r>
    </w:p>
    <w:p w14:paraId="53125D9C" w14:textId="77777777" w:rsidR="0040710E" w:rsidRDefault="0040710E"/>
    <w:p w14:paraId="029E12CD" w14:textId="77777777" w:rsidR="0040710E" w:rsidRDefault="0040710E"/>
    <w:p w14:paraId="0543EFE2" w14:textId="77777777" w:rsidR="0040710E" w:rsidRDefault="0040710E"/>
    <w:p w14:paraId="1A56676E" w14:textId="77777777" w:rsidR="0040710E" w:rsidRDefault="0040710E">
      <w:pPr>
        <w:jc w:val="center"/>
      </w:pPr>
    </w:p>
    <w:p w14:paraId="7FCAA585" w14:textId="77777777" w:rsidR="0040710E" w:rsidRDefault="00000000">
      <w:pPr>
        <w:jc w:val="center"/>
      </w:pPr>
      <w:r>
        <w:t>-----</w:t>
      </w:r>
    </w:p>
    <w:p w14:paraId="1C3CCB3C" w14:textId="77777777" w:rsidR="0040710E" w:rsidRDefault="00000000">
      <w:pPr>
        <w:keepNext/>
        <w:keepLines/>
        <w:pBdr>
          <w:top w:val="nil"/>
          <w:left w:val="nil"/>
          <w:bottom w:val="nil"/>
          <w:right w:val="nil"/>
          <w:between w:val="nil"/>
        </w:pBdr>
        <w:spacing w:before="480" w:after="240"/>
        <w:jc w:val="center"/>
        <w:rPr>
          <w:rFonts w:ascii="Arial" w:eastAsia="Arial" w:hAnsi="Arial" w:cs="Arial"/>
          <w:b/>
          <w:color w:val="000000"/>
        </w:rPr>
      </w:pPr>
      <w:r>
        <w:rPr>
          <w:rFonts w:ascii="Arial" w:eastAsia="Arial" w:hAnsi="Arial" w:cs="Arial"/>
          <w:b/>
          <w:color w:val="000000"/>
        </w:rPr>
        <w:t>Document information</w:t>
      </w:r>
    </w:p>
    <w:tbl>
      <w:tblPr>
        <w:tblStyle w:val="a1"/>
        <w:tblW w:w="14340" w:type="dxa"/>
        <w:jc w:val="center"/>
        <w:tblInd w:w="0" w:type="dxa"/>
        <w:tblLayout w:type="fixed"/>
        <w:tblLook w:val="0000" w:firstRow="0" w:lastRow="0" w:firstColumn="0" w:lastColumn="0" w:noHBand="0" w:noVBand="0"/>
      </w:tblPr>
      <w:tblGrid>
        <w:gridCol w:w="1688"/>
        <w:gridCol w:w="3376"/>
        <w:gridCol w:w="9276"/>
      </w:tblGrid>
      <w:tr w:rsidR="0040710E" w14:paraId="76F2C246" w14:textId="77777777">
        <w:trPr>
          <w:trHeight w:val="113"/>
          <w:tblHeader/>
          <w:jc w:val="center"/>
        </w:trPr>
        <w:tc>
          <w:tcPr>
            <w:tcW w:w="1688" w:type="dxa"/>
            <w:tcBorders>
              <w:top w:val="single" w:sz="4" w:space="0" w:color="000000"/>
              <w:bottom w:val="single" w:sz="12" w:space="0" w:color="000000"/>
            </w:tcBorders>
            <w:tcMar>
              <w:top w:w="80" w:type="dxa"/>
              <w:bottom w:w="80" w:type="dxa"/>
            </w:tcMar>
            <w:vAlign w:val="center"/>
          </w:tcPr>
          <w:p w14:paraId="634D7E0F" w14:textId="77777777" w:rsidR="0040710E" w:rsidRDefault="00000000">
            <w:pPr>
              <w:keepNext/>
              <w:keepLines/>
              <w:pBdr>
                <w:top w:val="nil"/>
                <w:left w:val="nil"/>
                <w:bottom w:val="nil"/>
                <w:right w:val="nil"/>
                <w:between w:val="nil"/>
              </w:pBdr>
              <w:jc w:val="both"/>
              <w:rPr>
                <w:rFonts w:ascii="Arial" w:eastAsia="Arial" w:hAnsi="Arial" w:cs="Arial"/>
                <w:i/>
                <w:color w:val="000000"/>
                <w:sz w:val="16"/>
                <w:szCs w:val="16"/>
              </w:rPr>
            </w:pPr>
            <w:r>
              <w:rPr>
                <w:rFonts w:ascii="Arial" w:eastAsia="Arial" w:hAnsi="Arial" w:cs="Arial"/>
                <w:i/>
                <w:color w:val="000000"/>
                <w:sz w:val="16"/>
                <w:szCs w:val="16"/>
              </w:rPr>
              <w:t>Version</w:t>
            </w:r>
          </w:p>
        </w:tc>
        <w:tc>
          <w:tcPr>
            <w:tcW w:w="3376" w:type="dxa"/>
            <w:tcBorders>
              <w:top w:val="single" w:sz="4" w:space="0" w:color="000000"/>
              <w:bottom w:val="single" w:sz="12" w:space="0" w:color="000000"/>
            </w:tcBorders>
            <w:tcMar>
              <w:top w:w="80" w:type="dxa"/>
              <w:bottom w:w="80" w:type="dxa"/>
            </w:tcMar>
            <w:vAlign w:val="center"/>
          </w:tcPr>
          <w:p w14:paraId="2EE9E74F" w14:textId="77777777" w:rsidR="0040710E" w:rsidRDefault="00000000">
            <w:pPr>
              <w:keepNext/>
              <w:keepLines/>
              <w:pBdr>
                <w:top w:val="nil"/>
                <w:left w:val="nil"/>
                <w:bottom w:val="nil"/>
                <w:right w:val="nil"/>
                <w:between w:val="nil"/>
              </w:pBdr>
              <w:jc w:val="both"/>
              <w:rPr>
                <w:rFonts w:ascii="Arial" w:eastAsia="Arial" w:hAnsi="Arial" w:cs="Arial"/>
                <w:i/>
                <w:color w:val="000000"/>
                <w:sz w:val="16"/>
                <w:szCs w:val="16"/>
              </w:rPr>
            </w:pPr>
            <w:r>
              <w:rPr>
                <w:rFonts w:ascii="Arial" w:eastAsia="Arial" w:hAnsi="Arial" w:cs="Arial"/>
                <w:i/>
                <w:color w:val="000000"/>
                <w:sz w:val="16"/>
                <w:szCs w:val="16"/>
              </w:rPr>
              <w:t>Date</w:t>
            </w:r>
          </w:p>
        </w:tc>
        <w:tc>
          <w:tcPr>
            <w:tcW w:w="9276" w:type="dxa"/>
            <w:tcBorders>
              <w:top w:val="single" w:sz="4" w:space="0" w:color="000000"/>
              <w:bottom w:val="single" w:sz="12" w:space="0" w:color="000000"/>
            </w:tcBorders>
            <w:tcMar>
              <w:top w:w="80" w:type="dxa"/>
              <w:bottom w:w="80" w:type="dxa"/>
            </w:tcMar>
            <w:vAlign w:val="center"/>
          </w:tcPr>
          <w:p w14:paraId="5E5B7DB7" w14:textId="77777777" w:rsidR="0040710E" w:rsidRDefault="00000000">
            <w:pPr>
              <w:keepNext/>
              <w:keepLines/>
              <w:pBdr>
                <w:top w:val="nil"/>
                <w:left w:val="nil"/>
                <w:bottom w:val="nil"/>
                <w:right w:val="nil"/>
                <w:between w:val="nil"/>
              </w:pBdr>
              <w:jc w:val="both"/>
              <w:rPr>
                <w:rFonts w:ascii="Arial" w:eastAsia="Arial" w:hAnsi="Arial" w:cs="Arial"/>
                <w:i/>
                <w:color w:val="000000"/>
                <w:sz w:val="16"/>
                <w:szCs w:val="16"/>
              </w:rPr>
            </w:pPr>
            <w:r>
              <w:rPr>
                <w:rFonts w:ascii="Arial" w:eastAsia="Arial" w:hAnsi="Arial" w:cs="Arial"/>
                <w:i/>
                <w:color w:val="000000"/>
                <w:sz w:val="16"/>
                <w:szCs w:val="16"/>
              </w:rPr>
              <w:t>Description</w:t>
            </w:r>
          </w:p>
        </w:tc>
      </w:tr>
      <w:tr w:rsidR="0040710E" w14:paraId="499464AB" w14:textId="77777777">
        <w:trPr>
          <w:trHeight w:val="113"/>
          <w:tblHeader/>
          <w:jc w:val="center"/>
        </w:trPr>
        <w:tc>
          <w:tcPr>
            <w:tcW w:w="14340" w:type="dxa"/>
            <w:gridSpan w:val="3"/>
            <w:tcBorders>
              <w:top w:val="single" w:sz="12" w:space="0" w:color="000000"/>
            </w:tcBorders>
          </w:tcPr>
          <w:p w14:paraId="5A13EDBD" w14:textId="77777777" w:rsidR="0040710E" w:rsidRDefault="0040710E">
            <w:pPr>
              <w:keepNext/>
              <w:keepLines/>
              <w:pBdr>
                <w:top w:val="nil"/>
                <w:left w:val="nil"/>
                <w:bottom w:val="nil"/>
                <w:right w:val="nil"/>
                <w:between w:val="nil"/>
              </w:pBdr>
              <w:jc w:val="both"/>
              <w:rPr>
                <w:rFonts w:ascii="Arial" w:eastAsia="Arial" w:hAnsi="Arial" w:cs="Arial"/>
                <w:i/>
                <w:color w:val="000000"/>
                <w:sz w:val="16"/>
                <w:szCs w:val="16"/>
              </w:rPr>
            </w:pPr>
          </w:p>
        </w:tc>
      </w:tr>
      <w:tr w:rsidR="0040710E" w14:paraId="0FB585B4" w14:textId="77777777">
        <w:trPr>
          <w:trHeight w:val="113"/>
          <w:jc w:val="center"/>
        </w:trPr>
        <w:tc>
          <w:tcPr>
            <w:tcW w:w="1688" w:type="dxa"/>
            <w:tcBorders>
              <w:bottom w:val="single" w:sz="4" w:space="0" w:color="000000"/>
            </w:tcBorders>
          </w:tcPr>
          <w:p w14:paraId="5CE6DB5F" w14:textId="77777777" w:rsidR="0040710E" w:rsidRDefault="00000000">
            <w:pPr>
              <w:keepLines/>
              <w:numPr>
                <w:ilvl w:val="0"/>
                <w:numId w:val="1"/>
              </w:numPr>
              <w:pBdr>
                <w:top w:val="nil"/>
                <w:left w:val="nil"/>
                <w:bottom w:val="nil"/>
                <w:right w:val="nil"/>
                <w:between w:val="nil"/>
              </w:pBdr>
              <w:spacing w:before="80" w:after="80"/>
              <w:jc w:val="both"/>
              <w:rPr>
                <w:rFonts w:ascii="Arial" w:eastAsia="Arial" w:hAnsi="Arial" w:cs="Arial"/>
                <w:color w:val="000000"/>
                <w:sz w:val="20"/>
                <w:szCs w:val="20"/>
              </w:rPr>
            </w:pPr>
            <w:r>
              <w:rPr>
                <w:rFonts w:ascii="Arial" w:eastAsia="Arial" w:hAnsi="Arial" w:cs="Arial"/>
                <w:color w:val="000000"/>
                <w:sz w:val="20"/>
                <w:szCs w:val="20"/>
              </w:rPr>
              <w:t>01.0</w:t>
            </w:r>
          </w:p>
        </w:tc>
        <w:tc>
          <w:tcPr>
            <w:tcW w:w="3376" w:type="dxa"/>
            <w:tcBorders>
              <w:bottom w:val="single" w:sz="4" w:space="0" w:color="000000"/>
            </w:tcBorders>
          </w:tcPr>
          <w:p w14:paraId="1F7AB0E4" w14:textId="77777777" w:rsidR="0040710E" w:rsidRDefault="00000000">
            <w:pPr>
              <w:keepLines/>
              <w:numPr>
                <w:ilvl w:val="0"/>
                <w:numId w:val="1"/>
              </w:numPr>
              <w:pBdr>
                <w:top w:val="nil"/>
                <w:left w:val="nil"/>
                <w:bottom w:val="nil"/>
                <w:right w:val="nil"/>
                <w:between w:val="nil"/>
              </w:pBdr>
              <w:spacing w:before="80" w:after="80"/>
              <w:jc w:val="both"/>
              <w:rPr>
                <w:rFonts w:ascii="Arial" w:eastAsia="Arial" w:hAnsi="Arial" w:cs="Arial"/>
                <w:color w:val="000000"/>
                <w:sz w:val="20"/>
                <w:szCs w:val="20"/>
              </w:rPr>
            </w:pPr>
            <w:r>
              <w:rPr>
                <w:rFonts w:ascii="Arial" w:eastAsia="Arial" w:hAnsi="Arial" w:cs="Arial"/>
                <w:color w:val="000000"/>
                <w:sz w:val="20"/>
                <w:szCs w:val="20"/>
              </w:rPr>
              <w:t>23 May 2025</w:t>
            </w:r>
          </w:p>
        </w:tc>
        <w:tc>
          <w:tcPr>
            <w:tcW w:w="9276" w:type="dxa"/>
            <w:tcBorders>
              <w:bottom w:val="single" w:sz="4" w:space="0" w:color="000000"/>
            </w:tcBorders>
          </w:tcPr>
          <w:p w14:paraId="40E0EB74" w14:textId="77777777" w:rsidR="0040710E" w:rsidRDefault="00000000">
            <w:pPr>
              <w:keepLines/>
              <w:numPr>
                <w:ilvl w:val="0"/>
                <w:numId w:val="1"/>
              </w:numPr>
              <w:pBdr>
                <w:top w:val="nil"/>
                <w:left w:val="nil"/>
                <w:bottom w:val="nil"/>
                <w:right w:val="nil"/>
                <w:between w:val="nil"/>
              </w:pBdr>
              <w:spacing w:before="80" w:after="80"/>
              <w:jc w:val="both"/>
              <w:rPr>
                <w:rFonts w:ascii="Arial" w:eastAsia="Arial" w:hAnsi="Arial" w:cs="Arial"/>
                <w:color w:val="000000"/>
                <w:sz w:val="20"/>
                <w:szCs w:val="20"/>
              </w:rPr>
            </w:pPr>
            <w:r>
              <w:rPr>
                <w:rFonts w:ascii="Arial" w:eastAsia="Arial" w:hAnsi="Arial" w:cs="Arial"/>
                <w:color w:val="000000"/>
                <w:sz w:val="20"/>
                <w:szCs w:val="20"/>
              </w:rPr>
              <w:t>Initial publication of form template.</w:t>
            </w:r>
          </w:p>
        </w:tc>
      </w:tr>
      <w:tr w:rsidR="0040710E" w14:paraId="70FE11FF" w14:textId="77777777">
        <w:trPr>
          <w:trHeight w:val="113"/>
          <w:jc w:val="center"/>
        </w:trPr>
        <w:tc>
          <w:tcPr>
            <w:tcW w:w="14340" w:type="dxa"/>
            <w:gridSpan w:val="3"/>
            <w:tcBorders>
              <w:top w:val="single" w:sz="4" w:space="0" w:color="000000"/>
              <w:bottom w:val="single" w:sz="12" w:space="0" w:color="000000"/>
            </w:tcBorders>
            <w:vAlign w:val="center"/>
          </w:tcPr>
          <w:p w14:paraId="41D70596" w14:textId="77777777" w:rsidR="0040710E" w:rsidRDefault="00000000">
            <w:pPr>
              <w:keepLines/>
              <w:numPr>
                <w:ilvl w:val="0"/>
                <w:numId w:val="1"/>
              </w:numPr>
              <w:pBdr>
                <w:top w:val="nil"/>
                <w:left w:val="nil"/>
                <w:bottom w:val="nil"/>
                <w:right w:val="nil"/>
                <w:between w:val="nil"/>
              </w:pBdr>
              <w:spacing w:before="80" w:after="80"/>
              <w:rPr>
                <w:rFonts w:ascii="Arial" w:eastAsia="Arial" w:hAnsi="Arial" w:cs="Arial"/>
                <w:color w:val="000000"/>
                <w:sz w:val="20"/>
                <w:szCs w:val="20"/>
              </w:rPr>
            </w:pPr>
            <w:r>
              <w:rPr>
                <w:rFonts w:ascii="Arial" w:eastAsia="Arial" w:hAnsi="Arial" w:cs="Arial"/>
                <w:color w:val="000000"/>
                <w:sz w:val="20"/>
                <w:szCs w:val="20"/>
              </w:rPr>
              <w:t>Decision Class: Regulatory</w:t>
            </w:r>
            <w:r>
              <w:rPr>
                <w:rFonts w:ascii="Arial" w:eastAsia="Arial" w:hAnsi="Arial" w:cs="Arial"/>
                <w:color w:val="000000"/>
                <w:sz w:val="20"/>
                <w:szCs w:val="20"/>
              </w:rPr>
              <w:br/>
              <w:t>Document Type: Form</w:t>
            </w:r>
            <w:r>
              <w:rPr>
                <w:rFonts w:ascii="Arial" w:eastAsia="Arial" w:hAnsi="Arial" w:cs="Arial"/>
                <w:color w:val="000000"/>
                <w:sz w:val="20"/>
                <w:szCs w:val="20"/>
              </w:rPr>
              <w:br/>
              <w:t>Business Function: Methodology</w:t>
            </w:r>
            <w:r>
              <w:rPr>
                <w:rFonts w:ascii="Arial" w:eastAsia="Arial" w:hAnsi="Arial" w:cs="Arial"/>
                <w:color w:val="000000"/>
                <w:sz w:val="20"/>
                <w:szCs w:val="20"/>
              </w:rPr>
              <w:br/>
              <w:t xml:space="preserve">Keywords: A6.4 mechanism, developing methodologies and tools, stakeholder consultation </w:t>
            </w:r>
          </w:p>
        </w:tc>
      </w:tr>
    </w:tbl>
    <w:p w14:paraId="5E0560EA" w14:textId="77777777" w:rsidR="0040710E" w:rsidRDefault="0040710E">
      <w:pPr>
        <w:rPr>
          <w:sz w:val="2"/>
          <w:szCs w:val="2"/>
        </w:rPr>
      </w:pPr>
    </w:p>
    <w:p w14:paraId="0F63E5D3" w14:textId="77777777" w:rsidR="0040710E" w:rsidRDefault="0040710E"/>
    <w:sectPr w:rsidR="0040710E">
      <w:pgSz w:w="16840" w:h="11907" w:orient="landscape"/>
      <w:pgMar w:top="850" w:right="1276" w:bottom="113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B9B02" w14:textId="77777777" w:rsidR="006D6F97" w:rsidRDefault="006D6F97">
      <w:r>
        <w:separator/>
      </w:r>
    </w:p>
  </w:endnote>
  <w:endnote w:type="continuationSeparator" w:id="0">
    <w:p w14:paraId="02C21EF1" w14:textId="77777777" w:rsidR="006D6F97" w:rsidRDefault="006D6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12106827-ECD0-5D44-812A-AFDAABA69A9C}"/>
    <w:embedBold r:id="rId2" w:fontKey="{17556058-FB93-DE42-B45E-29E1696E9653}"/>
  </w:font>
  <w:font w:name="Noto Sans Symbols">
    <w:altName w:val="Calibri"/>
    <w:panose1 w:val="020B0604020202020204"/>
    <w:charset w:val="00"/>
    <w:family w:val="auto"/>
    <w:pitch w:val="default"/>
    <w:embedRegular r:id="rId3" w:fontKey="{E2919965-4B42-7A4A-9451-1F3B43BA47AB}"/>
  </w:font>
  <w:font w:name="Arial">
    <w:panose1 w:val="020B0604020202020204"/>
    <w:charset w:val="00"/>
    <w:family w:val="swiss"/>
    <w:pitch w:val="variable"/>
    <w:sig w:usb0="E0002EFF" w:usb1="C000785B" w:usb2="00000009" w:usb3="00000000" w:csb0="000001FF" w:csb1="00000000"/>
    <w:embedRegular r:id="rId4" w:fontKey="{0EB4FCE5-D748-3646-8345-265A90AB0B84}"/>
    <w:embedBold r:id="rId5" w:fontKey="{B09E65BC-6907-814F-B61A-C4100B1F0055}"/>
    <w:embedItalic r:id="rId6" w:fontKey="{C32C805D-7AAC-5D47-9388-5F0594801262}"/>
    <w:embedBoldItalic r:id="rId7" w:fontKey="{AD2C4F39-2FD7-974D-B25E-64D76F3F2C5B}"/>
  </w:font>
  <w:font w:name="Georgia">
    <w:panose1 w:val="02040502050405020303"/>
    <w:charset w:val="00"/>
    <w:family w:val="roman"/>
    <w:pitch w:val="variable"/>
    <w:sig w:usb0="00000287" w:usb1="00000000" w:usb2="00000000" w:usb3="00000000" w:csb0="0000009F" w:csb1="00000000"/>
    <w:embedRegular r:id="rId8" w:fontKey="{76757C5E-8E12-464B-86EC-013AC1C5DA7C}"/>
    <w:embedItalic r:id="rId9" w:fontKey="{69DA337E-CCFC-8F47-94B5-BD7F0E256077}"/>
  </w:font>
  <w:font w:name="Calibri">
    <w:panose1 w:val="020F0502020204030204"/>
    <w:charset w:val="00"/>
    <w:family w:val="swiss"/>
    <w:pitch w:val="variable"/>
    <w:sig w:usb0="E4002EFF" w:usb1="C000247B" w:usb2="00000009" w:usb3="00000000" w:csb0="000001FF" w:csb1="00000000"/>
    <w:embedRegular r:id="rId10" w:fontKey="{0D49C6C8-90CB-074C-AC8D-22F8F2767431}"/>
  </w:font>
  <w:font w:name="Cambria">
    <w:panose1 w:val="02040503050406030204"/>
    <w:charset w:val="00"/>
    <w:family w:val="roman"/>
    <w:pitch w:val="variable"/>
    <w:sig w:usb0="E00002FF" w:usb1="400004FF" w:usb2="00000000" w:usb3="00000000" w:csb0="0000019F" w:csb1="00000000"/>
    <w:embedRegular r:id="rId11" w:fontKey="{057A6A9E-6DE9-8A41-8808-859B90377A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B1145" w14:textId="77777777" w:rsidR="0040710E" w:rsidRDefault="00000000">
    <w:pPr>
      <w:pBdr>
        <w:top w:val="nil"/>
        <w:left w:val="nil"/>
        <w:bottom w:val="nil"/>
        <w:right w:val="nil"/>
        <w:between w:val="nil"/>
      </w:pBdr>
      <w:tabs>
        <w:tab w:val="center" w:pos="4320"/>
        <w:tab w:val="right" w:pos="8640"/>
        <w:tab w:val="right" w:pos="9781"/>
      </w:tabs>
      <w:rPr>
        <w:rFonts w:ascii="Arial" w:eastAsia="Arial" w:hAnsi="Arial" w:cs="Arial"/>
        <w:color w:val="000000"/>
        <w:sz w:val="20"/>
        <w:szCs w:val="20"/>
      </w:rPr>
    </w:pPr>
    <w:r>
      <w:rPr>
        <w:rFonts w:ascii="Arial" w:eastAsia="Arial" w:hAnsi="Arial" w:cs="Arial"/>
        <w:b/>
        <w:color w:val="000000"/>
        <w:sz w:val="20"/>
        <w:szCs w:val="20"/>
      </w:rPr>
      <w:t>Version 01.0</w:t>
    </w:r>
    <w:r>
      <w:rPr>
        <w:rFonts w:ascii="Arial" w:eastAsia="Arial" w:hAnsi="Arial" w:cs="Arial"/>
        <w:b/>
        <w:color w:val="000000"/>
        <w:sz w:val="20"/>
        <w:szCs w:val="20"/>
      </w:rPr>
      <w:tab/>
    </w:r>
    <w:r>
      <w:rPr>
        <w:rFonts w:ascii="Arial" w:eastAsia="Arial" w:hAnsi="Arial" w:cs="Arial"/>
        <w:b/>
        <w:color w:val="000000"/>
        <w:sz w:val="20"/>
        <w:szCs w:val="20"/>
      </w:rPr>
      <w:tab/>
      <w:t xml:space="preserve">                         Page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AA223E">
      <w:rPr>
        <w:rFonts w:ascii="Arial" w:eastAsia="Arial" w:hAnsi="Arial" w:cs="Arial"/>
        <w:b/>
        <w:noProof/>
        <w:color w:val="000000"/>
        <w:sz w:val="20"/>
        <w:szCs w:val="20"/>
      </w:rPr>
      <w:t>1</w:t>
    </w:r>
    <w:r>
      <w:rPr>
        <w:rFonts w:ascii="Arial" w:eastAsia="Arial" w:hAnsi="Arial" w:cs="Arial"/>
        <w:b/>
        <w:color w:val="000000"/>
        <w:sz w:val="20"/>
        <w:szCs w:val="20"/>
      </w:rPr>
      <w:fldChar w:fldCharType="end"/>
    </w:r>
    <w:r>
      <w:rPr>
        <w:rFonts w:ascii="Arial" w:eastAsia="Arial" w:hAnsi="Arial" w:cs="Arial"/>
        <w:b/>
        <w:color w:val="000000"/>
        <w:sz w:val="20"/>
        <w:szCs w:val="20"/>
      </w:rPr>
      <w:t xml:space="preserve"> of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AA223E">
      <w:rPr>
        <w:rFonts w:ascii="Arial" w:eastAsia="Arial" w:hAnsi="Arial" w:cs="Arial"/>
        <w:b/>
        <w:noProof/>
        <w:color w:val="000000"/>
        <w:sz w:val="20"/>
        <w:szCs w:val="20"/>
      </w:rPr>
      <w:t>2</w:t>
    </w:r>
    <w:r>
      <w:rPr>
        <w:rFonts w:ascii="Arial" w:eastAsia="Arial" w:hAnsi="Arial" w:cs="Arial"/>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06B64" w14:textId="77777777" w:rsidR="006D6F97" w:rsidRDefault="006D6F97">
      <w:r>
        <w:separator/>
      </w:r>
    </w:p>
  </w:footnote>
  <w:footnote w:type="continuationSeparator" w:id="0">
    <w:p w14:paraId="5D1485D8" w14:textId="77777777" w:rsidR="006D6F97" w:rsidRDefault="006D6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54E86" w14:textId="77777777" w:rsidR="0040710E" w:rsidRDefault="00000000">
    <w:pPr>
      <w:pBdr>
        <w:top w:val="nil"/>
        <w:left w:val="nil"/>
        <w:bottom w:val="nil"/>
        <w:right w:val="nil"/>
        <w:between w:val="nil"/>
      </w:pBdr>
      <w:tabs>
        <w:tab w:val="center" w:pos="4320"/>
        <w:tab w:val="right" w:pos="8640"/>
        <w:tab w:val="right" w:pos="9960"/>
      </w:tabs>
      <w:rPr>
        <w:rFonts w:ascii="Arial" w:eastAsia="Arial" w:hAnsi="Arial" w:cs="Arial"/>
        <w:color w:val="000000"/>
      </w:rPr>
    </w:pP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t xml:space="preserve"> </w:t>
    </w:r>
  </w:p>
  <w:p w14:paraId="46921384" w14:textId="77777777" w:rsidR="0040710E" w:rsidRDefault="00000000">
    <w:pPr>
      <w:tabs>
        <w:tab w:val="center" w:pos="4730"/>
        <w:tab w:val="right" w:pos="9020"/>
      </w:tabs>
      <w:jc w:val="right"/>
      <w:rPr>
        <w:rFonts w:ascii="Arial" w:eastAsia="Arial" w:hAnsi="Arial" w:cs="Arial"/>
      </w:rPr>
    </w:pPr>
    <w:r>
      <w:rPr>
        <w:rFonts w:ascii="Arial" w:eastAsia="Arial" w:hAnsi="Arial" w:cs="Arial"/>
        <w:b/>
      </w:rPr>
      <w:t>A6.4-FORM-METH-007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577E9"/>
    <w:multiLevelType w:val="multilevel"/>
    <w:tmpl w:val="1390EAB8"/>
    <w:lvl w:ilvl="0">
      <w:start w:val="1"/>
      <w:numFmt w:val="decimal"/>
      <w:lvlText w:val=""/>
      <w:lvlJc w:val="left"/>
      <w:pPr>
        <w:ind w:left="0" w:firstLine="0"/>
      </w:pPr>
      <w:rPr>
        <w:vertAlign w:val="baseline"/>
      </w:rPr>
    </w:lvl>
    <w:lvl w:ilvl="1">
      <w:start w:val="1"/>
      <w:numFmt w:val="bullet"/>
      <w:lvlText w:val="●"/>
      <w:lvlJc w:val="left"/>
      <w:pPr>
        <w:ind w:left="397" w:hanging="226"/>
      </w:pPr>
      <w:rPr>
        <w:rFonts w:ascii="Noto Sans Symbols" w:eastAsia="Noto Sans Symbols" w:hAnsi="Noto Sans Symbols" w:cs="Noto Sans Symbols"/>
        <w:vertAlign w:val="baseline"/>
      </w:rPr>
    </w:lvl>
    <w:lvl w:ilvl="2">
      <w:start w:val="1"/>
      <w:numFmt w:val="lowerLetter"/>
      <w:lvlText w:val="(%3)"/>
      <w:lvlJc w:val="left"/>
      <w:pPr>
        <w:ind w:left="737" w:hanging="340"/>
      </w:pPr>
      <w:rPr>
        <w:vertAlign w:val="baseline"/>
      </w:rPr>
    </w:lvl>
    <w:lvl w:ilvl="3">
      <w:start w:val="1"/>
      <w:numFmt w:val="lowerRoman"/>
      <w:lvlText w:val="(%4)"/>
      <w:lvlJc w:val="left"/>
      <w:pPr>
        <w:ind w:left="1049" w:hanging="312"/>
      </w:pPr>
      <w:rPr>
        <w:vertAlign w:val="baseline"/>
      </w:rPr>
    </w:lvl>
    <w:lvl w:ilvl="4">
      <w:start w:val="1"/>
      <w:numFmt w:val="lowerLetter"/>
      <w:lvlText w:val="%5."/>
      <w:lvlJc w:val="left"/>
      <w:pPr>
        <w:ind w:left="1332" w:hanging="283"/>
      </w:pPr>
      <w:rPr>
        <w:vertAlign w:val="baseline"/>
      </w:rPr>
    </w:lvl>
    <w:lvl w:ilvl="5">
      <w:start w:val="1"/>
      <w:numFmt w:val="lowerRoman"/>
      <w:lvlText w:val="%6."/>
      <w:lvlJc w:val="left"/>
      <w:pPr>
        <w:ind w:left="1559" w:hanging="226"/>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num w:numId="1" w16cid:durableId="958493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10E"/>
    <w:rsid w:val="0040710E"/>
    <w:rsid w:val="006D6F97"/>
    <w:rsid w:val="006F6868"/>
    <w:rsid w:val="00AA223E"/>
    <w:rsid w:val="00BA4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8E79C0"/>
  <w15:docId w15:val="{26AE901E-2636-A44F-927B-4DF5740DC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rPr>
  </w:style>
  <w:style w:type="paragraph" w:styleId="Heading2">
    <w:name w:val="heading 2"/>
    <w:basedOn w:val="Normal"/>
    <w:next w:val="Normal"/>
    <w:uiPriority w:val="9"/>
    <w:semiHidden/>
    <w:unhideWhenUsed/>
    <w:qFormat/>
    <w:pPr>
      <w:keepNext/>
      <w:outlineLvl w:val="1"/>
    </w:pPr>
    <w:rPr>
      <w:b/>
    </w:rPr>
  </w:style>
  <w:style w:type="paragraph" w:styleId="Heading3">
    <w:name w:val="heading 3"/>
    <w:basedOn w:val="Normal"/>
    <w:next w:val="Normal"/>
    <w:uiPriority w:val="9"/>
    <w:semiHidden/>
    <w:unhideWhenUsed/>
    <w:qFormat/>
    <w:pPr>
      <w:tabs>
        <w:tab w:val="left" w:pos="720"/>
      </w:tabs>
      <w:spacing w:after="240"/>
      <w:outlineLvl w:val="2"/>
    </w:pPr>
  </w:style>
  <w:style w:type="paragraph" w:styleId="Heading4">
    <w:name w:val="heading 4"/>
    <w:basedOn w:val="Normal"/>
    <w:next w:val="Normal"/>
    <w:uiPriority w:val="9"/>
    <w:semiHidden/>
    <w:unhideWhenUsed/>
    <w:qFormat/>
    <w:pPr>
      <w:keepNext/>
      <w:spacing w:before="60"/>
      <w:jc w:val="center"/>
      <w:outlineLvl w:val="3"/>
    </w:pPr>
    <w:rPr>
      <w:rFonts w:ascii="Arial" w:eastAsia="Arial" w:hAnsi="Arial" w:cs="Arial"/>
      <w:b/>
      <w:i/>
      <w:sz w:val="22"/>
      <w:szCs w:val="22"/>
    </w:rPr>
  </w:style>
  <w:style w:type="paragraph" w:styleId="Heading5">
    <w:name w:val="heading 5"/>
    <w:basedOn w:val="Normal"/>
    <w:next w:val="Normal"/>
    <w:uiPriority w:val="9"/>
    <w:semiHidden/>
    <w:unhideWhenUsed/>
    <w:qFormat/>
    <w:pPr>
      <w:spacing w:after="240"/>
      <w:outlineLvl w:val="4"/>
    </w:pPr>
  </w:style>
  <w:style w:type="paragraph" w:styleId="Heading6">
    <w:name w:val="heading 6"/>
    <w:basedOn w:val="Normal"/>
    <w:next w:val="Normal"/>
    <w:uiPriority w:val="9"/>
    <w:semiHidden/>
    <w:unhideWhenUsed/>
    <w:qFormat/>
    <w:pPr>
      <w:keepNext/>
      <w:spacing w:before="60"/>
      <w:ind w:left="360"/>
      <w:outlineLvl w:val="5"/>
    </w:pPr>
    <w:rPr>
      <w:rFonts w:ascii="Arial" w:eastAsia="Arial" w:hAnsi="Arial" w:cs="Arial"/>
      <w: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56" w:type="dxa"/>
        <w:bottom w:w="0" w:type="dxa"/>
        <w:right w:w="56" w:type="dxa"/>
      </w:tblCellMar>
    </w:tblPr>
  </w:style>
  <w:style w:type="table" w:customStyle="1" w:styleId="a0">
    <w:basedOn w:val="TableNormal0"/>
    <w:tblPr>
      <w:tblStyleRowBandSize w:val="1"/>
      <w:tblStyleColBandSize w:val="1"/>
      <w:tblCellMar>
        <w:top w:w="0" w:type="dxa"/>
        <w:left w:w="99" w:type="dxa"/>
        <w:bottom w:w="0" w:type="dxa"/>
        <w:right w:w="99"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452055">
      <w:bodyDiv w:val="1"/>
      <w:marLeft w:val="0"/>
      <w:marRight w:val="0"/>
      <w:marTop w:val="0"/>
      <w:marBottom w:val="0"/>
      <w:divBdr>
        <w:top w:val="none" w:sz="0" w:space="0" w:color="auto"/>
        <w:left w:val="none" w:sz="0" w:space="0" w:color="auto"/>
        <w:bottom w:val="none" w:sz="0" w:space="0" w:color="auto"/>
        <w:right w:val="none" w:sz="0" w:space="0" w:color="auto"/>
      </w:divBdr>
    </w:div>
    <w:div w:id="1984768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climatefocus.com/publications/clean-cooking-projects-certified/" TargetMode="Externa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2329</Words>
  <Characters>13281</Characters>
  <Application>Microsoft Office Word</Application>
  <DocSecurity>0</DocSecurity>
  <Lines>110</Lines>
  <Paragraphs>31</Paragraphs>
  <ScaleCrop>false</ScaleCrop>
  <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Gill-Wiehl, Annelise</cp:lastModifiedBy>
  <cp:revision>4</cp:revision>
  <dcterms:created xsi:type="dcterms:W3CDTF">2025-07-06T11:15:00Z</dcterms:created>
  <dcterms:modified xsi:type="dcterms:W3CDTF">2025-07-06T11:23:00Z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lcf76f155ced4ddcb4097134ff3c332f</vt:lpwstr>
  </property>
  <property fmtid="{D5CDD505-2E9C-101B-9397-08002B2CF9AE}" pid="3" name="TaxCatchAll">
    <vt:lpwstr>TaxCatchAll</vt:lpwstr>
  </property>
  <property fmtid="{D5CDD505-2E9C-101B-9397-08002B2CF9AE}" pid="4" name="Document Symbol">
    <vt:lpwstr>Document Symbol</vt:lpwstr>
  </property>
  <property fmtid="{D5CDD505-2E9C-101B-9397-08002B2CF9AE}" pid="5" name="Doc.SymbolNumber">
    <vt:lpwstr>Doc.SymbolNumber</vt:lpwstr>
  </property>
</Properties>
</file>